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pPr>
      <w:hyperlink w:anchor="i174c10b2398248c692b784dd692a5e76_1">
        <w:r>
          <w:rPr>
            <w:rStyle w:val="InternetLink"/>
            <w:rFonts w:ascii="Times New Roman;serif" w:hAnsi="Times New Roman;serif"/>
            <w:b w:val="false"/>
            <w:color w:val="0000EE"/>
            <w:sz w:val="20"/>
            <w:u w:val="single"/>
          </w:rPr>
          <w:t>Table of Contents</w:t>
        </w:r>
      </w:hyperlink>
    </w:p>
    <w:p>
      <w:pPr>
        <w:pStyle w:val="TextBody"/>
        <w:bidi w:val="0"/>
        <w:spacing w:before="60" w:after="60"/>
        <w:jc w:val="left"/>
        <w:rPr/>
      </w:pPr>
      <w:r>
        <w:rPr/>
      </w:r>
    </w:p>
    <w:p>
      <w:pPr>
        <w:pStyle w:val="TextBody"/>
        <w:bidi w:val="0"/>
        <w:spacing w:before="0" w:after="6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11-K</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ANNUAL REPORTS OF EMPLOYEE STOCK PURCHASE, SAVINGS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AND SIMILAR PLANS PURSUANT TO SECTION 15(d) OF THE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341" w:type="dxa"/>
        <w:jc w:val="left"/>
        <w:tblInd w:w="0" w:type="dxa"/>
        <w:tblLayout w:type="fixed"/>
        <w:tblCellMar>
          <w:top w:w="28" w:type="dxa"/>
          <w:left w:w="28" w:type="dxa"/>
          <w:bottom w:w="28" w:type="dxa"/>
          <w:right w:w="28" w:type="dxa"/>
        </w:tblCellMar>
      </w:tblPr>
      <w:tblGrid>
        <w:gridCol w:w="124"/>
        <w:gridCol w:w="109"/>
        <w:gridCol w:w="109"/>
        <w:gridCol w:w="2636"/>
        <w:gridCol w:w="2636"/>
        <w:gridCol w:w="3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15(d) OF THE SECURITIES EXCHANGE ACT OF 1934</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fiscal year ended April 30, 2026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40" w:before="0" w:after="0"/>
        <w:jc w:val="left"/>
        <w:rPr>
          <w:color w:val="000000"/>
        </w:rPr>
      </w:pPr>
      <w:r>
        <w:rPr>
          <w:color w:val="000000"/>
        </w:rPr>
        <w:t> </w:t>
      </w:r>
    </w:p>
    <w:tbl>
      <w:tblPr>
        <w:tblW w:w="9747" w:type="dxa"/>
        <w:jc w:val="left"/>
        <w:tblInd w:w="0" w:type="dxa"/>
        <w:tblLayout w:type="fixed"/>
        <w:tblCellMar>
          <w:top w:w="28" w:type="dxa"/>
          <w:left w:w="28" w:type="dxa"/>
          <w:bottom w:w="28" w:type="dxa"/>
          <w:right w:w="28" w:type="dxa"/>
        </w:tblCellMar>
      </w:tblPr>
      <w:tblGrid>
        <w:gridCol w:w="124"/>
        <w:gridCol w:w="109"/>
        <w:gridCol w:w="109"/>
        <w:gridCol w:w="2754"/>
        <w:gridCol w:w="2754"/>
        <w:gridCol w:w="3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15(d) OF THE SECURITIES EXCHANGE ACT OF 1934</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_______to _________</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 file number 0-23246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8246" w:type="dxa"/>
        <w:jc w:val="left"/>
        <w:tblInd w:w="0" w:type="dxa"/>
        <w:tblLayout w:type="fixed"/>
        <w:tblCellMar>
          <w:top w:w="28" w:type="dxa"/>
          <w:left w:w="28" w:type="dxa"/>
          <w:bottom w:w="28" w:type="dxa"/>
          <w:right w:w="28" w:type="dxa"/>
        </w:tblCellMar>
      </w:tblPr>
      <w:tblGrid>
        <w:gridCol w:w="124"/>
        <w:gridCol w:w="109"/>
        <w:gridCol w:w="109"/>
        <w:gridCol w:w="2312"/>
        <w:gridCol w:w="2312"/>
        <w:gridCol w:w="3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2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title of the plan and the address of the plan, if different from that of the issuer named below:</w:t>
            </w:r>
          </w:p>
        </w:tc>
      </w:tr>
    </w:tbl>
    <w:p>
      <w:pPr>
        <w:pStyle w:val="TextBody"/>
        <w:bidi w:val="0"/>
        <w:spacing w:lineRule="auto" w:line="240" w:before="0" w:after="0"/>
        <w:jc w:val="left"/>
        <w:rPr>
          <w:color w:val="000000"/>
        </w:rPr>
      </w:pPr>
      <w:r>
        <w:rPr>
          <w:color w:val="000000"/>
        </w:rPr>
        <w:t> </w:t>
      </w:r>
    </w:p>
    <w:tbl>
      <w:tblPr>
        <w:tblW w:w="2520" w:type="dxa"/>
        <w:jc w:val="left"/>
        <w:tblInd w:w="0" w:type="dxa"/>
        <w:tblLayout w:type="fixed"/>
        <w:tblCellMar>
          <w:top w:w="28" w:type="dxa"/>
          <w:left w:w="28" w:type="dxa"/>
          <w:bottom w:w="28" w:type="dxa"/>
          <w:right w:w="28" w:type="dxa"/>
        </w:tblCellMar>
      </w:tblPr>
      <w:tblGrid>
        <w:gridCol w:w="806"/>
        <w:gridCol w:w="709"/>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Daktronics, Inc. 401(k) Plan</w:t>
            </w:r>
          </w:p>
        </w:tc>
      </w:tr>
    </w:tbl>
    <w:p>
      <w:pPr>
        <w:pStyle w:val="TextBody"/>
        <w:bidi w:val="0"/>
        <w:spacing w:lineRule="auto" w:line="240" w:before="0" w:after="0"/>
        <w:jc w:val="left"/>
        <w:rPr>
          <w:color w:val="000000"/>
        </w:rPr>
      </w:pPr>
      <w:r>
        <w:rPr>
          <w:color w:val="000000"/>
        </w:rPr>
        <w:t> </w:t>
      </w:r>
    </w:p>
    <w:tbl>
      <w:tblPr>
        <w:tblW w:w="9297" w:type="dxa"/>
        <w:jc w:val="left"/>
        <w:tblInd w:w="0" w:type="dxa"/>
        <w:tblLayout w:type="fixed"/>
        <w:tblCellMar>
          <w:top w:w="28" w:type="dxa"/>
          <w:left w:w="28" w:type="dxa"/>
          <w:bottom w:w="28" w:type="dxa"/>
          <w:right w:w="28" w:type="dxa"/>
        </w:tblCellMar>
      </w:tblPr>
      <w:tblGrid>
        <w:gridCol w:w="124"/>
        <w:gridCol w:w="109"/>
        <w:gridCol w:w="109"/>
        <w:gridCol w:w="2622"/>
        <w:gridCol w:w="2622"/>
        <w:gridCol w:w="37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the issuer of the securities held pursuant to the plan and the address of its principal executive office:</w:t>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drawing>
          <wp:inline distT="0" distB="0" distL="0" distR="0">
            <wp:extent cx="15240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942975"/>
                    </a:xfrm>
                    <a:prstGeom prst="rect">
                      <a:avLst/>
                    </a:prstGeom>
                  </pic:spPr>
                </pic:pic>
              </a:graphicData>
            </a:graphic>
          </wp:inline>
        </w:drawing>
      </w:r>
      <w:bookmarkStart w:id="0" w:name="i-1"/>
      <w:bookmarkEnd w:id="0"/>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40" w:before="0" w:after="0"/>
        <w:jc w:val="left"/>
        <w:rPr>
          <w:color w:val="000000"/>
        </w:rPr>
      </w:pPr>
      <w:r>
        <w:rPr>
          <w:color w:val="000000"/>
        </w:rPr>
        <w:t> </w:t>
      </w:r>
    </w:p>
    <w:p>
      <w:pPr>
        <w:pStyle w:val="TextBody"/>
        <w:bidi w:val="0"/>
        <w:spacing w:before="60" w:after="60"/>
        <w:jc w:val="left"/>
        <w:rPr/>
      </w:pPr>
      <w:r>
        <w:rPr/>
      </w:r>
    </w:p>
    <w:p>
      <w:pPr>
        <w:pStyle w:val="TextBody"/>
        <w:bidi w:val="0"/>
        <w:spacing w:before="0" w:after="6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 401(k) PLAN</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11-K</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Plan Years Ended April 30, 2026 and 2025</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607"/>
        <w:gridCol w:w="3024"/>
        <w:gridCol w:w="3032"/>
        <w:gridCol w:w="158"/>
        <w:gridCol w:w="158"/>
        <w:gridCol w:w="226"/>
      </w:tblGrid>
      <w:tr>
        <w:trPr/>
        <w:tc>
          <w:tcPr>
            <w:tcW w:w="3607"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7">
              <w:r>
                <w:rPr>
                  <w:rStyle w:val="InternetLink"/>
                  <w:rFonts w:ascii="Times New Roman;serif" w:hAnsi="Times New Roman;serif"/>
                  <w:b w:val="false"/>
                  <w:color w:val="0000FF"/>
                  <w:sz w:val="20"/>
                  <w:u w:val="single"/>
                </w:rPr>
                <w:t>REPORT OF INDEPENDENT REGISTERED PUBLIC ACCOUNTING FIRM</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7">
              <w:r>
                <w:rPr>
                  <w:rStyle w:val="InternetLink"/>
                  <w:rFonts w:ascii="Times New Roman;serif" w:hAnsi="Times New Roman;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74c10b2398248c692b784dd692a5e76_10">
              <w:r>
                <w:rPr>
                  <w:rStyle w:val="InternetLink"/>
                  <w:rFonts w:ascii="Times New Roman;serif" w:hAnsi="Times New Roman;serif"/>
                  <w:b w:val="false"/>
                  <w:color w:val="000080"/>
                  <w:sz w:val="20"/>
                  <w:u w:val="single"/>
                </w:rPr>
                <w:t>Statements of Net Assets Available for Benefits as of April 30, 202</w:t>
              </w:r>
            </w:hyperlink>
            <w:hyperlink w:anchor="i174c10b2398248c692b784dd692a5e76_10">
              <w:r>
                <w:rPr>
                  <w:rStyle w:val="InternetLink"/>
                  <w:rFonts w:ascii="Times New Roman;serif" w:hAnsi="Times New Roman;serif"/>
                  <w:b w:val="false"/>
                  <w:color w:val="000080"/>
                  <w:sz w:val="20"/>
                  <w:u w:val="single"/>
                </w:rPr>
                <w:t>6</w:t>
              </w:r>
            </w:hyperlink>
            <w:hyperlink w:anchor="i174c10b2398248c692b784dd692a5e76_10">
              <w:r>
                <w:rPr>
                  <w:rStyle w:val="InternetLink"/>
                  <w:rFonts w:ascii="Times New Roman;serif" w:hAnsi="Times New Roman;serif"/>
                  <w:b w:val="false"/>
                  <w:color w:val="000080"/>
                  <w:sz w:val="20"/>
                  <w:u w:val="single"/>
                </w:rPr>
                <w:t xml:space="preserve"> and 202</w:t>
              </w:r>
            </w:hyperlink>
            <w:hyperlink w:anchor="i174c10b2398248c692b784dd692a5e76_10">
              <w:r>
                <w:rPr>
                  <w:rStyle w:val="InternetLink"/>
                  <w:rFonts w:ascii="Times New Roman;serif" w:hAnsi="Times New Roman;serif"/>
                  <w:b w:val="false"/>
                  <w:color w:val="000080"/>
                  <w:sz w:val="20"/>
                  <w:u w:val="single"/>
                </w:rPr>
                <w:t>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10">
              <w:r>
                <w:rPr>
                  <w:rStyle w:val="InternetLink"/>
                  <w:rFonts w:ascii="Times New Roman;serif" w:hAnsi="Times New Roman;serif"/>
                  <w:b w:val="false"/>
                  <w:color w:val="0000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74c10b2398248c692b784dd692a5e76_13">
              <w:r>
                <w:rPr>
                  <w:rStyle w:val="InternetLink"/>
                  <w:rFonts w:ascii="Times New Roman;serif" w:hAnsi="Times New Roman;serif"/>
                  <w:b w:val="false"/>
                  <w:color w:val="000080"/>
                  <w:sz w:val="20"/>
                  <w:u w:val="single"/>
                </w:rPr>
                <w:t>Statement of Changes in Net Assets Available for Benefits for the Year Ended April 30, 202</w:t>
              </w:r>
            </w:hyperlink>
            <w:hyperlink w:anchor="i174c10b2398248c692b784dd692a5e76_13">
              <w:r>
                <w:rPr>
                  <w:rStyle w:val="InternetLink"/>
                  <w:rFonts w:ascii="Times New Roman;serif" w:hAnsi="Times New Roman;serif"/>
                  <w:b w:val="false"/>
                  <w:color w:val="000080"/>
                  <w:sz w:val="20"/>
                  <w:u w:val="single"/>
                </w:rPr>
                <w:t>6</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13">
              <w:r>
                <w:rPr>
                  <w:rStyle w:val="InternetLink"/>
                  <w:rFonts w:ascii="Times New Roman;serif" w:hAnsi="Times New Roman;serif"/>
                  <w:b w:val="false"/>
                  <w:color w:val="0000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74c10b2398248c692b784dd692a5e76_16">
              <w:r>
                <w:rPr>
                  <w:rStyle w:val="InternetLink"/>
                  <w:rFonts w:ascii="Times New Roman;serif" w:hAnsi="Times New Roman;serif"/>
                  <w:b w:val="false"/>
                  <w:color w:val="0000FF"/>
                  <w:sz w:val="20"/>
                  <w:u w:val="single"/>
                </w:rPr>
                <w:t>Notes to the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16">
              <w:r>
                <w:rPr>
                  <w:rStyle w:val="InternetLink"/>
                  <w:rFonts w:ascii="Times New Roman;serif" w:hAnsi="Times New Roman;serif"/>
                  <w:b w:val="false"/>
                  <w:color w:val="0000FF"/>
                  <w:sz w:val="20"/>
                  <w:u w:val="single"/>
                </w:rPr>
                <w:t>6-9</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19">
              <w:r>
                <w:rPr>
                  <w:rStyle w:val="InternetLink"/>
                  <w:rFonts w:ascii="Times New Roman;serif" w:hAnsi="Times New Roman;serif"/>
                  <w:b w:val="false"/>
                  <w:color w:val="0000FF"/>
                  <w:sz w:val="20"/>
                  <w:u w:val="single"/>
                </w:rPr>
                <w:t>SUPPLEMENTAL SCHEDULE FURNISHED PURSUANT TO THE REQUIREMENTS OF FORM 5500</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74c10b2398248c692b784dd692a5e76_19">
              <w:r>
                <w:rPr>
                  <w:rStyle w:val="InternetLink"/>
                  <w:rFonts w:ascii="Times New Roman;serif" w:hAnsi="Times New Roman;serif"/>
                  <w:b w:val="false"/>
                  <w:color w:val="000080"/>
                  <w:sz w:val="20"/>
                  <w:u w:val="single"/>
                </w:rPr>
                <w:t>Schedule H, Line 4i Schedule of Assets (Held at End of Year) as of April 30, 202</w:t>
              </w:r>
            </w:hyperlink>
            <w:hyperlink w:anchor="i174c10b2398248c692b784dd692a5e76_19">
              <w:r>
                <w:rPr>
                  <w:rStyle w:val="InternetLink"/>
                  <w:rFonts w:ascii="Times New Roman;serif" w:hAnsi="Times New Roman;serif"/>
                  <w:b w:val="false"/>
                  <w:color w:val="000080"/>
                  <w:sz w:val="20"/>
                  <w:u w:val="single"/>
                </w:rPr>
                <w:t>6</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19">
              <w:r>
                <w:rPr>
                  <w:rStyle w:val="InternetLink"/>
                  <w:rFonts w:ascii="Times New Roman;serif" w:hAnsi="Times New Roman;serif"/>
                  <w:b w:val="false"/>
                  <w:color w:val="0000FF"/>
                  <w:sz w:val="20"/>
                  <w:u w:val="single"/>
                </w:rPr>
                <w:t>10</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22">
              <w:r>
                <w:rPr>
                  <w:rStyle w:val="InternetLink"/>
                  <w:rFonts w:ascii="Times New Roman;serif" w:hAnsi="Times New Roman;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4c10b2398248c692b784dd692a5e76_22">
              <w:r>
                <w:rPr>
                  <w:rStyle w:val="InternetLink"/>
                  <w:rFonts w:ascii="Times New Roman;serif" w:hAnsi="Times New Roman;serif"/>
                  <w:b w:val="false"/>
                  <w:color w:val="0000FF"/>
                  <w:sz w:val="20"/>
                  <w:u w:val="single"/>
                </w:rPr>
                <w:t>11</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_04-30x2026.htm">
              <w:r>
                <w:rPr>
                  <w:rStyle w:val="InternetLink"/>
                  <w:rFonts w:ascii="Times New Roman;serif" w:hAnsi="Times New Roman;serif"/>
                  <w:b w:val="false"/>
                  <w:color w:val="0000FF"/>
                  <w:sz w:val="20"/>
                  <w:u w:val="single"/>
                </w:rPr>
                <w:t>23.1    CONSENT OF INDEPENDENT REGISTERED PUBLIC ACCOUNTING FIRM</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All other schedules required by Section 2520.103-10 of the Department of Labor’s Rules and Regulations for Reporting and Disclosure under the Employee Retirement Income Security Act of 1974 have been omitted because they are not applicable.</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 the Plan Participants and Plan Administrator of</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Daktronics, Inc. 401(k) Plan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Daktronics, Inc. 401(k) Plan (the "Plan") as of April 30, 2026 and 2025, the related statement of changes in net assets available for benefits for the year ended April 30, 2026, and the related notes (collectively referred to as the "financial statements"). In our opinion, the financial statements present fairly, in all material respects, the net assets available for benefits of the Plan as of April 30, 2026 and 2025, and the changes in net assets available for benefits for the year ended April 30, 2026, in conformity with accounting principles generally accepted in the United States of America</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Report on Supplemental Schedule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schedule of assets (held at end of year) as of April 30, 2026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2, 2026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auditor of the Plan since 2017.</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 401(k) PLAN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STATEMENTS OF NET ASSETS AVAILABLE FOR BENEFITS AS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APRIL 30, 2026 AND 2025</w:t>
      </w:r>
    </w:p>
    <w:p>
      <w:pPr>
        <w:pStyle w:val="TextBody"/>
        <w:bidi w:val="0"/>
        <w:spacing w:lineRule="auto" w:line="240" w:before="0" w:after="0"/>
        <w:jc w:val="center"/>
        <w:rPr>
          <w:color w:val="000000"/>
        </w:rPr>
      </w:pPr>
      <w:r>
        <w:rPr>
          <w:color w:val="000000"/>
        </w:rPr>
        <w:t> </w:t>
      </w:r>
    </w:p>
    <w:tbl>
      <w:tblPr>
        <w:tblW w:w="7445" w:type="dxa"/>
        <w:jc w:val="left"/>
        <w:tblInd w:w="0" w:type="dxa"/>
        <w:tblLayout w:type="fixed"/>
        <w:tblCellMar>
          <w:top w:w="28" w:type="dxa"/>
          <w:left w:w="28" w:type="dxa"/>
          <w:bottom w:w="28" w:type="dxa"/>
          <w:right w:w="28" w:type="dxa"/>
        </w:tblCellMar>
      </w:tblPr>
      <w:tblGrid>
        <w:gridCol w:w="1349"/>
        <w:gridCol w:w="1189"/>
        <w:gridCol w:w="1196"/>
        <w:gridCol w:w="109"/>
        <w:gridCol w:w="109"/>
        <w:gridCol w:w="109"/>
        <w:gridCol w:w="211"/>
        <w:gridCol w:w="1186"/>
        <w:gridCol w:w="109"/>
        <w:gridCol w:w="109"/>
        <w:gridCol w:w="109"/>
        <w:gridCol w:w="109"/>
        <w:gridCol w:w="211"/>
        <w:gridCol w:w="1186"/>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directed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327,985,409 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259,254,398 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331,513,338 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262,560,689 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contributions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262,458,408 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6195" w:type="dxa"/>
        <w:jc w:val="left"/>
        <w:tblInd w:w="0" w:type="dxa"/>
        <w:tblLayout w:type="fixed"/>
        <w:tblCellMar>
          <w:top w:w="28" w:type="dxa"/>
          <w:left w:w="28" w:type="dxa"/>
          <w:bottom w:w="28" w:type="dxa"/>
          <w:right w:w="28" w:type="dxa"/>
        </w:tblCellMar>
      </w:tblPr>
      <w:tblGrid>
        <w:gridCol w:w="1982"/>
        <w:gridCol w:w="1741"/>
        <w:gridCol w:w="2472"/>
      </w:tblGrid>
      <w:tr>
        <w:trPr/>
        <w:tc>
          <w:tcPr>
            <w:tcW w:w="198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financial statements. </w:t>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 401(k) PLAN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STATEMENT OF CHANGES IN NET ASSETS AVAILABLE FOR BENEFITS FOR THE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FISCAL YEAR ENDED APRIL 30, 2026 </w:t>
      </w:r>
    </w:p>
    <w:p>
      <w:pPr>
        <w:pStyle w:val="TextBody"/>
        <w:bidi w:val="0"/>
        <w:spacing w:lineRule="auto" w:line="240" w:before="0" w:after="0"/>
        <w:jc w:val="left"/>
        <w:rPr>
          <w:color w:val="000000"/>
        </w:rPr>
      </w:pPr>
      <w:r>
        <w:rPr>
          <w:color w:val="000000"/>
        </w:rPr>
        <w:t> </w:t>
      </w:r>
    </w:p>
    <w:tbl>
      <w:tblPr>
        <w:tblW w:w="6287" w:type="dxa"/>
        <w:jc w:val="left"/>
        <w:tblInd w:w="0" w:type="dxa"/>
        <w:tblLayout w:type="fixed"/>
        <w:tblCellMar>
          <w:top w:w="28" w:type="dxa"/>
          <w:left w:w="28" w:type="dxa"/>
          <w:bottom w:w="28" w:type="dxa"/>
          <w:right w:w="28" w:type="dxa"/>
        </w:tblCellMar>
      </w:tblPr>
      <w:tblGrid>
        <w:gridCol w:w="1598"/>
        <w:gridCol w:w="1401"/>
        <w:gridCol w:w="1410"/>
        <w:gridCol w:w="109"/>
        <w:gridCol w:w="109"/>
        <w:gridCol w:w="109"/>
        <w:gridCol w:w="211"/>
        <w:gridCol w:w="1186"/>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ADDITIONS: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appreciation in fair value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69,645,566 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16,454,972 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86,283,454 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DEDUCTIONS: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 to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16,977,494 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17,258,983 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69,024,471 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262,458,408 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331,482,879 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6195" w:type="dxa"/>
        <w:jc w:val="left"/>
        <w:tblInd w:w="0" w:type="dxa"/>
        <w:tblLayout w:type="fixed"/>
        <w:tblCellMar>
          <w:top w:w="28" w:type="dxa"/>
          <w:left w:w="28" w:type="dxa"/>
          <w:bottom w:w="28" w:type="dxa"/>
          <w:right w:w="28" w:type="dxa"/>
        </w:tblCellMar>
      </w:tblPr>
      <w:tblGrid>
        <w:gridCol w:w="1982"/>
        <w:gridCol w:w="1741"/>
        <w:gridCol w:w="2472"/>
      </w:tblGrid>
      <w:tr>
        <w:trPr/>
        <w:tc>
          <w:tcPr>
            <w:tcW w:w="198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financial statements. </w:t>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 401(k) PLAN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NOTE 1. DESCRIPTION OF THE PLAN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Daktronics, Inc. 401(k) Plan (the “Plan”) is provided for informational purposes only. Participants should consult the Plan document for a complete description of the Plan’s terms and provisions.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General:</w:t>
      </w:r>
      <w:r>
        <w:rPr>
          <w:color w:val="000000"/>
        </w:rPr>
        <w:t> </w:t>
      </w:r>
      <w:r>
        <w:rPr>
          <w:rFonts w:ascii="Times New Roman;serif" w:hAnsi="Times New Roman;serif"/>
          <w:b w:val="false"/>
          <w:color w:val="000000"/>
          <w:sz w:val="20"/>
        </w:rPr>
        <w:t>The Plan is a defined contribution plan covering substantially all U.S.-based employees of Daktronics, Inc. (the “Plan Sponsor”) and its subsidiaries (collectively, the “Company”) who have attained age 21 and satisfied applicable service requirements. Eligibility for both employee and employer contributions begins after 30 days of service. The Plan is subject to the provisions of the Employee Retirement Income Security Act of 1974, as amended (“ERISA”).</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includes an employee stock ownership component under the Internal Revenue Code of 1986 (the “Code”), applicable to investments in the Daktronics, Inc. common stock fund. This component provides participants with rights including voting shares, electing dividend pass-throughs, and receiving distributions in the form of Daktronics, Inc. common stock.</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Trust Company serves as the Plan trustee.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Administration:</w:t>
      </w:r>
      <w:r>
        <w:rPr>
          <w:color w:val="000000"/>
        </w:rPr>
        <w:t> </w:t>
      </w:r>
      <w:r>
        <w:rPr>
          <w:rFonts w:ascii="Times New Roman;serif" w:hAnsi="Times New Roman;serif"/>
          <w:b w:val="false"/>
          <w:color w:val="000000"/>
          <w:sz w:val="20"/>
        </w:rPr>
        <w:t>The Company has designated an Administrative Committee to oversee daily operations of the Plan and an Investment Committee to manage and monitor Plan investments.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Participant contributions:</w:t>
      </w:r>
      <w:r>
        <w:rPr>
          <w:color w:val="000000"/>
        </w:rPr>
        <w:t xml:space="preserve"> </w:t>
      </w:r>
      <w:r>
        <w:rPr>
          <w:rFonts w:ascii="Times New Roman;serif" w:hAnsi="Times New Roman;serif"/>
          <w:b w:val="false"/>
          <w:color w:val="000000"/>
          <w:sz w:val="20"/>
        </w:rPr>
        <w:t>Participants may elect to defer a portion of their eligible compensation into the Plan, subject to Code limitations. These deferrals are made through payroll deductions and invested per participant direction. Participants age 50 or older may make catch-up contributions, also subject to Code limits.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also accepts rollover contributions from other qualified retirement plans, which are invested according to participant instructions.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Employer contributions:</w:t>
      </w:r>
      <w:r>
        <w:rPr>
          <w:color w:val="000000"/>
        </w:rPr>
        <w:t xml:space="preserve"> </w:t>
      </w:r>
      <w:r>
        <w:rPr>
          <w:rFonts w:ascii="Times New Roman;serif" w:hAnsi="Times New Roman;serif"/>
          <w:b w:val="false"/>
          <w:color w:val="000000"/>
          <w:sz w:val="20"/>
        </w:rPr>
        <w:t>The Company matched 50 percent of the first 6 percent of eligible compensation contributed by participants. Matching contributions are invested per participant direction and are recorded when earned.</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u w:val="single"/>
        </w:rPr>
        <w:t>Participant accounts:</w:t>
      </w:r>
      <w:r>
        <w:rPr>
          <w:color w:val="000000"/>
        </w:rPr>
        <w:t> </w:t>
      </w:r>
      <w:r>
        <w:rPr>
          <w:rFonts w:ascii="Times New Roman;serif" w:hAnsi="Times New Roman;serif"/>
          <w:b w:val="false"/>
          <w:color w:val="000000"/>
          <w:sz w:val="20"/>
        </w:rPr>
        <w:t>Individual accounts are maintained for each participant of the Plan. Each participant’s account reflects employee contributions, employer matching contributions, investment earnings and losses, withdrawals, and allocated administrative expenses. Expense allocations are based on account balances. Participants are entitled to their vested account balances.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u w:val="single"/>
        </w:rPr>
        <w:t>Vesting:</w:t>
      </w:r>
      <w:r>
        <w:rPr>
          <w:color w:val="000000"/>
        </w:rPr>
        <w:t> </w:t>
      </w:r>
      <w:r>
        <w:rPr>
          <w:rFonts w:ascii="Times New Roman;serif" w:hAnsi="Times New Roman;serif"/>
          <w:b w:val="false"/>
          <w:color w:val="000000"/>
          <w:sz w:val="20"/>
        </w:rPr>
        <w:t>Participants are immediately vested in their own contributions, including rollovers, and related earnings. Employer matching contributions vest at 20 percent per year, reaching full vesting after five years of credited service. Employees joining the Company through acquisition may receive service credit for prior employment when determining eligibility and vesting.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Payment of benefits:</w:t>
      </w:r>
      <w:r>
        <w:rPr>
          <w:color w:val="000000"/>
        </w:rPr>
        <w:t> </w:t>
      </w:r>
      <w:r>
        <w:rPr>
          <w:rFonts w:ascii="Times New Roman;serif" w:hAnsi="Times New Roman;serif"/>
          <w:b w:val="false"/>
          <w:color w:val="000000"/>
          <w:sz w:val="20"/>
        </w:rPr>
        <w:t xml:space="preserve">Distributions of vested account balances are made upon retirement, disability, death, or termination of employment. Distributions are reduced by any outstanding loan balances. Hardship withdrawals are permitted under Internal Revenue Service (“IRS”) guidelines and require exhaustion of all other distribution and loan options. Benefits are recorded when paid. There were no participants who elected to withdraw from the Plan and were not paid as of April 30, 2026 or 2025.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Investment fund information:</w:t>
      </w:r>
      <w:r>
        <w:rPr>
          <w:color w:val="000000"/>
        </w:rPr>
        <w:t> </w:t>
      </w:r>
      <w:r>
        <w:rPr>
          <w:rFonts w:ascii="Times New Roman;serif" w:hAnsi="Times New Roman;serif"/>
          <w:b w:val="false"/>
          <w:color w:val="000000"/>
          <w:sz w:val="20"/>
        </w:rPr>
        <w:t>Participants may direct their contributions into a variety of investment options, including mutual funds, pooled funds, common collective trusts, and Daktronics, Inc. common stock. Investment elections may be changed daily.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Notes receivable from participants:</w:t>
      </w:r>
      <w:r>
        <w:rPr>
          <w:color w:val="000000"/>
        </w:rPr>
        <w:t> </w:t>
      </w:r>
      <w:r>
        <w:rPr>
          <w:rFonts w:ascii="Times New Roman;serif" w:hAnsi="Times New Roman;serif"/>
          <w:b w:val="false"/>
          <w:color w:val="000000"/>
          <w:sz w:val="20"/>
        </w:rPr>
        <w:t>Participants may borrow up to the lesser of $50,000 or 50 percent of their vested account balance. Loans are secured by the participant’s account and bear interest at the prime rate as determined by the Trustee. Loan terms range from one to five years, or longer for primary residence purchases. Repayment is made via payroll deductions. Loans are recorded at unpaid principal plus accrued interest. If a loan is deemed a distribution due to nonpayment, the balance is reduced and a benefit payment is recorded. As of April 30, 2026, loans mature through February 24, 2034, with interest rates ranging from 3.25 to 8.50 percent.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Excess contributions refundable:</w:t>
      </w:r>
      <w:r>
        <w:rPr>
          <w:color w:val="000000"/>
        </w:rPr>
        <w:t> </w:t>
      </w:r>
      <w:r>
        <w:rPr>
          <w:rFonts w:ascii="Times New Roman;serif" w:hAnsi="Times New Roman;serif"/>
          <w:b w:val="false"/>
          <w:color w:val="000000"/>
          <w:sz w:val="20"/>
        </w:rPr>
        <w:t xml:space="preserve">Amounts refundable to participants for excess contributions totaled $30,459 and $102,281 as of April 30, 2026 and 2025, respectively.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u w:val="single"/>
        </w:rPr>
        <w:t>Forfeited accounts:</w:t>
      </w:r>
      <w:r>
        <w:rPr>
          <w:color w:val="000000"/>
        </w:rPr>
        <w:t> </w:t>
      </w:r>
      <w:r>
        <w:rPr>
          <w:rFonts w:ascii="Times New Roman;serif" w:hAnsi="Times New Roman;serif"/>
          <w:b w:val="false"/>
          <w:color w:val="000000"/>
          <w:sz w:val="20"/>
        </w:rPr>
        <w:t>Forfeitures of non-vested balances totaled $52,535 and $72,248 for the years ended April 30, 2026 and 2025, respectively, and were used to offset employer contributions. Unallocated forfeiture balances were $0 and $7,729 as of April 30, 2026 and 2025, respectively.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Administrative expenses:</w:t>
      </w:r>
      <w:r>
        <w:rPr>
          <w:color w:val="000000"/>
        </w:rPr>
        <w:t> </w:t>
      </w:r>
      <w:r>
        <w:rPr>
          <w:rFonts w:ascii="Times New Roman;serif" w:hAnsi="Times New Roman;serif"/>
          <w:b w:val="false"/>
          <w:color w:val="000000"/>
          <w:sz w:val="20"/>
        </w:rPr>
        <w:t>Administrative expenses, including investment management, legal, and audit fees, are paid by the Plan.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NOTE 2. SUMMARY OF SIGNIFICANT ACCOUNTING POLICIES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Basis of accounting:</w:t>
      </w:r>
      <w:r>
        <w:rPr>
          <w:color w:val="000000"/>
        </w:rPr>
        <w:t> </w:t>
      </w:r>
      <w:r>
        <w:rPr>
          <w:rFonts w:ascii="Times New Roman;serif" w:hAnsi="Times New Roman;serif"/>
          <w:b w:val="false"/>
          <w:color w:val="000000"/>
          <w:sz w:val="20"/>
        </w:rPr>
        <w:t>The accompanying financial statements have been prepared using the accrual basis of accounting in accordance with accounting principles generally accepted in the United States of America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Use of estimates:</w:t>
      </w:r>
      <w:r>
        <w:rPr>
          <w:color w:val="000000"/>
        </w:rPr>
        <w:t> </w:t>
      </w: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changes in net assets available for benefits during the reporting period. Actual results could differ from those estimates.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Investment valuation and income recognition:</w:t>
      </w:r>
      <w:r>
        <w:rPr>
          <w:color w:val="000000"/>
        </w:rPr>
        <w:t> </w:t>
      </w:r>
      <w:r>
        <w:rPr>
          <w:rFonts w:ascii="Times New Roman;serif" w:hAnsi="Times New Roman;serif"/>
          <w:b w:val="false"/>
          <w:color w:val="000000"/>
          <w:sz w:val="20"/>
        </w:rPr>
        <w:t>Investments are stated at fair value. Fair value is determined based on quoted market prices as of the last business day of the Plan year. Investments in common collective trusts are valued at net asset value, which is determined using the estimated fair value of the underlying assets held by the trust.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Purchases and sales of securities are recorded on a trade-date basis. Interest income is recognized on the accrual basis. Dividend income is recorded on the ex-dividend date. Net appreciation (depreciation) in the fair value of investments includes realized gains and losses on investments sold during the year, as well as unrealized gains and losses on investments held at year-end.</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u w:val="single"/>
        </w:rPr>
        <w:t>New Accounting Pronouncements</w:t>
      </w:r>
      <w:r>
        <w:rPr>
          <w:rFonts w:ascii="Times New Roman;serif" w:hAnsi="Times New Roman;serif"/>
          <w:b w:val="false"/>
          <w:color w:val="000000"/>
          <w:sz w:val="20"/>
        </w:rPr>
        <w:t>: No new accounting pronouncements adopted during the fiscal year ended April 30, 2026 had a material impact on the financial statements or the accompanying notes included in this Form 11-K.</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NOTE 3. FAIR VALUE MEASUREMENT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rPr>
        <w:t xml:space="preserve">The Plan follows the guidance of Accounting Standards Codification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which defines fair value as the price that would be received to sell an asset or paid to transfer a liability in an orderly transaction between market participants at the measurement date. ASC 820 establishes a fair value hierarchy that prioritizes the inputs used to measure fair value. The hierarchy maximizes the use of observable inputs and minimizes the use of unobservable inputs. The three levels of inputs within the fair value hierarchy are as follows: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i/>
          <w:color w:val="000000"/>
          <w:sz w:val="20"/>
        </w:rPr>
        <w:t xml:space="preserve">Level 1 </w:t>
      </w:r>
      <w:r>
        <w:rPr>
          <w:color w:val="000000"/>
        </w:rPr>
        <w:t xml:space="preserve">– </w:t>
      </w:r>
      <w:r>
        <w:rPr>
          <w:rFonts w:ascii="Times New Roman;serif" w:hAnsi="Times New Roman;serif"/>
          <w:b w:val="false"/>
          <w:color w:val="000000"/>
          <w:sz w:val="20"/>
        </w:rPr>
        <w:t>Inputs are quoted prices in active markets for identical assets or liabilities that the Plan can access at the measurement date.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i/>
          <w:color w:val="000000"/>
          <w:sz w:val="20"/>
        </w:rPr>
        <w:t xml:space="preserve">Level 2 </w:t>
      </w:r>
      <w:r>
        <w:rPr>
          <w:color w:val="000000"/>
        </w:rPr>
        <w:t xml:space="preserve">– </w:t>
      </w:r>
      <w:r>
        <w:rPr>
          <w:rFonts w:ascii="Times New Roman;serif" w:hAnsi="Times New Roman;serif"/>
          <w:b w:val="false"/>
          <w:color w:val="000000"/>
          <w:sz w:val="20"/>
        </w:rPr>
        <w:t>Inputs are observable, either directly or indirectly, other than quoted prices included in Level 1. These may include quoted prices for similar assets or liabilities in active markets, quoted prices for identical assets or liabilities in markets that are not active, or other market-corroborated inputs.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i/>
          <w:color w:val="000000"/>
          <w:sz w:val="20"/>
        </w:rPr>
        <w:t xml:space="preserve">Level 3 </w:t>
      </w:r>
      <w:r>
        <w:rPr>
          <w:color w:val="000000"/>
        </w:rPr>
        <w:t xml:space="preserve">– </w:t>
      </w:r>
      <w:r>
        <w:rPr>
          <w:rFonts w:ascii="Times New Roman;serif" w:hAnsi="Times New Roman;serif"/>
          <w:b w:val="false"/>
          <w:color w:val="000000"/>
          <w:sz w:val="20"/>
        </w:rPr>
        <w:t>Inputs are unobservable and reflect the Plan’s own assumptions about the assumptions market participants would use in pricing the asset or liability.</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Plan’s assets measured at fair value as of April 30, 2026 and 2025, categorized by level within the fair value hierarchy. There were no transfers between levels of the fair value hierarchy during the years ended April 30, 2026 and 2025.</w:t>
      </w:r>
    </w:p>
    <w:p>
      <w:pPr>
        <w:pStyle w:val="TextBody"/>
        <w:bidi w:val="0"/>
        <w:spacing w:before="0" w:after="0"/>
        <w:jc w:val="both"/>
        <w:rPr/>
      </w:pPr>
      <w:r>
        <w:rPr/>
      </w:r>
    </w:p>
    <w:tbl>
      <w:tblPr>
        <w:tblW w:w="10002" w:type="dxa"/>
        <w:jc w:val="left"/>
        <w:tblInd w:w="0" w:type="dxa"/>
        <w:tblLayout w:type="fixed"/>
        <w:tblCellMar>
          <w:top w:w="28" w:type="dxa"/>
          <w:left w:w="28" w:type="dxa"/>
          <w:bottom w:w="28" w:type="dxa"/>
          <w:right w:w="28" w:type="dxa"/>
        </w:tblCellMar>
      </w:tblPr>
      <w:tblGrid>
        <w:gridCol w:w="1550"/>
        <w:gridCol w:w="1357"/>
        <w:gridCol w:w="1367"/>
        <w:gridCol w:w="109"/>
        <w:gridCol w:w="109"/>
        <w:gridCol w:w="109"/>
        <w:gridCol w:w="211"/>
        <w:gridCol w:w="1081"/>
        <w:gridCol w:w="109"/>
        <w:gridCol w:w="109"/>
        <w:gridCol w:w="109"/>
        <w:gridCol w:w="109"/>
        <w:gridCol w:w="213"/>
        <w:gridCol w:w="411"/>
        <w:gridCol w:w="110"/>
        <w:gridCol w:w="109"/>
        <w:gridCol w:w="109"/>
        <w:gridCol w:w="109"/>
        <w:gridCol w:w="213"/>
        <w:gridCol w:w="411"/>
        <w:gridCol w:w="110"/>
        <w:gridCol w:w="109"/>
        <w:gridCol w:w="109"/>
        <w:gridCol w:w="109"/>
        <w:gridCol w:w="211"/>
        <w:gridCol w:w="118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at Fair Value as of April 30, 2026</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Daktronics, Inc.*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32,342,011 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208,283,279 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208,283,279 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Pooled Separate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Net Asset Value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Stable Value Z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10,758,468</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327,985,409 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002" w:type="dxa"/>
        <w:jc w:val="left"/>
        <w:tblInd w:w="0" w:type="dxa"/>
        <w:tblLayout w:type="fixed"/>
        <w:tblCellMar>
          <w:top w:w="28" w:type="dxa"/>
          <w:left w:w="28" w:type="dxa"/>
          <w:bottom w:w="28" w:type="dxa"/>
          <w:right w:w="28" w:type="dxa"/>
        </w:tblCellMar>
      </w:tblPr>
      <w:tblGrid>
        <w:gridCol w:w="1550"/>
        <w:gridCol w:w="1357"/>
        <w:gridCol w:w="1367"/>
        <w:gridCol w:w="109"/>
        <w:gridCol w:w="109"/>
        <w:gridCol w:w="109"/>
        <w:gridCol w:w="211"/>
        <w:gridCol w:w="1081"/>
        <w:gridCol w:w="109"/>
        <w:gridCol w:w="109"/>
        <w:gridCol w:w="109"/>
        <w:gridCol w:w="109"/>
        <w:gridCol w:w="213"/>
        <w:gridCol w:w="411"/>
        <w:gridCol w:w="110"/>
        <w:gridCol w:w="109"/>
        <w:gridCol w:w="109"/>
        <w:gridCol w:w="109"/>
        <w:gridCol w:w="213"/>
        <w:gridCol w:w="411"/>
        <w:gridCol w:w="110"/>
        <w:gridCol w:w="109"/>
        <w:gridCol w:w="109"/>
        <w:gridCol w:w="109"/>
        <w:gridCol w:w="211"/>
        <w:gridCol w:w="118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at Fair Value as of April 30, 2025</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Daktronics, Inc.*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22,219,583 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209,158,254 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Net Asset Value (NAV)**: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Stable Value Z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10,304,183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Principal/Blackrock S&amp;P 500 Index CIT 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17,572,378</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259,254,398 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*Indicates a party-in-interest as defined under the Employee Retirement Income Security Act of 1974, as amended ("ERISA")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**Certain investments are measured at fair value using the net asset value (“NAV”) per share (or its equivalent) as a practical expedient. These investments have not been classified within the fair value hierarchy established by ASC 820. The fair value amounts presented in the accompanying table are included to facilitate reconciliation of the fair value hierarchy to the amounts reported in the Statement of Net Assets Available for Benefits.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Classification within the fair value hierarchy is determined based on the lowest level input that is significant to the fair value measurement of the asset. For instruments classified as Level 1 or Level 2, fair value measurements rely primarily on observable market data, resulting in minimal judgment. Instruments classified as Level 3 involve significant management judgment due to the absence of observable market inputs.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periodically reviews and updates its fair value hierarchy classifications. Changes in the observability of inputs may result in reclassification between levels within the hierarchy.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and inputs used for each major class of investment measured at fair value: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Daktronics, Inc. common stock:</w:t>
      </w:r>
      <w:r>
        <w:rPr>
          <w:color w:val="000000"/>
        </w:rPr>
        <w:t> </w:t>
      </w:r>
      <w:r>
        <w:rPr>
          <w:rFonts w:ascii="Times New Roman;serif" w:hAnsi="Times New Roman;serif"/>
          <w:b w:val="false"/>
          <w:color w:val="000000"/>
          <w:sz w:val="20"/>
        </w:rPr>
        <w:t>Fair value is based on quoted market prices in active markets for identical securities.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Mutual funds:</w:t>
      </w:r>
      <w:r>
        <w:rPr>
          <w:color w:val="000000"/>
        </w:rPr>
        <w:t xml:space="preserve"> </w:t>
      </w:r>
      <w:r>
        <w:rPr>
          <w:rFonts w:ascii="Times New Roman;serif" w:hAnsi="Times New Roman;serif"/>
          <w:b w:val="false"/>
          <w:color w:val="000000"/>
          <w:sz w:val="20"/>
        </w:rPr>
        <w:t>Fair value is determined using the closing NAV per share as reported on the active market on the valuation date.</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u w:val="single"/>
        </w:rPr>
        <w:t>Pooled Separate Accounts:</w:t>
      </w:r>
      <w:r>
        <w:rPr>
          <w:color w:val="000000"/>
        </w:rPr>
        <w:t xml:space="preserve"> </w:t>
      </w:r>
      <w:r>
        <w:rPr>
          <w:rFonts w:ascii="Times New Roman;serif" w:hAnsi="Times New Roman;serif"/>
          <w:b w:val="false"/>
          <w:color w:val="000000"/>
          <w:sz w:val="20"/>
        </w:rPr>
        <w:t>Valued by using the net asset value of the funds at year-end as a practical expedient. The net asset value is not a publicly</w:t>
        <w:noBreakHyphen/>
        <w:t>quoted price in an active market and is determined based upon the fair value of the underlying investments. The Plan considers the fair value per share (unit) to be a readily determinable fair value which is disclosed and used as the basis for current transactions and thus classified as Level 1 in the fair value hierarchy.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u w:val="single"/>
        </w:rPr>
        <w:t>Common collective trusts:</w:t>
      </w:r>
      <w:r>
        <w:rPr>
          <w:color w:val="000000"/>
        </w:rPr>
        <w:t> </w:t>
      </w:r>
      <w:r>
        <w:rPr>
          <w:rFonts w:ascii="Times New Roman;serif" w:hAnsi="Times New Roman;serif"/>
          <w:b w:val="false"/>
          <w:color w:val="000000"/>
          <w:sz w:val="20"/>
        </w:rPr>
        <w:t>The Plan offered the Principal Stable Value Z Fund as an investment option in Plan years 2026 and 2025. In addition, the Principal/BlackRock S&amp;P 500 Index CIT N Fund was offered as an investment option during Plan year 2025.</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i/>
          <w:color w:val="000000"/>
          <w:sz w:val="20"/>
        </w:rPr>
        <w:t xml:space="preserve">Principal Stable Value Z Fund: </w:t>
      </w:r>
      <w:r>
        <w:rPr>
          <w:rFonts w:ascii="Times New Roman;serif" w:hAnsi="Times New Roman;serif"/>
          <w:b w:val="false"/>
          <w:color w:val="000000"/>
          <w:sz w:val="20"/>
        </w:rPr>
        <w:t xml:space="preserve">This fund invests in conventional and synthetic guaranteed investment contracts (“GICs”) issued by financial institutions, with excess cash held in cash equivalents. The fund seeks capital preservation and stable returns regardless of market volatility. Fair value is estimated using NAV as a practical expedient, which reflects the value of the underlying assets less liabilities. The NAV is not used if it is probable that the investment will be sold for an amount materially different from NAV. Participant transactions may occur daily. Full redemptions may be temporarily delayed by the issuer to ensure orderly liquidation. There are no current redemption restrictions or unfunded commitments.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i/>
          <w:color w:val="000000"/>
          <w:sz w:val="20"/>
        </w:rPr>
        <w:t xml:space="preserve">Principal/BlackRock S&amp;P 500 Index CIT N Fund: </w:t>
      </w:r>
      <w:r>
        <w:rPr>
          <w:rFonts w:ascii="Times New Roman;serif" w:hAnsi="Times New Roman;serif"/>
          <w:b w:val="false"/>
          <w:color w:val="000000"/>
          <w:sz w:val="20"/>
        </w:rPr>
        <w:t xml:space="preserve">This index fund invests in equity securities of companies comprising the S&amp;P 500 Index through one or more underlying collective investment funds managed by BlackRock Institutional Trust Company, N.A. Fair value is determined using NAV as reported by the fund manager, based on recent transaction prices. The fund permits daily redemptions at NAV without advance notice.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NOTE 4. PLAN TERMINATION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Plan, the Plan Sponsor reserves the right to discontinue contributions at any time and to terminate the Plan, subject to the provisions of ERISA. As of the date of this filing, the Plan Sponsor has not expressed any intent to terminate the Plan. In the event of Plan termination, all participants would become fully vested in their account balances.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NOTE 5. FEDERAL INCOME TAX STATUS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has received a determination letter from the IRS dated May 8, 2014, affirming that the Plan qualifies under Section 401(a) of the Code and that the related trust is exempt from federal income taxation under Section 501(a) of the Code. Once qualified, the Plan must operate in compliance with the Code to maintain its tax-qualified status. The Plan Administrator believes the Plan, as amended, continues to operate in compliance with the applicable requirements of the Code and, therefore, remains qualified and the related trust remains tax-exempt.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GAAP requires Plan management to evaluate tax positions taken by the Plan and recognize a tax liability if it is more likely than not that a tax position would not be sustained upon examination by the IRS. Plan management has reviewed the tax positions taken by the Plan and has concluded that there are no uncertain tax positions requiring recognition in the financial statements.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subject to routine audits by taxing authorities; however, there are currently no audits in progress for any tax periods. The Plan Administrator believes the Plan is no longer subject to income tax examinations for periods prior to April 30, 2022.</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NOTE 6. RISKS AND UNCERTAINTIES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invests in various types of investment securities. These securities are subject to a range of risks, including interest rate risk, market risk, and credit risk. Due to the nature of these risks, it is at least reasonably possible that changes in the fair value of investment securities could occur in the near term and that such changes may materially affect participants’ account balances and the amounts reported in the financial statements.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30, 2026 and 2025, investments in Daktronics, Inc. common stock represented approximately 9.8 percent of net assets available for benefits in each respective year. Fluctuations in the market price of Daktronics, Inc. common stock may continue to have a material impact on participants’ account balances and the overall net assets available for benefits.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NOTE 7. RELATED PARTY TRANSACTIONS AND EXEMPT PARTY-IN-INTEREST TRANSACTIONS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invests in common collective trusts that are administered or managed by Principal Financial Group, the Plan’s trustee. In addition, the Plan permits participant loans and includes investments in the common stock of Daktronics, Inc. These transactions qualify as party-in-interest transactions under ERISA, but are exempt from the prohibited transaction provisions pursuant to statutory and regulatory exemptions.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30, 2026 and 2025, the Plan held 1,645,067 and 1,750,952 shares, respectively, of Daktronics, Inc. common stock. During the years ended April 30, 2026 and 2025, purchases of Daktronics, Inc. common stock by the Plan totaled $1,665,165 and $655,031, respectively, while sales totaled $3,784,520 and $6,166,722,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NOTE 8. SUBSEQUENT EVENTS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has evaluated events occurring subsequent to April 30, 2026 through October 2, 2026, the date the financial statements were filed with the Securities and Exchange Commission. Based on this evaluation, management has determined that no events occurred during this period that require recognition or disclosure in the accompanying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 401(k) PLAN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EIN-46-0306862 PLAN 002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SCHEDULE H, LINE 4i</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SCHEDULE OF ASSETS (HELD AT END OF YEAR)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APRIL 30, 2026 </w:t>
      </w:r>
    </w:p>
    <w:p>
      <w:pPr>
        <w:pStyle w:val="TextBody"/>
        <w:bidi w:val="0"/>
        <w:spacing w:lineRule="auto" w:line="240"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01"/>
        <w:gridCol w:w="2170"/>
        <w:gridCol w:w="2188"/>
        <w:gridCol w:w="109"/>
        <w:gridCol w:w="109"/>
        <w:gridCol w:w="109"/>
        <w:gridCol w:w="309"/>
        <w:gridCol w:w="309"/>
        <w:gridCol w:w="313"/>
        <w:gridCol w:w="109"/>
        <w:gridCol w:w="109"/>
        <w:gridCol w:w="109"/>
        <w:gridCol w:w="225"/>
        <w:gridCol w:w="1269"/>
        <w:gridCol w:w="167"/>
      </w:tblGrid>
      <w:tr>
        <w:trPr/>
        <w:tc>
          <w:tcPr>
            <w:tcW w:w="2601"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Current Value (2)</w:t>
            </w:r>
          </w:p>
        </w:tc>
      </w:tr>
      <w:tr>
        <w:trPr/>
        <w:tc>
          <w:tcPr>
            <w:tcW w:w="6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Daktronics, Inc. common stock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32,342,011 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Stable Value Z Fund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10,758,468 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10,758,468 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Hancock Disciplined Value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Hancock Disciplined Value Mid Cap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11,908,728 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 Morgan Large Cap Growth -R6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44,928,577 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Rowe Price Small Capitalization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14,450,584 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Company of America - R6 (Large cap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26,369,105 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Pimco Total Return Fund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6,757,629 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Balances Index FD-I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20,841,716 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6,893,420 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6,419,292 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11,197,597 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12,765,074 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13,813,990 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12,775,845 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6,267,831 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Target Retirement 2070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Group EUPAC E Separate Acct-E1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14,834,221 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Global Investors Trust Co Bond Market Index Sep Acct-Z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Global Investors Trust Co Intl Equity Index Sep Acct-Z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3,893,738 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Global Investors Trust Co Large Cap S&amp;P 500 Sep Acct-Z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24,826,742 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Global Investors Trust Co Mid Cap Sep Acct-Z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13,780,400 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Global Investors Trust Co Mid Cap S&amp;P 400 Sep Acct-Z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8,492,315 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Global Investors Trust Co Small Cap S&amp;P 600 Index Sep Acct-Z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6,894,343 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284,884,930 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 loans (with interest rates ranging from 3.25 to 8.50 percent, maturing through February 2034)(1)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330,642,663 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8370" w:type="dxa"/>
        <w:jc w:val="left"/>
        <w:tblInd w:w="0" w:type="dxa"/>
        <w:tblLayout w:type="fixed"/>
        <w:tblCellMar>
          <w:top w:w="28" w:type="dxa"/>
          <w:left w:w="28" w:type="dxa"/>
          <w:bottom w:w="28" w:type="dxa"/>
          <w:right w:w="28" w:type="dxa"/>
        </w:tblCellMar>
      </w:tblPr>
      <w:tblGrid>
        <w:gridCol w:w="2681"/>
        <w:gridCol w:w="2355"/>
        <w:gridCol w:w="3334"/>
      </w:tblGrid>
      <w:tr>
        <w:trPr/>
        <w:tc>
          <w:tcPr>
            <w:tcW w:w="2681"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(1) </w:t>
            </w:r>
            <w:r>
              <w:rPr>
                <w:rFonts w:ascii="Times New Roman;serif" w:hAnsi="Times New Roman;serif"/>
                <w:b w:val="false"/>
                <w:color w:val="000000"/>
                <w:sz w:val="20"/>
              </w:rPr>
              <w:t>Indicates a party-in-interest to the Plan.</w:t>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(2) </w:t>
            </w:r>
            <w:r>
              <w:rPr>
                <w:rFonts w:ascii="Times New Roman;serif" w:hAnsi="Times New Roman;serif"/>
                <w:b w:val="false"/>
                <w:color w:val="000000"/>
                <w:sz w:val="20"/>
              </w:rPr>
              <w:t>Cost information is not required for participant-directed investments and therefore is not included.</w:t>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Report of Independent Registered Public Accounting Firm. </w:t>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i/>
          <w:color w:val="000000"/>
          <w:sz w:val="20"/>
        </w:rPr>
        <w:t>The Plan</w:t>
      </w:r>
      <w:r>
        <w:rPr>
          <w:rFonts w:ascii="Times New Roman;serif" w:hAnsi="Times New Roman;serif"/>
          <w:b w:val="false"/>
          <w:color w:val="000000"/>
          <w:sz w:val="20"/>
        </w:rPr>
        <w:t>. Pursuant to the requirements of the Securities Act of 1934, the trustees (or other persons who administer the employee benefit plan) have duly caused this annual report to be signed on its behalf by the undersigned thereunto duly authorized.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4827"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900"/>
        <w:gridCol w:w="900"/>
        <w:gridCol w:w="1275"/>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DAKTRONICS, INC. 401(k) PLAN</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Howard I. Atkins</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Nos. 333-109962 and 333-221862 on Form S-8 of our report dated October 2, 2026 relating to the financial statements of Daktronics, Inc. 401(k) Plan, appearing in the Annual Report on Form 11-K of Daktronics, Inc. 401(k) Plan for the year ended April 30, 2026.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 2026</w:t>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3839</Words>
  <Characters>21760</Characters>
  <CharactersWithSpaces>25434</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