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DAKTRONICS INC /SD/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CONNOR HALEY</w:t>
              <w:br/>
              <w:t>ALTA FOX CAPITAL MANAGEMENT, LLC, 640 Taylor Street, Suite 2522</w:t>
              <w:br/>
              <w:t>Fort Worth, TX, 76102</w:t>
              <w:br/>
              <w:t>(817) 639-2369</w:t>
            </w:r>
          </w:p>
          <w:p>
            <w:pPr>
              <w:pStyle w:val="TableContents"/>
              <w:bidi w:val="0"/>
              <w:jc w:val="left"/>
              <w:rPr/>
            </w:pPr>
            <w:r>
              <w:rPr/>
            </w:r>
          </w:p>
          <w:p>
            <w:pPr>
              <w:pStyle w:val="TableContents"/>
              <w:bidi w:val="0"/>
              <w:spacing w:before="0" w:after="0"/>
              <w:jc w:val="center"/>
              <w:rPr>
                <w:b/>
                <w:color w:val="0000FF"/>
              </w:rPr>
            </w:pPr>
            <w:r>
              <w:rPr>
                <w:b/>
                <w:color w:val="0000FF"/>
              </w:rPr>
              <w:t>Michal Riha</w:t>
              <w:br/>
              <w:t>STANDISH COMPLIANCE, 200 Crescent Court, Suite 1300</w:t>
              <w:br/>
              <w:t>Dallas, TX, 75201</w:t>
              <w:br/>
              <w:t>817.659.2985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Alta Fox Opportunities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2,130,324.00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2,130,324.00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2,130,324.00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Alta Fox GenPar,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2,130,324.00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2,130,324.00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2,130,324.00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Alta Fox Equity,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2,130,324.00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2,130,324.00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2,130,324.00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64"/>
        <w:gridCol w:w="7941"/>
      </w:tblGrid>
      <w:tr>
        <w:trPr/>
        <w:tc>
          <w:tcPr>
            <w:tcW w:w="2264" w:type="dxa"/>
            <w:tcBorders/>
            <w:vAlign w:val="center"/>
          </w:tcPr>
          <w:p>
            <w:pPr>
              <w:pStyle w:val="TableContents"/>
              <w:bidi w:val="0"/>
              <w:spacing w:before="0" w:after="283"/>
              <w:jc w:val="left"/>
              <w:rPr/>
            </w:pPr>
            <w:r>
              <w:rPr/>
              <w:t>1</w:t>
            </w:r>
          </w:p>
        </w:tc>
        <w:tc>
          <w:tcPr>
            <w:tcW w:w="794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ALTA FOX CAPITAL MANAGEMENT, LLC</w:t>
            </w:r>
          </w:p>
        </w:tc>
      </w:tr>
      <w:tr>
        <w:trPr/>
        <w:tc>
          <w:tcPr>
            <w:tcW w:w="2264" w:type="dxa"/>
            <w:tcBorders/>
            <w:vAlign w:val="center"/>
          </w:tcPr>
          <w:p>
            <w:pPr>
              <w:pStyle w:val="TableContents"/>
              <w:bidi w:val="0"/>
              <w:spacing w:before="0" w:after="283"/>
              <w:jc w:val="left"/>
              <w:rPr/>
            </w:pPr>
            <w:r>
              <w:rPr/>
              <w:t>2</w:t>
            </w:r>
          </w:p>
        </w:tc>
        <w:tc>
          <w:tcPr>
            <w:tcW w:w="79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64" w:type="dxa"/>
            <w:tcBorders/>
            <w:vAlign w:val="center"/>
          </w:tcPr>
          <w:p>
            <w:pPr>
              <w:pStyle w:val="TableContents"/>
              <w:bidi w:val="0"/>
              <w:spacing w:before="0" w:after="283"/>
              <w:jc w:val="left"/>
              <w:rPr/>
            </w:pPr>
            <w:r>
              <w:rPr/>
              <w:t>3</w:t>
            </w:r>
          </w:p>
        </w:tc>
        <w:tc>
          <w:tcPr>
            <w:tcW w:w="7941" w:type="dxa"/>
            <w:tcBorders/>
            <w:vAlign w:val="center"/>
          </w:tcPr>
          <w:p>
            <w:pPr>
              <w:pStyle w:val="TableContents"/>
              <w:bidi w:val="0"/>
              <w:spacing w:before="0" w:after="283"/>
              <w:jc w:val="left"/>
              <w:rPr/>
            </w:pPr>
            <w:r>
              <w:rPr/>
              <w:t>SEC use only</w:t>
            </w:r>
          </w:p>
        </w:tc>
      </w:tr>
      <w:tr>
        <w:trPr/>
        <w:tc>
          <w:tcPr>
            <w:tcW w:w="2264" w:type="dxa"/>
            <w:tcBorders/>
            <w:vAlign w:val="center"/>
          </w:tcPr>
          <w:p>
            <w:pPr>
              <w:pStyle w:val="TableContents"/>
              <w:bidi w:val="0"/>
              <w:spacing w:before="0" w:after="283"/>
              <w:jc w:val="left"/>
              <w:rPr/>
            </w:pPr>
            <w:r>
              <w:rPr/>
              <w:t>4</w:t>
            </w:r>
          </w:p>
        </w:tc>
        <w:tc>
          <w:tcPr>
            <w:tcW w:w="794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64" w:type="dxa"/>
            <w:tcBorders/>
            <w:vAlign w:val="center"/>
          </w:tcPr>
          <w:p>
            <w:pPr>
              <w:pStyle w:val="TableContents"/>
              <w:bidi w:val="0"/>
              <w:spacing w:before="0" w:after="283"/>
              <w:jc w:val="left"/>
              <w:rPr/>
            </w:pPr>
            <w:r>
              <w:rPr/>
              <w:t>5</w:t>
            </w:r>
          </w:p>
        </w:tc>
        <w:tc>
          <w:tcPr>
            <w:tcW w:w="794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64" w:type="dxa"/>
            <w:tcBorders/>
            <w:vAlign w:val="center"/>
          </w:tcPr>
          <w:p>
            <w:pPr>
              <w:pStyle w:val="TableContents"/>
              <w:bidi w:val="0"/>
              <w:spacing w:before="0" w:after="283"/>
              <w:jc w:val="left"/>
              <w:rPr/>
            </w:pPr>
            <w:r>
              <w:rPr/>
              <w:t>6</w:t>
            </w:r>
          </w:p>
        </w:tc>
        <w:tc>
          <w:tcPr>
            <w:tcW w:w="79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26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2,130,324.00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2,130,324.00</w:t>
                  </w:r>
                </w:p>
              </w:tc>
            </w:tr>
          </w:tbl>
          <w:p>
            <w:pPr>
              <w:pStyle w:val="TableContents"/>
              <w:bidi w:val="0"/>
              <w:spacing w:before="0" w:after="283"/>
              <w:jc w:val="left"/>
              <w:rPr/>
            </w:pPr>
            <w:r>
              <w:rPr/>
            </w:r>
          </w:p>
        </w:tc>
        <w:tc>
          <w:tcPr>
            <w:tcW w:w="7941" w:type="dxa"/>
            <w:tcBorders/>
            <w:vAlign w:val="center"/>
          </w:tcPr>
          <w:p>
            <w:pPr>
              <w:pStyle w:val="TableContents"/>
              <w:bidi w:val="0"/>
              <w:spacing w:before="0" w:after="283"/>
              <w:jc w:val="left"/>
              <w:rPr>
                <w:sz w:val="4"/>
                <w:szCs w:val="4"/>
              </w:rPr>
            </w:pPr>
            <w:r>
              <w:rPr>
                <w:sz w:val="4"/>
                <w:szCs w:val="4"/>
              </w:rPr>
            </w:r>
          </w:p>
        </w:tc>
      </w:tr>
      <w:tr>
        <w:trPr/>
        <w:tc>
          <w:tcPr>
            <w:tcW w:w="2264" w:type="dxa"/>
            <w:tcBorders/>
            <w:vAlign w:val="center"/>
          </w:tcPr>
          <w:p>
            <w:pPr>
              <w:pStyle w:val="TableContents"/>
              <w:bidi w:val="0"/>
              <w:spacing w:before="0" w:after="283"/>
              <w:jc w:val="left"/>
              <w:rPr/>
            </w:pPr>
            <w:r>
              <w:rPr/>
              <w:t>11</w:t>
            </w:r>
          </w:p>
        </w:tc>
        <w:tc>
          <w:tcPr>
            <w:tcW w:w="79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2,130,324.00</w:t>
            </w:r>
          </w:p>
        </w:tc>
      </w:tr>
      <w:tr>
        <w:trPr/>
        <w:tc>
          <w:tcPr>
            <w:tcW w:w="2264" w:type="dxa"/>
            <w:tcBorders/>
            <w:vAlign w:val="center"/>
          </w:tcPr>
          <w:p>
            <w:pPr>
              <w:pStyle w:val="TableContents"/>
              <w:bidi w:val="0"/>
              <w:spacing w:before="0" w:after="283"/>
              <w:jc w:val="left"/>
              <w:rPr/>
            </w:pPr>
            <w:r>
              <w:rPr/>
              <w:t>12</w:t>
            </w:r>
          </w:p>
        </w:tc>
        <w:tc>
          <w:tcPr>
            <w:tcW w:w="794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64" w:type="dxa"/>
            <w:tcBorders/>
            <w:vAlign w:val="center"/>
          </w:tcPr>
          <w:p>
            <w:pPr>
              <w:pStyle w:val="TableContents"/>
              <w:bidi w:val="0"/>
              <w:spacing w:before="0" w:after="283"/>
              <w:jc w:val="left"/>
              <w:rPr/>
            </w:pPr>
            <w:r>
              <w:rPr/>
              <w:t>13</w:t>
            </w:r>
          </w:p>
        </w:tc>
        <w:tc>
          <w:tcPr>
            <w:tcW w:w="794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4.4 % </w:t>
            </w:r>
          </w:p>
        </w:tc>
      </w:tr>
      <w:tr>
        <w:trPr/>
        <w:tc>
          <w:tcPr>
            <w:tcW w:w="2264" w:type="dxa"/>
            <w:tcBorders/>
            <w:vAlign w:val="center"/>
          </w:tcPr>
          <w:p>
            <w:pPr>
              <w:pStyle w:val="TableContents"/>
              <w:bidi w:val="0"/>
              <w:spacing w:before="0" w:after="283"/>
              <w:jc w:val="left"/>
              <w:rPr/>
            </w:pPr>
            <w:r>
              <w:rPr/>
              <w:t>14</w:t>
            </w:r>
          </w:p>
        </w:tc>
        <w:tc>
          <w:tcPr>
            <w:tcW w:w="79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Haley Patrick Connor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2,130,324.00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2,130,324.00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2,130,324.00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DAKTRONICS INC /SD/</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DAKTRONICS DRIVE, BROOKINGS, SOUTH DAKOTA , 57006.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7 to the Schedule 13D filed by the undersigned ('Amendment No. 7'). Except as specifically amended by this Amendment No. 7, the Schedule 13D remains unchanged. Unless otherwise defined herein, all capitalized terms used herein shall have the meanings given to them in the Schedule 13D.</w:t>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The Shares purchased by Alta Fox Opportunities were purchased with working capital (which may, at any given time, include margin loans made by brokerage firms in the ordinary course of business) in open market purchases, except as otherwise noted, as set forth in Exhibit 1, which is incorporated by reference herein. The aggregate purchase price of the 2,130,324 Shares beneficially owned by Alta Fox Opportunities is approximately $13,206,579, including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0"/>
              <w:jc w:val="left"/>
              <w:rPr/>
            </w:pPr>
            <w:r>
              <w:rPr/>
              <w:t>Items 5 (a)-(c) are hereby amended and restated to read as follows: The aggregate percentage of Shares reported owned by each person named herein is based upon 48,305,826 Shares outstanding, as of July 20, 2026, which is the total number of Shares outstanding as reported in the Issuer's 2026 definitive proxy statement (DEF 14A) filed with the Securities and Exchange Commission on July 28, 2026. Alta Fox Opportunities (a) As of the date hereof, Alta Fox Opportunities beneficially owns 2,130,324 Shares. Percentage: Approximately 4.41% (b) 1. Sole power to vote or direct vote: 0 2. Shared power to vote or direct vote: 2,130,324 3. Sole power to dispose or direct the disposition: 0 4.Shared power to dispose or direct the disposition: 2,130,324 (c) The transactions in the Shares owned by Alta Fox Opportunities during the past sixty days are set forth in Exhibit 1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pPr>
            <w:r>
              <w:rPr/>
              <w:t>Alta Fox GP (a) Alta Fox GP, as the general partner of Alta Fox Opportunities, may be deemed the beneficial owner of the 2,130,324 Shares owned by Alta Fox Opportunities. Percentage: Approximately 4.41% (b) 1. Sole power to vote or direct vote: 0 2.Shared power to vote or direct vote: 2,130,324 3.Sole power to dispose or direct the disposition: 0 4.Shared power to dispose or direct the disposition: 2,130,324 (c) Alta Fox GP has not entered into any transactions in the Shares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0"/>
              <w:jc w:val="left"/>
              <w:rPr/>
            </w:pPr>
            <w:r>
              <w:rPr/>
              <w:t>Alta Fox LLC (a) Alta Fox LLC, as the general partner of Alta Fox GP, may be deemed the beneficial owner of the 2,130,324 Shares owned by Alta Fox Opportunities. Percentage: Approximately 4.41% (b) 1. Sole power to vote or direct vote: 0 2.Shared power to vote or direct vote: 2,130,324 3.Sole power to dispose or direct the disposition: 0 4.Shared power to dispose or direct the disposition: 2,130,324 (c) Alta Fox LLC has not entered into any transactions in the Shares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0"/>
              <w:jc w:val="left"/>
              <w:rPr/>
            </w:pPr>
            <w:r>
              <w:rPr/>
              <w:t>Alta Fox Capital (a) Alta Fox Capital, as the investment manager of Alta Fox Opportunities, may be deemed the beneficial owner of the 2,130,324 Shares owned by Alta Fox Opportunities. Percentage: Approximately 4.41% (b) 1. Sole power to vote or direct vote: 0 2. Shared power to vote or direct vote: 2,130,324 3. Sole power to dispose or direct the disposition: 0 4. Shared power to dispose or direct the disposition: 2,130,324 (c) Alta Fox Capital has not entered into any transactions in the Shares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0"/>
              <w:jc w:val="left"/>
              <w:rPr/>
            </w:pPr>
            <w:r>
              <w:rPr/>
              <w:t>Mr. Haley (a) Mr. Haley, as the sole owner, member and manager of each of Alta Fox Capital and Alta Fox LLC, may be deemed the beneficial owner of the 2,130,324 Shares owned by Alta Fox Opportunities. Percentage: Approximately 4.41% (b) 1. Sole power to vote or direct vote: 0 2.Shared power to vote or direct vote: 2,130,324 3.Sole power to dispose or direct the disposition: 0 4.Shared power to dispose or direct the disposition: 2,130,324 (c) Mr. Haley has not entered into any transactions in the Shares during the past sixty days. On August 7, 2026, the Reporting Persons ceased to be the beneficial owners of more than five percent of the outstanding Common Stock of the Issuer. Accordingly, this Amendment constitutes an 'exit filing' and is the final amendment to the Schedule 13D.</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Item 7 is hereby amended to add the following exhibit: Exhibit 1: Transactions in the Shares.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Alta Fox Opportunities Fund,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Alta Fox GenPar, LP, its general partner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 Connor Haley,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Alta Fox GenPar, LP</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Alta Fox Equity, LLC, its general partner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P. Connor Haley,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Alta Fox Equity,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P. Connor Haley, its manager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Title: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10090" w:type="dxa"/>
        <w:jc w:val="left"/>
        <w:tblInd w:w="0" w:type="dxa"/>
        <w:tblLayout w:type="fixed"/>
        <w:tblCellMar>
          <w:top w:w="28" w:type="dxa"/>
          <w:left w:w="28" w:type="dxa"/>
          <w:bottom w:w="28" w:type="dxa"/>
          <w:right w:w="28" w:type="dxa"/>
        </w:tblCellMar>
      </w:tblPr>
      <w:tblGrid>
        <w:gridCol w:w="5045"/>
        <w:gridCol w:w="5045"/>
      </w:tblGrid>
      <w:tr>
        <w:trPr/>
        <w:tc>
          <w:tcPr>
            <w:tcW w:w="5045" w:type="dxa"/>
            <w:tcBorders/>
            <w:vAlign w:val="center"/>
          </w:tcPr>
          <w:p>
            <w:pPr>
              <w:pStyle w:val="TableContents"/>
              <w:bidi w:val="0"/>
              <w:spacing w:before="0" w:after="0"/>
              <w:jc w:val="left"/>
              <w:rPr/>
            </w:pPr>
            <w:r>
              <w:rPr/>
              <w:t> </w:t>
            </w:r>
          </w:p>
          <w:tbl>
            <w:tblPr>
              <w:tblW w:w="4891" w:type="dxa"/>
              <w:jc w:val="left"/>
              <w:tblInd w:w="0" w:type="dxa"/>
              <w:tblLayout w:type="fixed"/>
              <w:tblCellMar>
                <w:top w:w="28" w:type="dxa"/>
                <w:left w:w="28" w:type="dxa"/>
                <w:bottom w:w="28" w:type="dxa"/>
                <w:right w:w="28" w:type="dxa"/>
              </w:tblCellMar>
            </w:tblPr>
            <w:tblGrid>
              <w:gridCol w:w="4891"/>
            </w:tblGrid>
            <w:tr>
              <w:trPr/>
              <w:tc>
                <w:tcPr>
                  <w:tcW w:w="4891" w:type="dxa"/>
                  <w:tcBorders/>
                  <w:vAlign w:val="center"/>
                </w:tcPr>
                <w:p>
                  <w:pPr>
                    <w:pStyle w:val="TableContents"/>
                    <w:bidi w:val="0"/>
                    <w:spacing w:before="0" w:after="0"/>
                    <w:jc w:val="left"/>
                    <w:rPr/>
                  </w:pPr>
                  <w:r>
                    <w:rPr/>
                    <w:t>ALTA FOX CAPITAL MANAGEMENT, LLC</w:t>
                  </w:r>
                </w:p>
              </w:tc>
            </w:tr>
          </w:tbl>
          <w:p>
            <w:pPr>
              <w:pStyle w:val="TableContents"/>
              <w:bidi w:val="0"/>
              <w:spacing w:before="0" w:after="283"/>
              <w:jc w:val="left"/>
              <w:rPr/>
            </w:pPr>
            <w:r>
              <w:rPr/>
            </w:r>
          </w:p>
        </w:tc>
        <w:tc>
          <w:tcPr>
            <w:tcW w:w="5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P. Connor Haley, its manager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Haley Patrick Connor</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 Connor Haley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1750</Words>
  <Characters>8949</Characters>
  <CharactersWithSpaces>10565</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