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0751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342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August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154940</wp:posOffset>
            </wp:positionV>
            <wp:extent cx="1097915"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318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0-23246</w:t>
            </w:r>
          </w:p>
        </w:tc>
        <w:tc>
          <w:tcPr>
            <w:tcW w:w="27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70"/>
        </w:trPr>
        <w:tc>
          <w:tcPr>
            <w:tcW w:w="31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27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31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27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 Daktronics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Brookings, SD 57006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(605) 692-0200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07517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344"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jc w:val="both"/>
        <w:ind w:left="660" w:right="2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2016, the Compensation Committee of the Board of Directors of Daktronics, Inc. (the “Company”) recommended and the Board of Directors authorized grants of incentive stock options to purchase shares of the Company's common stock and grants of restricted stock units under the Company's 2015 Stock Incentive Plan (the “Plan”) to five of the Named Executive Officers as indicated below.</w:t>
      </w:r>
    </w:p>
    <w:p>
      <w:pPr>
        <w:spacing w:after="0" w:line="176"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new incentive stock options vests annually as to 20 percent of the shares subject to the option over five years beginning on the first anniversary of the date of grant, has a ten-year term, is subject to the terms and conditions of the Plan, and has an exercise price equal to the fair market value of the Company's common stock on the grant date, which was $9.57. Each of the new restricted stock units vest annually as to 20 percent of the shares subject to the restricted stock unit over five years beginning on the first anniversary of the date of grant and is subject to the terms and conditions of the Plan. Copies of the Plan and the forms of agreements under which these options and restricted stock units were granted are on file with the Securities and Exchange Commission as exhibits to the Company's reports.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grants of the options and restricted stock units to the five Named Executive Officers effective on September 1, 2016:</w:t>
      </w:r>
    </w:p>
    <w:p>
      <w:pPr>
        <w:spacing w:after="0" w:line="34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Incentive Stock Options</w:t>
            </w:r>
          </w:p>
        </w:tc>
        <w:tc>
          <w:tcPr>
            <w:tcW w:w="2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0" w:type="dxa"/>
            <w:vAlign w:val="bottom"/>
          </w:tcPr>
          <w:p>
            <w:pPr>
              <w:spacing w:after="0"/>
              <w:rPr>
                <w:sz w:val="1"/>
                <w:szCs w:val="1"/>
                <w:color w:val="auto"/>
              </w:rPr>
            </w:pPr>
          </w:p>
        </w:tc>
      </w:tr>
      <w:tr>
        <w:trPr>
          <w:trHeight w:val="27"/>
        </w:trPr>
        <w:tc>
          <w:tcPr>
            <w:tcW w:w="25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gridSpan w:val="2"/>
            <w:vMerge w:val="continue"/>
          </w:tcPr>
          <w:p>
            <w:pPr>
              <w:spacing w:after="0"/>
              <w:rPr>
                <w:sz w:val="20"/>
                <w:szCs w:val="20"/>
                <w:color w:val="auto"/>
              </w:rPr>
            </w:pPr>
          </w:p>
        </w:tc>
        <w:tc>
          <w:tcPr>
            <w:tcW w:w="3000" w:type="dxa"/>
            <w:vAlign w:val="bottom"/>
            <w:gridSpan w:val="2"/>
            <w:vMerge w:val="continue"/>
          </w:tcPr>
          <w:p>
            <w:pPr>
              <w:spacing w:after="0"/>
              <w:rPr>
                <w:sz w:val="20"/>
                <w:szCs w:val="20"/>
                <w:color w:val="auto"/>
              </w:rPr>
            </w:pPr>
          </w:p>
        </w:tc>
        <w:tc>
          <w:tcPr>
            <w:tcW w:w="2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Shares Underlying Options</w:t>
            </w:r>
          </w:p>
        </w:tc>
        <w:tc>
          <w:tcPr>
            <w:tcW w:w="2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 Underlying Units</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420" w:type="dxa"/>
            <w:vAlign w:val="bottom"/>
          </w:tcPr>
          <w:p>
            <w:pPr>
              <w:spacing w:after="0"/>
              <w:rPr>
                <w:sz w:val="20"/>
                <w:szCs w:val="20"/>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420" w:type="dxa"/>
            <w:vAlign w:val="bottom"/>
          </w:tcPr>
          <w:p>
            <w:pPr>
              <w:spacing w:after="0"/>
              <w:rPr>
                <w:sz w:val="23"/>
                <w:szCs w:val="23"/>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420" w:type="dxa"/>
            <w:vAlign w:val="bottom"/>
          </w:tcPr>
          <w:p>
            <w:pPr>
              <w:spacing w:after="0"/>
              <w:rPr>
                <w:sz w:val="23"/>
                <w:szCs w:val="23"/>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420" w:type="dxa"/>
            <w:vAlign w:val="bottom"/>
          </w:tcPr>
          <w:p>
            <w:pPr>
              <w:spacing w:after="0"/>
              <w:rPr>
                <w:sz w:val="23"/>
                <w:szCs w:val="23"/>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6,870</w:t>
            </w:r>
          </w:p>
        </w:tc>
        <w:tc>
          <w:tcPr>
            <w:tcW w:w="420" w:type="dxa"/>
            <w:vAlign w:val="bottom"/>
          </w:tcPr>
          <w:p>
            <w:pPr>
              <w:spacing w:after="0"/>
              <w:rPr>
                <w:sz w:val="23"/>
                <w:szCs w:val="23"/>
                <w:color w:val="auto"/>
              </w:rPr>
            </w:pPr>
          </w:p>
        </w:tc>
        <w:tc>
          <w:tcPr>
            <w:tcW w:w="2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5.07 Submission of Matters to a Vote of Security Holders</w:t>
      </w:r>
    </w:p>
    <w:p>
      <w:pPr>
        <w:spacing w:after="0" w:line="185" w:lineRule="exact"/>
        <w:rPr>
          <w:sz w:val="20"/>
          <w:szCs w:val="20"/>
          <w:color w:val="auto"/>
        </w:rPr>
      </w:pPr>
    </w:p>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2016, the Company held its Annual Meeting of Shareholders for fiscal 2016 (“2016 Annual Meeting”). Of the 44,093,054 shares of the Company's common stock outstanding and entitled to vote at the 2016 Annual Meeting, 40,251,137 shares, or 91.29 percent, which constituted a quorum, were represented at the 2016 Annual Meeting.</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votes on the proposals at the 2016 Annual Meeting were as follows.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b w:val="1"/>
          <w:bCs w:val="1"/>
          <w:color w:val="auto"/>
        </w:rPr>
        <w:t>Election of Directors.</w:t>
      </w:r>
      <w:r>
        <w:rPr>
          <w:rFonts w:ascii="Times New Roman" w:cs="Times New Roman" w:eastAsia="Times New Roman" w:hAnsi="Times New Roman"/>
          <w:sz w:val="18"/>
          <w:szCs w:val="18"/>
          <w:color w:val="auto"/>
        </w:rPr>
        <w:t xml:space="preserve"> The following individuals were elected as directors by the following vote, each to serve a three-year term that expires on the date of the Annual Meeting of Shareholders in 2019 or until his or her successor is duly elected:</w:t>
      </w:r>
    </w:p>
    <w:p>
      <w:pPr>
        <w:spacing w:after="0" w:line="317"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40" w:type="dxa"/>
            <w:vAlign w:val="bottom"/>
            <w:gridSpan w:val="4"/>
          </w:tcPr>
          <w:p>
            <w:pPr>
              <w:ind w:left="1260"/>
              <w:spacing w:after="0"/>
              <w:rPr>
                <w:sz w:val="20"/>
                <w:szCs w:val="20"/>
                <w:color w:val="auto"/>
              </w:rPr>
            </w:pPr>
            <w:r>
              <w:rPr>
                <w:rFonts w:ascii="Times New Roman" w:cs="Times New Roman" w:eastAsia="Times New Roman" w:hAnsi="Times New Roman"/>
                <w:sz w:val="18"/>
                <w:szCs w:val="18"/>
                <w:b w:val="1"/>
                <w:bCs w:val="1"/>
                <w:color w:val="auto"/>
              </w:rPr>
              <w:t>Number of Shares Voted</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38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37"/>
        </w:trPr>
        <w:tc>
          <w:tcPr>
            <w:tcW w:w="3160" w:type="dxa"/>
            <w:vAlign w:val="bottom"/>
            <w:gridSpan w:val="2"/>
            <w:vMerge w:val="continue"/>
          </w:tcPr>
          <w:p>
            <w:pPr>
              <w:spacing w:after="0"/>
              <w:rPr>
                <w:sz w:val="20"/>
                <w:szCs w:val="20"/>
                <w:color w:val="auto"/>
              </w:rPr>
            </w:pP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B. Morgan</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27,017,931</w:t>
            </w:r>
          </w:p>
        </w:tc>
        <w:tc>
          <w:tcPr>
            <w:tcW w:w="280" w:type="dxa"/>
            <w:vAlign w:val="bottom"/>
          </w:tcPr>
          <w:p>
            <w:pPr>
              <w:spacing w:after="0"/>
              <w:rPr>
                <w:sz w:val="20"/>
                <w:szCs w:val="20"/>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1,471,396</w:t>
            </w:r>
          </w:p>
        </w:tc>
        <w:tc>
          <w:tcPr>
            <w:tcW w:w="280" w:type="dxa"/>
            <w:vAlign w:val="bottom"/>
          </w:tcPr>
          <w:p>
            <w:pPr>
              <w:spacing w:after="0"/>
              <w:rPr>
                <w:sz w:val="20"/>
                <w:szCs w:val="20"/>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11,761,810</w:t>
            </w:r>
          </w:p>
        </w:tc>
        <w:tc>
          <w:tcPr>
            <w:tcW w:w="0" w:type="dxa"/>
            <w:vAlign w:val="bottom"/>
          </w:tcPr>
          <w:p>
            <w:pPr>
              <w:spacing w:after="0"/>
              <w:rPr>
                <w:sz w:val="1"/>
                <w:szCs w:val="1"/>
                <w:color w:val="auto"/>
              </w:rPr>
            </w:pP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L. Mulligan</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26,477,081</w:t>
            </w:r>
          </w:p>
        </w:tc>
        <w:tc>
          <w:tcPr>
            <w:tcW w:w="28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2,012,246</w:t>
            </w:r>
          </w:p>
        </w:tc>
        <w:tc>
          <w:tcPr>
            <w:tcW w:w="28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11,761,810</w:t>
            </w:r>
          </w:p>
        </w:tc>
        <w:tc>
          <w:tcPr>
            <w:tcW w:w="0" w:type="dxa"/>
            <w:vAlign w:val="bottom"/>
          </w:tcPr>
          <w:p>
            <w:pPr>
              <w:spacing w:after="0"/>
              <w:rPr>
                <w:sz w:val="1"/>
                <w:szCs w:val="1"/>
                <w:color w:val="auto"/>
              </w:rPr>
            </w:pP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P. McDermott</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28,079,337</w:t>
            </w:r>
          </w:p>
        </w:tc>
        <w:tc>
          <w:tcPr>
            <w:tcW w:w="28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409,990</w:t>
            </w:r>
          </w:p>
        </w:tc>
        <w:tc>
          <w:tcPr>
            <w:tcW w:w="28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11,761,810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b w:val="1"/>
          <w:bCs w:val="1"/>
          <w:color w:val="auto"/>
        </w:rPr>
        <w:t>Advisory (non-binding) approval of the Company's executive compensation.</w:t>
      </w:r>
      <w:r>
        <w:rPr>
          <w:rFonts w:ascii="Times New Roman" w:cs="Times New Roman" w:eastAsia="Times New Roman" w:hAnsi="Times New Roman"/>
          <w:sz w:val="18"/>
          <w:szCs w:val="18"/>
          <w:color w:val="auto"/>
        </w:rPr>
        <w:t xml:space="preserve"> The shareholders approved the compensation of the Company's executive officers as described in its proxy statement for the 2016 Annual Meeting by the following advisory vote:</w:t>
      </w:r>
    </w:p>
    <w:p>
      <w:pPr>
        <w:spacing w:after="0" w:line="317"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 Voted</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37"/>
        </w:trPr>
        <w:tc>
          <w:tcPr>
            <w:tcW w:w="280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26,622,754</w:t>
            </w:r>
          </w:p>
        </w:tc>
        <w:tc>
          <w:tcPr>
            <w:tcW w:w="2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1,481,207</w:t>
            </w:r>
          </w:p>
        </w:tc>
        <w:tc>
          <w:tcPr>
            <w:tcW w:w="30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385,366</w:t>
            </w:r>
          </w:p>
        </w:tc>
        <w:tc>
          <w:tcPr>
            <w:tcW w:w="280" w:type="dxa"/>
            <w:vAlign w:val="bottom"/>
          </w:tcPr>
          <w:p>
            <w:pPr>
              <w:spacing w:after="0"/>
              <w:rPr>
                <w:sz w:val="20"/>
                <w:szCs w:val="20"/>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11,761,810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Proposal 3. </w:t>
      </w:r>
      <w:r>
        <w:rPr>
          <w:rFonts w:ascii="Times New Roman" w:cs="Times New Roman" w:eastAsia="Times New Roman" w:hAnsi="Times New Roman"/>
          <w:sz w:val="18"/>
          <w:szCs w:val="18"/>
          <w:b w:val="1"/>
          <w:bCs w:val="1"/>
          <w:color w:val="auto"/>
        </w:rPr>
        <w:t>Ratification of Appointment of Independent Registered Public Accounting Firm.</w:t>
      </w:r>
      <w:r>
        <w:rPr>
          <w:rFonts w:ascii="Times New Roman" w:cs="Times New Roman" w:eastAsia="Times New Roman" w:hAnsi="Times New Roman"/>
          <w:sz w:val="18"/>
          <w:szCs w:val="18"/>
          <w:color w:val="auto"/>
        </w:rPr>
        <w:t xml:space="preserve"> The appointment of Ernst &amp; Young LLP as the Company's independent registered public accounting firm for fiscal 2017 was ratified by the following vote:</w:t>
      </w:r>
    </w:p>
    <w:p>
      <w:pPr>
        <w:spacing w:after="0" w:line="3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Number of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36830</wp:posOffset>
            </wp:positionV>
            <wp:extent cx="4776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57"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31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39,574,505</w:t>
            </w:r>
          </w:p>
        </w:tc>
        <w:tc>
          <w:tcPr>
            <w:tcW w:w="300" w:type="dxa"/>
            <w:vAlign w:val="bottom"/>
          </w:tcPr>
          <w:p>
            <w:pPr>
              <w:spacing w:after="0"/>
              <w:rPr>
                <w:sz w:val="20"/>
                <w:szCs w:val="20"/>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599,338</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77,294</w:t>
            </w: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9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Sheila M. Anderson</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 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2019-12-06T04:37:38Z</dcterms:created>
  <dcterms:modified xsi:type="dcterms:W3CDTF">2019-12-06T04:37:38Z</dcterms:modified>
</cp:coreProperties>
</file>