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5" w:lineRule="exact"/>
        <w:rPr>
          <w:sz w:val="24"/>
          <w:szCs w:val="24"/>
          <w:color w:val="auto"/>
        </w:rPr>
      </w:pPr>
    </w:p>
    <w:p>
      <w:pPr>
        <w:ind w:left="3900" w:right="1780" w:hanging="3892"/>
        <w:spacing w:after="0" w:line="286" w:lineRule="auto"/>
        <w:tabs>
          <w:tab w:leader="none" w:pos="3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January 30, 2021</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4120" w:right="1780" w:hanging="4112"/>
        <w:spacing w:after="0" w:line="253" w:lineRule="auto"/>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142875</wp:posOffset>
            </wp:positionV>
            <wp:extent cx="109728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46-0306862</w:t>
            </w:r>
          </w:p>
        </w:tc>
        <w:tc>
          <w:tcPr>
            <w:tcW w:w="80" w:type="dxa"/>
            <w:vAlign w:val="bottom"/>
          </w:tcPr>
          <w:p>
            <w:pPr>
              <w:spacing w:after="0"/>
              <w:rPr>
                <w:sz w:val="20"/>
                <w:szCs w:val="20"/>
                <w:color w:val="auto"/>
              </w:rPr>
            </w:pPr>
          </w:p>
        </w:tc>
      </w:tr>
      <w:tr>
        <w:trPr>
          <w:trHeight w:val="191"/>
        </w:trPr>
        <w:tc>
          <w:tcPr>
            <w:tcW w:w="3380" w:type="dxa"/>
            <w:vAlign w:val="bottom"/>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Pr>
          <w:p>
            <w:pPr>
              <w:ind w:left="62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80" w:type="dxa"/>
            <w:vAlign w:val="bottom"/>
          </w:tcPr>
          <w:p>
            <w:pPr>
              <w:spacing w:after="0"/>
              <w:rPr>
                <w:sz w:val="16"/>
                <w:szCs w:val="16"/>
                <w:color w:val="auto"/>
              </w:rPr>
            </w:pPr>
          </w:p>
        </w:tc>
      </w:tr>
      <w:tr>
        <w:trPr>
          <w:trHeight w:val="234"/>
        </w:trPr>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3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201 Daktronics Drive</w:t>
            </w:r>
          </w:p>
        </w:tc>
        <w:tc>
          <w:tcPr>
            <w:tcW w:w="80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1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SD</w:t>
            </w:r>
          </w:p>
        </w:tc>
        <w:tc>
          <w:tcPr>
            <w:tcW w:w="4000" w:type="dxa"/>
            <w:vAlign w:val="bottom"/>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57006</w:t>
            </w:r>
          </w:p>
        </w:tc>
        <w:tc>
          <w:tcPr>
            <w:tcW w:w="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3780" w:type="dxa"/>
            <w:vAlign w:val="bottom"/>
            <w:gridSpan w:val="6"/>
          </w:tcPr>
          <w:p>
            <w:pPr>
              <w:ind w:left="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334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7780" w:type="dxa"/>
            <w:vAlign w:val="bottom"/>
            <w:gridSpan w:val="7"/>
          </w:tcPr>
          <w:p>
            <w:pPr>
              <w:jc w:val="center"/>
              <w:ind w:right="3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7780" w:type="dxa"/>
            <w:vAlign w:val="bottom"/>
            <w:gridSpan w:val="7"/>
          </w:tcPr>
          <w:p>
            <w:pPr>
              <w:jc w:val="center"/>
              <w:ind w:right="31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80" w:type="dxa"/>
            <w:vAlign w:val="bottom"/>
          </w:tcPr>
          <w:p>
            <w:pPr>
              <w:spacing w:after="0"/>
              <w:rPr>
                <w:sz w:val="24"/>
                <w:szCs w:val="24"/>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left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80" w:type="dxa"/>
            <w:vAlign w:val="bottom"/>
            <w:tcBorders>
              <w:bottom w:val="single" w:sz="8" w:color="auto"/>
              <w:right w:val="single" w:sz="8" w:color="auto"/>
            </w:tcBorders>
          </w:tcPr>
          <w:p>
            <w:pPr>
              <w:spacing w:after="0"/>
              <w:rPr>
                <w:sz w:val="18"/>
                <w:szCs w:val="18"/>
                <w:color w:val="auto"/>
              </w:rPr>
            </w:pPr>
          </w:p>
        </w:tc>
      </w:tr>
      <w:tr>
        <w:trPr>
          <w:trHeight w:val="226"/>
        </w:trPr>
        <w:tc>
          <w:tcPr>
            <w:tcW w:w="3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gridSpan w:val="2"/>
          </w:tcPr>
          <w:p>
            <w:pPr>
              <w:spacing w:after="0"/>
              <w:rPr>
                <w:sz w:val="19"/>
                <w:szCs w:val="19"/>
                <w:color w:val="auto"/>
              </w:rPr>
            </w:pPr>
          </w:p>
        </w:tc>
        <w:tc>
          <w:tcPr>
            <w:tcW w:w="40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80" w:type="dxa"/>
            <w:vAlign w:val="bottom"/>
            <w:tcBorders>
              <w:bottom w:val="single" w:sz="8" w:color="auto"/>
              <w:right w:val="single" w:sz="8" w:color="auto"/>
            </w:tcBorders>
          </w:tcPr>
          <w:p>
            <w:pPr>
              <w:spacing w:after="0"/>
              <w:rPr>
                <w:sz w:val="19"/>
                <w:szCs w:val="19"/>
                <w:color w:val="auto"/>
              </w:rPr>
            </w:pPr>
          </w:p>
        </w:tc>
      </w:tr>
      <w:tr>
        <w:trPr>
          <w:trHeight w:val="190"/>
        </w:trPr>
        <w:tc>
          <w:tcPr>
            <w:tcW w:w="3380" w:type="dxa"/>
            <w:vAlign w:val="bottom"/>
            <w:tcBorders>
              <w:left w:val="single" w:sz="8" w:color="auto"/>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Preferred Stock Purchase Rights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710"/>
              <w:spacing w:after="0" w:line="189" w:lineRule="exact"/>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gridSpan w:val="2"/>
          </w:tcPr>
          <w:p>
            <w:pPr>
              <w:spacing w:after="0"/>
              <w:rPr>
                <w:sz w:val="16"/>
                <w:szCs w:val="16"/>
                <w:color w:val="auto"/>
              </w:rPr>
            </w:pPr>
          </w:p>
        </w:tc>
        <w:tc>
          <w:tcPr>
            <w:tcW w:w="4000" w:type="dxa"/>
            <w:vAlign w:val="bottom"/>
            <w:tcBorders>
              <w:bottom w:val="single" w:sz="8" w:color="auto"/>
            </w:tcBorders>
          </w:tcPr>
          <w:p>
            <w:pPr>
              <w:ind w:left="640"/>
              <w:spacing w:after="0" w:line="189" w:lineRule="exact"/>
              <w:rPr>
                <w:sz w:val="20"/>
                <w:szCs w:val="20"/>
                <w:color w:val="auto"/>
              </w:rPr>
            </w:pPr>
            <w:r>
              <w:rPr>
                <w:rFonts w:ascii="Times New Roman" w:cs="Times New Roman" w:eastAsia="Times New Roman" w:hAnsi="Times New Roman"/>
                <w:sz w:val="18"/>
                <w:szCs w:val="18"/>
                <w:color w:val="auto"/>
              </w:rPr>
              <w:t>NASDAQ Global Select Market</w:t>
            </w:r>
          </w:p>
        </w:tc>
        <w:tc>
          <w:tcPr>
            <w:tcW w:w="80" w:type="dxa"/>
            <w:vAlign w:val="bottom"/>
            <w:tcBorders>
              <w:bottom w:val="single" w:sz="8" w:color="auto"/>
              <w:right w:val="single" w:sz="8" w:color="auto"/>
            </w:tcBorders>
          </w:tcPr>
          <w:p>
            <w:pPr>
              <w:spacing w:after="0"/>
              <w:rPr>
                <w:sz w:val="16"/>
                <w:szCs w:val="16"/>
                <w:color w:val="auto"/>
              </w:rPr>
            </w:pPr>
          </w:p>
        </w:tc>
      </w:tr>
    </w:tbl>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March 1, 2021 was 44,966,381.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January 30,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w:t>
              </w:r>
            </w:hyperlink>
          </w:p>
        </w:tc>
        <w:tc>
          <w:tcPr>
            <w:tcW w:w="7000" w:type="dxa"/>
            <w:vAlign w:val="bottom"/>
            <w:gridSpan w:val="5"/>
            <w:vMerge w:val="restart"/>
          </w:tcPr>
          <w:p>
            <w:pPr>
              <w:ind w:left="2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Financial Information</w:t>
              </w:r>
            </w:hyperlink>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00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70"/>
              <w:spacing w:after="0"/>
              <w:rPr>
                <w:rFonts w:ascii="Times New Roman" w:cs="Times New Roman" w:eastAsia="Times New Roman" w:hAnsi="Times New Roman"/>
                <w:sz w:val="18"/>
                <w:szCs w:val="18"/>
                <w:u w:val="single" w:color="auto"/>
                <w:color w:val="0000EE"/>
                <w:w w:val="88"/>
              </w:rPr>
            </w:pPr>
            <w:hyperlink w:anchor="page2">
              <w:r>
                <w:rPr>
                  <w:rFonts w:ascii="Times New Roman" w:cs="Times New Roman" w:eastAsia="Times New Roman" w:hAnsi="Times New Roman"/>
                  <w:sz w:val="18"/>
                  <w:szCs w:val="18"/>
                  <w:u w:val="single" w:color="auto"/>
                  <w:color w:val="0000EE"/>
                  <w:w w:val="88"/>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Item 1.</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Financial Statements (Unaudited)</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70"/>
              <w:spacing w:after="0"/>
              <w:rPr>
                <w:rFonts w:ascii="Times New Roman" w:cs="Times New Roman" w:eastAsia="Times New Roman" w:hAnsi="Times New Roman"/>
                <w:sz w:val="18"/>
                <w:szCs w:val="18"/>
                <w:u w:val="single" w:color="auto"/>
                <w:color w:val="0000EE"/>
                <w:w w:val="88"/>
              </w:rPr>
            </w:pPr>
            <w:hyperlink w:anchor="page2">
              <w:r>
                <w:rPr>
                  <w:rFonts w:ascii="Times New Roman" w:cs="Times New Roman" w:eastAsia="Times New Roman" w:hAnsi="Times New Roman"/>
                  <w:sz w:val="18"/>
                  <w:szCs w:val="18"/>
                  <w:u w:val="single" w:color="auto"/>
                  <w:color w:val="0000EE"/>
                  <w:w w:val="88"/>
                </w:rPr>
                <w:t>1</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gridSpan w:val="4"/>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Condensed Consolidated Balance Sheets as of January 30, 2021 and May 2, 2020</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70"/>
              <w:spacing w:after="0"/>
              <w:rPr>
                <w:rFonts w:ascii="Times New Roman" w:cs="Times New Roman" w:eastAsia="Times New Roman" w:hAnsi="Times New Roman"/>
                <w:sz w:val="18"/>
                <w:szCs w:val="18"/>
                <w:u w:val="single" w:color="auto"/>
                <w:color w:val="0000EE"/>
                <w:w w:val="88"/>
              </w:rPr>
            </w:pPr>
            <w:hyperlink w:anchor="page2">
              <w:r>
                <w:rPr>
                  <w:rFonts w:ascii="Times New Roman" w:cs="Times New Roman" w:eastAsia="Times New Roman" w:hAnsi="Times New Roman"/>
                  <w:sz w:val="18"/>
                  <w:szCs w:val="18"/>
                  <w:u w:val="single" w:color="auto"/>
                  <w:color w:val="0000EE"/>
                  <w:w w:val="88"/>
                </w:rPr>
                <w:t>1</w:t>
              </w:r>
            </w:hyperlink>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40" w:type="dxa"/>
            <w:vAlign w:val="bottom"/>
            <w:gridSpan w:val="12"/>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for the Three and Nine Months Ended January 30, 2021 and February 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2020</w:t>
              </w:r>
            </w:hyperlink>
          </w:p>
        </w:tc>
        <w:tc>
          <w:tcPr>
            <w:tcW w:w="8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gridSpan w:val="2"/>
          </w:tcPr>
          <w:p>
            <w:pPr>
              <w:spacing w:after="0"/>
              <w:rPr>
                <w:sz w:val="17"/>
                <w:szCs w:val="17"/>
                <w:color w:val="auto"/>
              </w:rPr>
            </w:pPr>
          </w:p>
        </w:tc>
        <w:tc>
          <w:tcPr>
            <w:tcW w:w="840" w:type="dxa"/>
            <w:vAlign w:val="bottom"/>
            <w:gridSpan w:val="2"/>
          </w:tcPr>
          <w:p>
            <w:pPr>
              <w:jc w:val="center"/>
              <w:ind w:left="190"/>
              <w:spacing w:after="0" w:line="196" w:lineRule="exact"/>
              <w:rPr>
                <w:rFonts w:ascii="Times New Roman" w:cs="Times New Roman" w:eastAsia="Times New Roman" w:hAnsi="Times New Roman"/>
                <w:sz w:val="18"/>
                <w:szCs w:val="18"/>
                <w:u w:val="single" w:color="auto"/>
                <w:color w:val="0000EE"/>
                <w:w w:val="88"/>
              </w:rPr>
            </w:pPr>
            <w:hyperlink w:anchor="page3">
              <w:r>
                <w:rPr>
                  <w:rFonts w:ascii="Times New Roman" w:cs="Times New Roman" w:eastAsia="Times New Roman" w:hAnsi="Times New Roman"/>
                  <w:sz w:val="18"/>
                  <w:szCs w:val="18"/>
                  <w:u w:val="single" w:color="auto"/>
                  <w:color w:val="0000EE"/>
                  <w:w w:val="88"/>
                </w:rPr>
                <w:t>2</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Income (Loss) for the Three and Nine Months Ended January 30, 2021</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500" w:type="dxa"/>
            <w:vAlign w:val="bottom"/>
            <w:gridSpan w:val="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February 1, 2020</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4"/>
          </w:tcPr>
          <w:p>
            <w:pPr>
              <w:jc w:val="center"/>
              <w:ind w:left="470"/>
              <w:spacing w:after="0" w:line="196" w:lineRule="exact"/>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Shareholders' Equity for the Three and Nine Months Ended January 30, 2021 and</w:t>
              </w:r>
            </w:hyperlink>
          </w:p>
        </w:tc>
        <w:tc>
          <w:tcPr>
            <w:tcW w:w="1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500" w:type="dxa"/>
            <w:vAlign w:val="bottom"/>
            <w:gridSpan w:val="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February 1, 2020</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4"/>
          </w:tcPr>
          <w:p>
            <w:pPr>
              <w:jc w:val="center"/>
              <w:ind w:left="470"/>
              <w:spacing w:after="0" w:line="196" w:lineRule="exact"/>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4</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380" w:type="dxa"/>
            <w:vAlign w:val="bottom"/>
            <w:gridSpan w:val="6"/>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Cash Flows for the Nine Months Ended January 30, 2021 and February 1, 2020</w:t>
              </w:r>
            </w:hyperlink>
          </w:p>
        </w:tc>
        <w:tc>
          <w:tcPr>
            <w:tcW w:w="1120" w:type="dxa"/>
            <w:vAlign w:val="bottom"/>
            <w:gridSpan w:val="4"/>
          </w:tcPr>
          <w:p>
            <w:pPr>
              <w:jc w:val="center"/>
              <w:ind w:left="470"/>
              <w:spacing w:after="0"/>
              <w:rPr>
                <w:rFonts w:ascii="Times New Roman" w:cs="Times New Roman" w:eastAsia="Times New Roman" w:hAnsi="Times New Roman"/>
                <w:sz w:val="18"/>
                <w:szCs w:val="18"/>
                <w:u w:val="single" w:color="auto"/>
                <w:color w:val="0000EE"/>
                <w:w w:val="88"/>
              </w:rPr>
            </w:pPr>
            <w:hyperlink w:anchor="page5">
              <w:r>
                <w:rPr>
                  <w:rFonts w:ascii="Times New Roman" w:cs="Times New Roman" w:eastAsia="Times New Roman" w:hAnsi="Times New Roman"/>
                  <w:sz w:val="18"/>
                  <w:szCs w:val="18"/>
                  <w:u w:val="single" w:color="auto"/>
                  <w:color w:val="0000EE"/>
                  <w:w w:val="88"/>
                </w:rPr>
                <w:t>6</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Notes to the Condensed Consolidated Financial Statements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70"/>
              <w:spacing w:after="0"/>
              <w:rPr>
                <w:rFonts w:ascii="Times New Roman" w:cs="Times New Roman" w:eastAsia="Times New Roman" w:hAnsi="Times New Roman"/>
                <w:sz w:val="18"/>
                <w:szCs w:val="18"/>
                <w:u w:val="single" w:color="auto"/>
                <w:color w:val="0000EE"/>
                <w:w w:val="88"/>
              </w:rPr>
            </w:pPr>
            <w:hyperlink w:anchor="page6">
              <w:r>
                <w:rPr>
                  <w:rFonts w:ascii="Times New Roman" w:cs="Times New Roman" w:eastAsia="Times New Roman" w:hAnsi="Times New Roman"/>
                  <w:sz w:val="18"/>
                  <w:szCs w:val="18"/>
                  <w:u w:val="single" w:color="auto"/>
                  <w:color w:val="0000EE"/>
                  <w:w w:val="88"/>
                </w:rPr>
                <w:t>7</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18">
              <w:r>
                <w:rPr>
                  <w:rFonts w:ascii="Times New Roman" w:cs="Times New Roman" w:eastAsia="Times New Roman" w:hAnsi="Times New Roman"/>
                  <w:sz w:val="18"/>
                  <w:szCs w:val="18"/>
                  <w:u w:val="single" w:color="auto"/>
                  <w:color w:val="0000EE"/>
                  <w:w w:val="99"/>
                </w:rPr>
                <w:t>14</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3.</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Quantitative and Qualitative Disclosures About Market Risk</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7">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34"/>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4.</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Controls and Procedures</w:t>
              </w:r>
            </w:hyperlink>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7">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414"/>
        </w:trPr>
        <w:tc>
          <w:tcPr>
            <w:tcW w:w="10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Part II.</w:t>
              </w:r>
            </w:hyperlink>
          </w:p>
        </w:tc>
        <w:tc>
          <w:tcPr>
            <w:tcW w:w="7000" w:type="dxa"/>
            <w:vAlign w:val="bottom"/>
            <w:gridSpan w:val="5"/>
          </w:tcPr>
          <w:p>
            <w:pPr>
              <w:ind w:left="20"/>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Other Information</w:t>
              </w:r>
            </w:hyperlink>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1.</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Proceedings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Risk Factors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2.</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3.</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Defaults Upon Senior Securities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4.</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Mine Safety Disclosures</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1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5.</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Other Information</w:t>
              </w:r>
            </w:hyperlink>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234"/>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6.</w:t>
              </w:r>
            </w:hyperlink>
          </w:p>
        </w:tc>
        <w:tc>
          <w:tcPr>
            <w:tcW w:w="7000" w:type="dxa"/>
            <w:vAlign w:val="bottom"/>
            <w:gridSpan w:val="5"/>
          </w:tcPr>
          <w:p>
            <w:pPr>
              <w:ind w:left="2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Exhibits</w:t>
              </w:r>
            </w:hyperlink>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23</w:t>
              </w:r>
            </w:hyperlink>
          </w:p>
        </w:tc>
        <w:tc>
          <w:tcPr>
            <w:tcW w:w="0" w:type="dxa"/>
            <w:vAlign w:val="bottom"/>
          </w:tcPr>
          <w:p>
            <w:pPr>
              <w:spacing w:after="0"/>
              <w:rPr>
                <w:sz w:val="1"/>
                <w:szCs w:val="1"/>
                <w:color w:val="auto"/>
              </w:rPr>
            </w:pPr>
          </w:p>
        </w:tc>
      </w:tr>
      <w:tr>
        <w:trPr>
          <w:trHeight w:val="410"/>
        </w:trPr>
        <w:tc>
          <w:tcPr>
            <w:tcW w:w="10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Signatures</w:t>
              </w:r>
            </w:hyperlink>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24</w:t>
              </w:r>
            </w:hyperlink>
          </w:p>
        </w:tc>
        <w:tc>
          <w:tcPr>
            <w:tcW w:w="0" w:type="dxa"/>
            <w:vAlign w:val="bottom"/>
          </w:tcPr>
          <w:p>
            <w:pPr>
              <w:spacing w:after="0"/>
              <w:rPr>
                <w:sz w:val="1"/>
                <w:szCs w:val="1"/>
                <w:color w:val="auto"/>
              </w:rPr>
            </w:pPr>
          </w:p>
        </w:tc>
      </w:tr>
      <w:tr>
        <w:trPr>
          <w:trHeight w:val="238"/>
        </w:trPr>
        <w:tc>
          <w:tcPr>
            <w:tcW w:w="8000" w:type="dxa"/>
            <w:vAlign w:val="bottom"/>
            <w:gridSpan w:val="6"/>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Index to Exhibits</w:t>
              </w:r>
            </w:hyperlink>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center"/>
              <w:ind w:left="490"/>
              <w:spacing w:after="0"/>
              <w:rPr>
                <w:rFonts w:ascii="Times New Roman" w:cs="Times New Roman" w:eastAsia="Times New Roman" w:hAnsi="Times New Roman"/>
                <w:sz w:val="18"/>
                <w:szCs w:val="18"/>
                <w:u w:val="single" w:color="auto"/>
                <w:color w:val="0000EE"/>
                <w:w w:val="99"/>
              </w:rPr>
            </w:pPr>
            <w:hyperlink w:anchor="page28">
              <w:r>
                <w:rPr>
                  <w:rFonts w:ascii="Times New Roman" w:cs="Times New Roman" w:eastAsia="Times New Roman" w:hAnsi="Times New Roman"/>
                  <w:sz w:val="18"/>
                  <w:szCs w:val="18"/>
                  <w:u w:val="single" w:color="auto"/>
                  <w:color w:val="0000EE"/>
                  <w:w w:val="99"/>
                </w:rPr>
                <w:t>25</w:t>
              </w:r>
            </w:hyperlink>
          </w:p>
        </w:tc>
        <w:tc>
          <w:tcPr>
            <w:tcW w:w="0" w:type="dxa"/>
            <w:vAlign w:val="bottom"/>
          </w:tcPr>
          <w:p>
            <w:pPr>
              <w:spacing w:after="0"/>
              <w:rPr>
                <w:sz w:val="1"/>
                <w:szCs w:val="1"/>
                <w:color w:val="auto"/>
              </w:rPr>
            </w:pPr>
          </w:p>
        </w:tc>
      </w:tr>
      <w:tr>
        <w:trPr>
          <w:trHeight w:val="574"/>
        </w:trPr>
        <w:tc>
          <w:tcPr>
            <w:tcW w:w="1500" w:type="dxa"/>
            <w:vAlign w:val="bottom"/>
            <w:tcBorders>
              <w:bottom w:val="single" w:sz="8" w:color="9A9A9A"/>
            </w:tcBorders>
            <w:gridSpan w:val="2"/>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gridSpan w:val="6"/>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4"/>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0" w:type="dxa"/>
            <w:vAlign w:val="bottom"/>
          </w:tcPr>
          <w:p>
            <w:pPr>
              <w:spacing w:after="0"/>
              <w:rPr>
                <w:sz w:val="1"/>
                <w:szCs w:val="1"/>
                <w:color w:val="auto"/>
              </w:rPr>
            </w:pPr>
          </w:p>
        </w:tc>
      </w:t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76,877</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40,398</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72,577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Inventories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86,803</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35,467</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Property and equipment and other assets available for sale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258,240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252,002</w:t>
            </w:r>
          </w:p>
        </w:tc>
        <w:tc>
          <w:tcPr>
            <w:tcW w:w="0" w:type="dxa"/>
            <w:vAlign w:val="bottom"/>
          </w:tcPr>
          <w:p>
            <w:pPr>
              <w:spacing w:after="0"/>
              <w:rPr>
                <w:sz w:val="1"/>
                <w:szCs w:val="1"/>
                <w:color w:val="auto"/>
              </w:rPr>
            </w:pPr>
          </w:p>
        </w:tc>
      </w:tr>
      <w:tr>
        <w:trPr>
          <w:trHeight w:val="209"/>
        </w:trPr>
        <w:tc>
          <w:tcPr>
            <w:tcW w:w="15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67,484</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27,683</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13,382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372,651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-4954270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-4962525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19"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32,692</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125,493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145,965</w:t>
            </w:r>
          </w:p>
        </w:tc>
      </w:tr>
      <w:tr>
        <w:trPr>
          <w:trHeight w:val="210"/>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income taxes payable</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50,386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49,706</w:t>
            </w:r>
          </w:p>
        </w:tc>
      </w:tr>
      <w:tr>
        <w:trPr>
          <w:trHeight w:val="209"/>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115,000,000 shares; 46,264,576 and 45,913,209 shares issued at</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January 30, 2021 and May 2, 2020, respectively</w:t>
            </w:r>
          </w:p>
        </w:tc>
        <w:tc>
          <w:tcPr>
            <w:tcW w:w="4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60,575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1,297,409 and 1,343,281 shares at January 30, 2021 and May 2, 2020, respectively</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192,568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176,980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368,447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372,651</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94,139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365,150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482,824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70,198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103,175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272,134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372,750</w:t>
            </w: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110,074</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51,026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26,698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20,053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29,063</w:t>
            </w: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106,787</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3,287</w:t>
            </w:r>
          </w:p>
        </w:tc>
      </w:tr>
      <w:tr>
        <w:trPr>
          <w:trHeight w:val="209"/>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r>
      <w:tr>
        <w:trPr>
          <w:trHeight w:val="196"/>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45,412</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53"/>
        </w:trPr>
        <w:tc>
          <w:tcPr>
            <w:tcW w:w="7360" w:type="dxa"/>
            <w:vAlign w:val="bottom"/>
            <w:gridSpan w:val="5"/>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9920" w:type="dxa"/>
            <w:vAlign w:val="bottom"/>
            <w:gridSpan w:val="10"/>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242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1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(unaudited)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c>
          <w:tcPr>
            <w:tcW w:w="11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38"/>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May 2,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60,010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44,627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85,090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176,980</w:t>
            </w: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7,467</w:t>
            </w: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1,037</w:t>
            </w: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r>
      <w:tr>
        <w:trPr>
          <w:trHeight w:val="202"/>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Treasury stock reissued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August 1, 2020</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92,557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186,222</w:t>
            </w:r>
          </w:p>
        </w:tc>
      </w:tr>
      <w:tr>
        <w:trPr>
          <w:trHeight w:val="196"/>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3,416</w:t>
            </w: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384</w:t>
            </w: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payments related to RSU issuances</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October 31, 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60,010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45,575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95,973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190,405</w:t>
            </w:r>
          </w:p>
        </w:tc>
      </w:tr>
      <w:tr>
        <w:trPr>
          <w:trHeight w:val="19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1,296</w:t>
            </w: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r>
      <w:tr>
        <w:trPr>
          <w:trHeight w:val="203"/>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Employee savings plan activity</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565</w:t>
            </w: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46,091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95,759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192,568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April 27,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57,699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42,561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93,593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187,663</w:t>
            </w: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7,030</w:t>
            </w: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18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(loss) on available-for-sale securities, net of</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205"/>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r>
    </w:tbl>
    <w:p>
      <w:pPr>
        <w:sectPr>
          <w:pgSz w:w="11900" w:h="16900" w:orient="portrait"/>
          <w:cols w:equalWidth="0" w:num="1">
            <w:col w:w="11240"/>
          </w:cols>
          <w:pgMar w:left="320" w:top="121"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savings plan activity</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 ($0.05 per share)</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purchase</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August 3, 2019</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58,478</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5"/>
              </w:rPr>
              <w:t>43,204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98,373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192,193</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(loss) on available-for-sale securities, net of</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payments related to RSU issuances</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savings plan activity</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declared ($0.05 per share)</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purchase</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November 2, 2019</w:t>
            </w: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59,276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5"/>
              </w:rPr>
              <w:t>43,546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103,397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198,011</w:t>
            </w:r>
          </w:p>
        </w:tc>
        <w:tc>
          <w:tcPr>
            <w:tcW w:w="0" w:type="dxa"/>
            <w:vAlign w:val="bottom"/>
          </w:tcPr>
          <w:p>
            <w:pPr>
              <w:spacing w:after="0"/>
              <w:rPr>
                <w:sz w:val="1"/>
                <w:szCs w:val="1"/>
                <w:color w:val="auto"/>
              </w:rPr>
            </w:pPr>
          </w:p>
        </w:tc>
      </w:tr>
      <w:tr>
        <w:trPr>
          <w:trHeight w:val="196"/>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tcPr>
          <w:p>
            <w:pPr>
              <w:spacing w:after="0"/>
              <w:rPr>
                <w:sz w:val="17"/>
                <w:szCs w:val="17"/>
                <w:color w:val="auto"/>
              </w:rPr>
            </w:pP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declared ($0.05 per share)</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purchase</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February 1, 2020</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59,276</w:t>
            </w:r>
          </w:p>
        </w:tc>
        <w:tc>
          <w:tcPr>
            <w:tcW w:w="6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5"/>
              </w:rPr>
              <w:t>44,096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88,407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80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182,975</w:t>
            </w:r>
          </w:p>
        </w:tc>
        <w:tc>
          <w:tcPr>
            <w:tcW w:w="0" w:type="dxa"/>
            <w:vAlign w:val="bottom"/>
          </w:tcPr>
          <w:p>
            <w:pPr>
              <w:spacing w:after="0"/>
              <w:rPr>
                <w:sz w:val="1"/>
                <w:szCs w:val="1"/>
                <w:color w:val="auto"/>
              </w:rPr>
            </w:pPr>
          </w:p>
        </w:tc>
      </w:tr>
      <w:tr>
        <w:trPr>
          <w:trHeight w:val="413"/>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44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7700" w:type="dxa"/>
            <w:vAlign w:val="bottom"/>
            <w:gridSpan w:val="9"/>
          </w:tcPr>
          <w:p>
            <w:pPr>
              <w:jc w:val="center"/>
              <w:ind w:left="3453"/>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780" w:type="dxa"/>
            <w:vAlign w:val="bottom"/>
            <w:gridSpan w:val="13"/>
          </w:tcPr>
          <w:p>
            <w:pPr>
              <w:jc w:val="center"/>
              <w:ind w:left="2373"/>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4"/>
          </w:tcPr>
          <w:p>
            <w:pPr>
              <w:jc w:val="center"/>
              <w:ind w:right="19"/>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3"/>
          </w:tcPr>
          <w:p>
            <w:pPr>
              <w:jc w:val="center"/>
              <w:ind w:left="358"/>
              <w:spacing w:after="0"/>
              <w:rPr>
                <w:sz w:val="20"/>
                <w:szCs w:val="20"/>
                <w:color w:val="auto"/>
              </w:rPr>
            </w:pPr>
            <w:r>
              <w:rPr>
                <w:rFonts w:ascii="Times New Roman" w:cs="Times New Roman" w:eastAsia="Times New Roman" w:hAnsi="Times New Roman"/>
                <w:sz w:val="18"/>
                <w:szCs w:val="18"/>
                <w:color w:val="auto"/>
              </w:rPr>
              <w:t>(unaudited)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gridSpan w:val="7"/>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7"/>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c>
          <w:tcPr>
            <w:tcW w:w="1560" w:type="dxa"/>
            <w:vAlign w:val="bottom"/>
            <w:gridSpan w:val="4"/>
          </w:tcPr>
          <w:p>
            <w:pPr>
              <w:jc w:val="right"/>
              <w:ind w:right="294"/>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10,669</w:t>
            </w:r>
          </w:p>
        </w:tc>
        <w:tc>
          <w:tcPr>
            <w:tcW w:w="5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60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13,197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20,115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48,221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24,665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and loans to equity investment</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0"/>
        </w:trPr>
        <w:tc>
          <w:tcPr>
            <w:tcW w:w="44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10,034</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6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40,349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09"/>
        </w:trPr>
        <w:tc>
          <w:tcPr>
            <w:tcW w:w="476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40,412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35,742</w:t>
            </w:r>
          </w:p>
        </w:tc>
        <w:tc>
          <w:tcPr>
            <w:tcW w:w="0" w:type="dxa"/>
            <w:vAlign w:val="bottom"/>
          </w:tcPr>
          <w:p>
            <w:pPr>
              <w:spacing w:after="0"/>
              <w:rPr>
                <w:sz w:val="1"/>
                <w:szCs w:val="1"/>
                <w:color w:val="auto"/>
              </w:rPr>
            </w:pPr>
          </w:p>
        </w:tc>
      </w:tr>
      <w:tr>
        <w:trPr>
          <w:trHeight w:val="209"/>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80,761</w:t>
            </w:r>
          </w:p>
        </w:tc>
        <w:tc>
          <w:tcPr>
            <w:tcW w:w="5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40,376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-7208520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-7217410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5" w:name="page6"/>
    <w:bookmarkEnd w:id="5"/>
    <w:tbl>
      <w:tblPr>
        <w:tblLayout w:type="fixed"/>
        <w:tblInd w:w="3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3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565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May 2, 2020,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2, 2020,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ending May 1, 2021 will consist of 52 weeks and the fiscal year ended May 2, 2020 was a 53-week year; therefore, the nine months ended January 30, 2021 contains operating results for 39 weeks while the nine months ended February 1, 2020 contains operating results for 40 weeks.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We have bank guarantees that are secured with cash collateral which is maintained in the restricted cash account.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 of cash</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80,761</w:t>
            </w:r>
          </w:p>
        </w:tc>
        <w:tc>
          <w:tcPr>
            <w:tcW w:w="10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40,376</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flows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Developments - Coronavirus Pandemic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nine months of fiscal 2021, we continued to see impacts of the global spread of the coronavirus pandemic ("COVID-19") and restrictions, which created and continues to create significant volatility, uncertainty and global economic disruption. As disclosed in our Current Report on Form 8-K filed on April 1, 2020, we have taken proactive steps to solidify our financial position and mitigate any adverse consequences. These steps included preserving liquidity by drawing down $15,000 of our existing line of credit, which is included in the "Other long-term obligations" line item in our condensed consolidated balance sheets. In addition, we are pursuing other sources of financing, reducing investments in capital assets, have reduced executive pay and board member compensation, and have or are continuing to institute initiatives to reduce other costs in the business. Our board of directors voted to suspend stock repurchases under our share repurchase program and to suspend dividends for the foreseeable future. In addition, during the third quarter of fiscal 2021 and throughout fiscal 2021, we have temporarily furloughed employees to manage our cost structure to align with decreased demand. We believe these measures help to preserve our ability to borrow for liquidity needs and position us well for when the pandemic passes and our customers and economies begin to recover.</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2020, we offered a special voluntary retirement and voluntary exit incentive program ("Offering") and during the first nine months of fiscal 2021, we conducted two reductions in force ("RIF") to adjust our capacity and reduce on-going expenses due to the reduced revenue and uncertainties created by the COVID-19 pandemic. During the first quarter of fiscal 2021, 60 employees agreed to participate in the Offering and completed employment. The approximate cost of this Offering was $931 during the first quarter of fiscal 2021. Under the RIF, employment was terminated with 108 employees with severance totaling $1,426 during the first quarter of fiscal 2021 and 150 employees with severance totaling $2,742 during the second quarter of fiscal 2021.</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governmental wage subsidies from various governmental programs related to COVID implications of $254 and $1,632 during the three and nine months ended January 30, 2021, respectively and recorded as a reduction of compensation expense, which is mostly included in the "Costs of sales" line item in our condensed consolidated statements of operations. We also have elected to defer payments of the employer portion of social security taxes during the payroll tax deferral period, which ended on December 31, 2020. As of January 30, 2021 the total amount of such deferral was $5,122, which is included in the "Accrued expenses" and in the "Other long-term obligations" line items in our condensed consolidated balance sheet. Per the terms of the deferral program, 50 percent of the deferred amount is due on December 31, 2021 with the remaining 50 percent due on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40"/>
          </w:cols>
          <w:pgMar w:left="320" w:top="121" w:right="339" w:bottom="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May 2, 2020, other than described in the Accounting Standards Adopted section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2017-04,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(Topic 350), </w:t>
      </w:r>
      <w:r>
        <w:rPr>
          <w:rFonts w:ascii="Times New Roman" w:cs="Times New Roman" w:eastAsia="Times New Roman" w:hAnsi="Times New Roman"/>
          <w:sz w:val="18"/>
          <w:szCs w:val="18"/>
          <w:color w:val="auto"/>
        </w:rPr>
        <w:t>which simplifies the subsequent measurement of goodwill by removing the second step of the two-step impairment test. The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We adopted ASU 2017-04 during the first quarter of fiscal 2021 and the adoption did not have an impact on our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provides guidance regarding the measurement and recognition of credit impairment for certain financial assets. ASU 2016-13 improves financial reporting by requiring more timely recording of credit losses on loans and other financial instruments held by financial institutions and other organizations. Under the new guidance, the ASU requires an organization to measure all expected credit losses for financial assets held at the reporting date based on historical experience, current conditions, and reasonable supportable forecasts. We adopted ASU 2016-13 and its related guidance during the first quarter of fiscal 2021 and the adoption did not have a material impact on our condensed consolidated financial statements.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an allowance for doubtful accounts using a loss rate method. We measure all expected credit losses for financial assets held at the reporting date based on historical experience, current conditions, and reasonable supportable forecasts.</w:t>
      </w:r>
    </w:p>
    <w:p>
      <w:pPr>
        <w:sectPr>
          <w:pgSz w:w="11900" w:h="16900" w:orient="portrait"/>
          <w:cols w:equalWidth="0" w:num="1">
            <w:col w:w="11240"/>
          </w:cols>
          <w:pgMar w:left="320" w:top="121" w:right="339" w:bottom="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May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Deductions (1)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account collections and write offs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ASU's issued not yet adopted as of January 30,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Allowance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Doubtful</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1040" w:hanging="103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w:t>
      </w:r>
    </w:p>
    <w:p>
      <w:pPr>
        <w:spacing w:after="0" w:line="2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(1,392)</w:t>
      </w:r>
    </w:p>
    <w:p>
      <w:pPr>
        <w:spacing w:after="0" w:line="9" w:lineRule="exact"/>
        <w:rPr>
          <w:sz w:val="20"/>
          <w:szCs w:val="20"/>
          <w:color w:val="auto"/>
        </w:rPr>
      </w:pPr>
    </w:p>
    <w:p>
      <w:pPr>
        <w:ind w:left="1040" w:hanging="103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986" w:lineRule="exact"/>
        <w:rPr>
          <w:sz w:val="20"/>
          <w:szCs w:val="20"/>
          <w:color w:val="auto"/>
        </w:rPr>
      </w:pPr>
    </w:p>
    <w:p>
      <w:pPr>
        <w:sectPr>
          <w:pgSz w:w="11900" w:h="16900" w:orient="portrait"/>
          <w:cols w:equalWidth="0" w:num="2">
            <w:col w:w="8960" w:space="720"/>
            <w:col w:w="1560"/>
          </w:cols>
          <w:pgMar w:left="320" w:top="121" w:right="339" w:bottom="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Investments in affiliates over which we do not have the ability to exert significant influence over the affiliate's operating and financing activities are accounted for under the cost method of accounting, recording the investment at cost and then subsequently adjusting for any changes in ownership or dividends, in accordance with the provisions of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We have evaluated our relationships with our affiliates and have determined that these entities are not variable interest entities. Cash paid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affiliates and loans to affiliates are included in the "Purchases of and loans to equity investment" line item in our condensed consolidated statements of cash flows. Equity method investments as a whole are assessed for other-than-temporary impairments whenever events or changes in circumstances indicate that the carrying amount of the investment may not be recoverable.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amount of investments accounted for under the equity method was $15,517 and $17,257 at January 30, 2021 and May 2, 2020, respectively. Our proportional share of the respective affiliates' earnings or losses is included in the "Other (expense) income, net" line item in our condensed consolidated statements of operations. For the nine months ended January 30, 2021 and February 1, 2020, our share of the losses of our affiliates was $1,740 and $430, respectively. We purchased services for research and development activities from our equity method investments. The total of these related party transactions was $661 for the nine months ended January 30, 2021, which was included in the "Product design and development" line item in in our condensed consolidated statement of operations and $201 of this remains unpaid and is included in the "Accounts payable" line item in our condensed consolidated balance sheet.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three and nine months ended January 30, 2021 and February 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Per share (loss)</w:t>
            </w:r>
          </w:p>
        </w:tc>
      </w:tr>
      <w:tr>
        <w:trPr>
          <w:trHeight w:val="238"/>
        </w:trPr>
        <w:tc>
          <w:tcPr>
            <w:tcW w:w="5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January 30, 2021</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6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45,064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180" w:type="dxa"/>
            <w:vAlign w:val="bottom"/>
          </w:tcPr>
          <w:p>
            <w:pPr>
              <w:spacing w:after="0"/>
              <w:rPr>
                <w:sz w:val="18"/>
                <w:szCs w:val="18"/>
                <w:color w:val="auto"/>
              </w:rPr>
            </w:pPr>
          </w:p>
        </w:tc>
        <w:tc>
          <w:tcPr>
            <w:tcW w:w="5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three months ended February 1, 2020</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6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45,189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16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45,189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nine months ended January 30, 2021</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44,908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10,669</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nine months ended February 1, 2020</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2"/>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tcBorders>
              <w:bottom w:val="single" w:sz="8" w:color="CCEEFF"/>
            </w:tcBorders>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16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bl>
    <w:p>
      <w:pPr>
        <w:sectPr>
          <w:pgSz w:w="11900" w:h="16900" w:orient="portrait"/>
          <w:cols w:equalWidth="0" w:num="1">
            <w:col w:w="11240"/>
          </w:cols>
          <w:pgMar w:left="320" w:top="121" w:right="3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45,412</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2,337 shares of common stock with a weighted average exercise price of $8.70 for the three months ended January 30, 2021 and 2,193 shares of common stock with a weighted average exercise price of $9.92 for the three months ended February 1, 2020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2,268 shares of common stock with a weighted average exercise price of $9.29 for the nine months ended January 30, 2021 and 2,223 shares of common stock with a weighted average exercise price of $9.95 for the nine months ended February 1, 2020 were not included in the computation of diluted earnings per share because the effects would be anti-dilutive.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Months Ended January 30, 2021</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3,604</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32,732</w:t>
            </w: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24,630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10,424</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3,273</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7,391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50,254</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3,368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616</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11,153</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14,644</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14,311</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94,139</w:t>
            </w:r>
          </w:p>
        </w:tc>
      </w:tr>
      <w:tr>
        <w:trPr>
          <w:trHeight w:val="183"/>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25,092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9,163</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7,785</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51,196</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4,993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5,481</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8,333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6,526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42,943</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14,644</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14,311</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94,139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Nine Months Ended January 30, 2021</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14,322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16,363</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24,579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15,534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154,081</w:t>
            </w: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69,796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14,566</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52,808</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15,364</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24,268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176,802</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10,829</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1,994</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5,020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34,267</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94,947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71,165</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44,822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365,150</w:t>
            </w:r>
          </w:p>
        </w:tc>
      </w:tr>
      <w:tr>
        <w:trPr>
          <w:trHeight w:val="183"/>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71,210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18,670</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48,249</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25,432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179,301</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23,737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93,956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22,916</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25,850</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19,390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185,849</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94,947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71,165</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44,822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365,150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Months Ended February 1, 2020</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7,209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1,511</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7,857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9,195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53,231</w:t>
            </w: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26,304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6,436</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12,422</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5,580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10,609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61,351</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3,367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842</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13,075</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36,880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40,571</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14,775</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21,515</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127,657</w:t>
            </w:r>
          </w:p>
        </w:tc>
      </w:tr>
      <w:tr>
        <w:trPr>
          <w:trHeight w:val="183"/>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26,555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11,080</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11,008</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62,940</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10,325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3,695</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8,233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10,507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64,717</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36,880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40,571</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14,775</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21,515</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127,657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Nine Months Ended February 1, 2020</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29,181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114,459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12,727</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32,173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35,415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223,955</w:t>
            </w: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80,193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60,349</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19,550</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33,663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219,417</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11,192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2,357</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1,541</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5,287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39,452</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159,196</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75,433</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53,264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74,365</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482,824</w:t>
            </w:r>
          </w:p>
        </w:tc>
      </w:tr>
      <w:tr>
        <w:trPr>
          <w:trHeight w:val="183"/>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81,562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30,903</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55,791</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34,696</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222,853</w:t>
            </w: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39,004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19,642</w:t>
            </w:r>
          </w:p>
        </w:tc>
        <w:tc>
          <w:tcPr>
            <w:tcW w:w="3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33,363</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39,669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259,971</w:t>
            </w: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159,196</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75,433</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53,264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74,365</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482,824</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May 2, 2020 to January 30, 2021 were due to the timing of billing schedules and revenue recognition, which can vary significantly depending on the contractual payment terms and the seasonality of the sports markets. We had no material impairments of contract assets for the nine months ended January 30, 2021.</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contracts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Less: reductions for revenue recognized</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Foreign currency translation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January 30,</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24,490</w:t>
      </w:r>
    </w:p>
    <w:p>
      <w:pPr>
        <w:spacing w:after="0" w:line="22"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49,471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(48,818)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w:t>
      </w:r>
    </w:p>
    <w:p>
      <w:pPr>
        <w:spacing w:after="0" w:line="235"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30, 2021 and May 2, 2020, our contracts in progress that were identified as loss contracts were immaterial. For these contracts, the provision for losses are included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30, 2021, we recognized revenue of $42,851 related to our contract liabilities as of May 2,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January 30, 2021, the aggregate amount of the transaction price allocated to the remaining performance obligations was $248,643. We expect approximately $211,787 of our remaining performance obligations to be recognized over the next 12 months, with the remainder recognized thereafter. Remaining performance obligations related to product and service agreements at January 30, 2021 are $194,534 and $54,109,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organize and manage our business by the following five segments which meet the definition of reportable segments under ASC 280-10,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business units. Separate financial information is available and regularly evaluated by our chief operating decision-maker (CODM), who is our president and chief executive officer, in making resource allocation decisions for our segments. Our CODM evaluates segment performance to the GAAP measure of gross profit. We exclude general and administration expense, product design and development expense, non-operating income and expense, and income tax expense (benefit) in the segment analysis.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159,196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75,433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74,365</w:t>
            </w: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 net sales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94,139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365,150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482,824</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14,441</w:t>
            </w: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23,941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110,074</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51,026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26,698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20,053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29,063</w:t>
            </w:r>
          </w:p>
        </w:tc>
      </w:tr>
      <w:tr>
        <w:trPr>
          <w:trHeight w:val="209"/>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106,787</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3,287</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r>
      <w:tr>
        <w:trPr>
          <w:trHeight w:val="230"/>
        </w:trPr>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4,284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78,152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314,674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399,913</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15,987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82,911</w:t>
            </w:r>
          </w:p>
        </w:tc>
      </w:tr>
      <w:tr>
        <w:trPr>
          <w:trHeight w:val="210"/>
        </w:trPr>
        <w:tc>
          <w:tcPr>
            <w:tcW w:w="59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94,139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127,657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482,824</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2,</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9,062</w:t>
            </w:r>
          </w:p>
        </w:tc>
      </w:tr>
      <w:tr>
        <w:trPr>
          <w:trHeight w:val="210"/>
        </w:trPr>
        <w:tc>
          <w:tcPr>
            <w:tcW w:w="80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61,805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67,484</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number of single-source suppliers that could limit our supply or cause delays in obtaining raw material and components needed in manufacturing.</w:t>
      </w:r>
    </w:p>
    <w:p>
      <w:pPr>
        <w:sectPr>
          <w:pgSz w:w="11900" w:h="16838" w:orient="portrait"/>
          <w:cols w:equalWidth="0" w:num="1">
            <w:col w:w="11240"/>
          </w:cols>
          <w:pgMar w:left="320" w:top="121" w:right="339" w:bottom="434"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4"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nine months ended January 30,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Live Events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Transportation</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2,266</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3,144</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8,262</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2, 2020 and concluded no goodwill impairment existed.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began to see impacts from the COVID-19 pandemic that could have a negative impact on our forecasted revenue and profitability and stock price. The COVID-19 pandemic continues to cause uncertainty, so during the third quarter of fiscal 2021, we considered if any new events had occurred or if circumstances had changed since our annual impairment such that it was more likely than not that the fair value of any of our reporting units was below its carrying amount. While order volume was low during the quarter, the results did not impact our long-term outlook, and we did not identify any further impairment indicators; therefore, we did not conduct further impairment analysis.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$4,160 and $2,828 at January 30, 2021 and May 2, 2020, respectively. Included in accounts receivable as of January 30, 2021 and May 2, 2020 was $1,219 and $687, respectively, of retainage on construction-type contracts, all of which is expected to be collected within one year.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$2,490 and $4,633 as of January 30, 2021 and May 2, 2020, respectively. Contract receivables bearing annual interest rates of 5.0 to 9.0 percent are due in varying annual installments through 2024. The face value of long-term receivables was $2,618 as of January 30, 2021 and $5,166 as of May 2, 2020.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Financing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over certain assets. The third amendment adds a liquidity covenant and revises other financial covenants. The revolving amount of the agreement and note remains at $35,000, including up to $20,000 for commercial and standby letters of credit. The credit agreement and amendments require us to be in compliance with certain financial ratios, including the most sensitive covenant of interest bearing debt to earnings before income taxes, depreciation, and amortization of less than 2.5; and other covenants and contain customary events of default, including failure to comply with covenants, failure to pay or discharge material judgments and taxes, bankruptcy, failure to pay loans and fees, and change of control. The occurrence of an event of default by us would permit the lenders to terminate their commitments and accelerate loans repayment, obtain securitized assets, and require collateralization of outstanding letters of credit. As of January 30, 2021, $15,000 had been advanced to us under the loan portion of the line of credit, which is included in the "Other long-term obligations" line item in our condensed consolidated balance sheets, and the balance of letters of credit outstanding was approximately $6,710. As of January 30, 2021, $13,290 of the credit facility remains in place and available.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January 30, 2021, we had $3,637 of such instruments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30, 2021, we were in compliance with all applicable bank loan covenants.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January 30, 2021, we had no repurchases of shares of our outstanding common stock. During the nine months ended February 1, 2020, we repurchased 378 shares of common stock at a total cost of $2,329. As of January 30, 2021, we had $35,846 of remaining capacity under our current share repurchase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COVID-19 response, on April 1, 2020, our Board of Directors voted to suspend stock repurchases under our share repurchase program for the foreseeable future.</w:t>
      </w:r>
    </w:p>
    <w:p>
      <w:pPr>
        <w:sectPr>
          <w:pgSz w:w="11900" w:h="16838" w:orient="portrait"/>
          <w:cols w:equalWidth="0" w:num="1">
            <w:col w:w="11240"/>
          </w:cols>
          <w:pgMar w:left="320" w:top="121"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May 2, 2020, we recorded a $2,072 reserve for the probable and reasonably estimated cost to settle a patent litigation claim, which was included in the "Accrued expenses" line item in our condensed consolidated balance sheets. During the third quarter of fiscal 2021, an appellate court ruled in our favor on this matter. Since we no longer estimate we have a probable loss, we recorded a credit to the "Cost of sales" line item in our condensed consolidated statement of operations and removed the liability from our condensed consolidated balance sheet during the third quarter of fiscal 2021.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1" w:right="339" w:bottom="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Warranties: </w:t>
      </w:r>
      <w:r>
        <w:rPr>
          <w:rFonts w:ascii="Times New Roman" w:cs="Times New Roman" w:eastAsia="Times New Roman" w:hAnsi="Times New Roman"/>
          <w:sz w:val="17"/>
          <w:szCs w:val="17"/>
          <w:color w:val="auto"/>
        </w:rPr>
        <w:t>Changes in our warranty obligation for the nine months ended January 30,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9" w:lineRule="exact"/>
        <w:rPr>
          <w:sz w:val="20"/>
          <w:szCs w:val="20"/>
          <w:color w:val="auto"/>
        </w:rPr>
      </w:pPr>
    </w:p>
    <w:p>
      <w:pPr>
        <w:ind w:right="840" w:firstLine="324"/>
        <w:spacing w:after="0" w:line="323" w:lineRule="auto"/>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 Ending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January 30,</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25,624</w:t>
      </w:r>
    </w:p>
    <w:p>
      <w:pPr>
        <w:spacing w:after="0" w:line="22"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(4,115)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26,462</w:t>
      </w:r>
    </w:p>
    <w:p>
      <w:pPr>
        <w:spacing w:after="0" w:line="259" w:lineRule="exact"/>
        <w:rPr>
          <w:sz w:val="20"/>
          <w:szCs w:val="20"/>
          <w:color w:val="auto"/>
        </w:rPr>
      </w:pPr>
    </w:p>
    <w:p>
      <w:pPr>
        <w:sectPr>
          <w:pgSz w:w="11900" w:h="16838" w:orient="portrait"/>
          <w:cols w:equalWidth="0" w:num="2">
            <w:col w:w="8960" w:space="720"/>
            <w:col w:w="1560"/>
          </w:cols>
          <w:pgMar w:left="320" w:top="121" w:right="339" w:bottom="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January 30, 2021, we had outstanding letters of credit, bank guarantees and surety bonds in the amount of $6,710, $3,637 and $38,929,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January 30, 2021, we were not aware of any indemnification claim from a customer.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January 30, 2021 was 82.0 percent and 21.3 percent, respectively, as compared to an effective tax rate benefit of 37.9 percent and 51.6 percent for the three and nine months ended February 1, 2020. The tax rate changes each period are primarily driven by the mathematical calculations of estimated tax credits and other permanent difference levels proportionate to estimated pre-tax earnings levels and the related changes in estimates of each of those variables through the year. For the three months ended January 30, 2021, the rate change was mainly driven by a return to provision benefit booked in proportion to an actual small pre-tax loss for the quarter; whereas the three months ended February 1, 2020, was primarily driven by changes in the proportionate percentage of tax credits and other permanent differences compared to estimated pre-tax earnings. The change in the effective tax rate year over year was driven primarily by a decrease in the proportionate percentage of tax credits and other permanent differences compared to estimated pre-tax earnings.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taxes of multiple state and foreign jurisdictions. Fiscal years 2018, 2019 and 2020 remain open to federal tax examinations, and fiscal years 2017, 2018, 2019 and 2020 remain open for various state income tax examinations. Certain subsidiaries are also subject to income tax in several foreign jurisdictions which have open tax years varying by jurisdiction beginning in fiscal 2010. In the event of any future tax assessments, we have elected to record the income taxes and any related interest and penalties as income tax expense in our condensed consolidated statement of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30, 2021, undistributed earnings of our foreign subsidiaries are considered to be reinvested indefinitely. Additionally, we had $554 of unrecognized tax benefits which would reduce our effective tax rate if recognized.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January 30, 2021 and May 2, 2020 according to the valuation techniques we used to determine their fair values. There have been no transfers of assets or liabilities among the fair value hierarchies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76,877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9"/>
        </w:trPr>
        <w:tc>
          <w:tcPr>
            <w:tcW w:w="59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80,761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80,367</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40,398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bl>
    <w:p>
      <w:pPr>
        <w:sectPr>
          <w:pgSz w:w="11900" w:h="16838" w:orient="portrait"/>
          <w:cols w:equalWidth="0" w:num="1">
            <w:col w:w="11240"/>
          </w:cols>
          <w:pgMar w:left="320" w:top="121" w:right="339" w:bottom="0" w:gutter="0" w:footer="0" w:header="0"/>
          <w:type w:val="continuous"/>
        </w:sectPr>
      </w:pPr>
    </w:p>
    <w:bookmarkStart w:id="16" w:name="page17"/>
    <w:bookmarkEnd w:id="16"/>
    <w:p>
      <w:pPr>
        <w:ind w:left="4860"/>
        <w:spacing w:after="0"/>
        <w:tabs>
          <w:tab w:leader="none" w:pos="5480" w:val="left"/>
          <w:tab w:leader="none" w:pos="6220" w:val="left"/>
          <w:tab w:leader="none" w:pos="6940" w:val="left"/>
          <w:tab w:leader="none" w:pos="7560" w:val="left"/>
          <w:tab w:leader="none" w:pos="8340" w:val="left"/>
          <w:tab w:leader="none" w:pos="8880" w:val="left"/>
          <w:tab w:leader="none" w:pos="9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40,412</w:t>
        <w:tab/>
        <w:t>$</w:t>
      </w:r>
      <w:r>
        <w:rPr>
          <w:sz w:val="20"/>
          <w:szCs w:val="20"/>
          <w:color w:val="auto"/>
        </w:rPr>
        <w:tab/>
      </w:r>
      <w:r>
        <w:rPr>
          <w:rFonts w:ascii="Times New Roman" w:cs="Times New Roman" w:eastAsia="Times New Roman" w:hAnsi="Times New Roman"/>
          <w:sz w:val="18"/>
          <w:szCs w:val="18"/>
          <w:color w:val="auto"/>
        </w:rPr>
        <w:t>1,474</w:t>
        <w:tab/>
        <w:t>$</w:t>
      </w:r>
      <w:r>
        <w:rPr>
          <w:sz w:val="20"/>
          <w:szCs w:val="20"/>
          <w:color w:val="auto"/>
        </w:rPr>
        <w:tab/>
      </w:r>
      <w:r>
        <w:rPr>
          <w:rFonts w:ascii="Times New Roman" w:cs="Times New Roman" w:eastAsia="Times New Roman" w:hAnsi="Times New Roman"/>
          <w:sz w:val="18"/>
          <w:szCs w:val="18"/>
          <w:color w:val="auto"/>
        </w:rPr>
        <w:t>(761)</w:t>
        <w:tab/>
        <w:t>$</w:t>
      </w:r>
      <w:r>
        <w:rPr>
          <w:sz w:val="20"/>
          <w:szCs w:val="20"/>
          <w:color w:val="auto"/>
        </w:rPr>
        <w:tab/>
      </w:r>
      <w:r>
        <w:rPr>
          <w:rFonts w:ascii="Times New Roman" w:cs="Times New Roman" w:eastAsia="Times New Roman" w:hAnsi="Times New Roman"/>
          <w:sz w:val="18"/>
          <w:szCs w:val="18"/>
          <w:color w:val="auto"/>
        </w:rPr>
        <w:t>41,125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3275" cy="25400"/>
                    </a:xfrm>
                    <a:prstGeom prst="rect">
                      <a:avLst/>
                    </a:prstGeom>
                    <a:noFill/>
                  </pic:spPr>
                </pic:pic>
              </a:graphicData>
            </a:graphic>
          </wp:anchor>
        </w:drawing>
      </w: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7" w:name="page18"/>
    <w:bookmarkEnd w:id="17"/>
    <w:p>
      <w:pPr>
        <w:spacing w:after="0" w:line="3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the Level 3 contingent liabilities, both short- and long-term, for the nine months ended January 30,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as of May 2, 2020</w:t>
            </w:r>
          </w:p>
        </w:tc>
        <w:tc>
          <w:tcPr>
            <w:tcW w:w="30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 as of January 30, 2021</w:t>
            </w:r>
          </w:p>
        </w:tc>
        <w:tc>
          <w:tcPr>
            <w:tcW w:w="2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valuation techniques used by us to value our financial instruments since the end of fiscal 2020. For additional information, see our Annual Report on Form 10-K for the fiscal year ended May 2, 2020 for the methods and assumptions used to estimate the fair value of each class of financial instrument.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 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May 2, 2020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of America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Historically, our third fiscal quarter sales and profit levels are lighter than other quarters due to the seasonality of our sports business, construction cycles, and the reduced number of production days due to holidays in the quarter.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GAAP, and our methodology for determining orders and backlog may vary from the methodology used by other companies in determining their orders and backlog amounts.</w:t>
      </w:r>
    </w:p>
    <w:p>
      <w:pPr>
        <w:sectPr>
          <w:pgSz w:w="11900" w:h="16874" w:orient="portrait"/>
          <w:cols w:equalWidth="0" w:num="1">
            <w:col w:w="11240"/>
          </w:cols>
          <w:pgMar w:left="320" w:top="121" w:right="339" w:bottom="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highlights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We believe backlog information is useful to investors to provide an indication of future revenues.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our success using a variety of measures including: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percentage of market share by comparing our estimated revenue to the total estimated global digital display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growth compared to the overall digital market order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such as annual order volume and profit change as compared to our previous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and expansion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profits over the long-term to provide a shareholder return.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Outlook: The COVID-19 pandemic has created disruptions since its initial outbreak, first impacting our China operations. Beginning in February 2020, we created COVID-19 response teams to manage our local and global response activities. Using the guidance from the U.S. Centers for Disease Control and Prevention, the World Health Organization, and other applicable regulatory agencies, we enhanced or implemented robust health, safety, and cleaning protocols across our organization.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first nine months of fiscal 2021, employees have worked from home where possible, and travel has been limited. When unable to work safely or within the various regulations put in place in certain geographies and locations and as a result of decreased demand, our sales, manufacturing and field service teams temporarily reduced capacity and furloughed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teams have continued to engage our customers to promote our value, mostly virtually, across our diverse markets and geographies. However, our customers reduced their spend on audiovisual systems and related services through the first nine months of our fiscal year as they work through the economic and business implications of COVID-19. We took corresponding actions to reduce operating expenses to align with expected order and sales declines expected for the remainder of the year. These expense reductions vary in permanency and may change in future periods.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supply chain team has remained alert to potential short supply situations and shipping disruptions, and, if necessary, we are utilizing alternative sources and shipping methods.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the COVID-19 pandemic to continue to have an adverse impact on our revenue and our results of operations, the amount and duration of which we are unable to predict. The global impact of COVID-19 continues to evolve. The extent to which COVID-19 will impact our business will depend on future developments, which are highly uncertain and cannot be predicted with confidence, such as the ultimate severity and spread of the disease, the duration of the pandemic, the availability and effectiveness of vaccines, travel restrictions and social distancing requirements in the United States and other countries, the pace and extent of the economic recovery, and any change in trends and practices in how people gather. Given the speed and frequency of continuously evolving developments with respect to this pandemic, we cannot reasonably estimate the magnitude of the impact to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near-term, our operating results are going to be challenged due to this crisis. We continue to manage our cost structure to meet the uncertain demand, while making additional cost reductions as needed. Our customers' businesses are subject to the fluctuations in global economic cycles and conditions and other business risk factors which may impact their ability to operate their businesses. The performance and financial condition of our customers may cause us to alter our business terms or to cease doing business with a particular customer. Further, the potential impact of the COVID-19 pandemic on their businesses could adversely impact our customers' ability to pay us for work performed, increasing our future estimate of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COVID-19 impacts noted above, the outlook and unique key growth drivers and challenges by our business units include:</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In the near-term, our customers who rely on advertising revenues for Out-of-Home ("OOH") advertising or who are reliant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foot-traffic to drive sales have been adversely impacted by stay-at-home or quarantine orders which started in March 2020 with varied or no published expiration. These customers are expected to delay their discretionary capital spending through the COVID-19 economic recovery. Businesses using our displays for self-promotion or on-premise advertising may have reduced budgets for the foreseeable future or may choose to utilize displays as</w:t>
      </w:r>
    </w:p>
    <w:p>
      <w:pPr>
        <w:sectPr>
          <w:pgSz w:w="11900" w:h="16838" w:orient="portrait"/>
          <w:cols w:equalWidth="0" w:num="1">
            <w:col w:w="11240"/>
          </w:cols>
          <w:pgMar w:left="320" w:top="337" w:right="339" w:bottom="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part of their recovery, both actions creating an impact to the Commercial business' near-term outlook. We cannot reasonably estimate the magnitude or length of time our Commercial business will be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standard display offerings using micro-light emitting diode ("LED")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liquid crystal display ("LCD") technology by existing and new customers.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demand growth due to market adoption and expanded use of this technology.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Our customers have been adversely impacted by governmental limitations on the number of people allowed to gather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spaces which started in March 2020 with varied or no published expiration. In the near-term, our customers who rely on advertising and event revenues are expected to delay spending on projects because of the COVID-19 pandemic. Changes to the ways and willingness of how people gather may change the demand for our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 needs throughout a sports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LCD technology in and surrounding live events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In the near-term, our customers who rely on advertising revenue for sports installations or who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governmental tax revenue availability may choose to delay spending on projects because of the impacts on their business caused by the COVID-19 pandemic.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High School Park and Recreation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costs driving the use of more sophisticated displays in school athletic facilities, such as large integrated video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control system options tailored for the markets' needs.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In the near term, customers in the mass-transit and airport part of the market are expected to delay spending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use of this infrastructure and impact on their financial stability during the COVID-19 pandemic. In the long-term, roadway projects may be impacted due to reduced tax revenues. That impact is expected to increase as the duration of the reduction in infrastructure usage continues.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Transportation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applications and acceptance of electronic displays to manage transportation systems, including roadway, airport, parking, transit and other applications.</w:t>
      </w: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use of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In the near-term, our customers who rely on advertising, retail, event revenues and governmental tax revenue availability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delay spending on projects due to the impacts caused by the COVID-19 pandemic. Changes to the ways and willingness of how people gather may change the demand for our systems.</w:t>
      </w:r>
    </w:p>
    <w:p>
      <w:pPr>
        <w:sectPr>
          <w:pgSz w:w="11900" w:h="16838" w:orient="portrait"/>
          <w:cols w:equalWidth="0" w:num="1">
            <w:col w:w="11240"/>
          </w:cols>
          <w:pgMar w:left="320" w:top="121" w:right="339" w:bottom="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Over the long-term, we believe growth in the International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greater penetration in various geographies and building products more suited to individual markets. We continue to broaden our product offerings into the transportation segment in Europe and the Middle East.</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sports facility, spectacular-type, OOH advertising products, and architectural lighting market opportunities and the factors listed in each of the other business units to the extent they apply outside of the United States and Canada.</w:t>
      </w: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opportunities exist with expanded market usage of LED technology due to price considerations, usage of LED technology replacing prior LCD installations and additional display offerings using micro-LEDs.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ending May 1, 2021 will consist of 52 weeks and the fiscal year ended May 2, 2020 was a 53-week year; therefore, the nine months ended January 30, 2021 contains operating results for 39 weeks while the nine months ended February 1, 2020 contains operating results for 40 weeks.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30, 2021 AND FEBRUARY 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Dollar</w:t>
            </w:r>
          </w:p>
        </w:tc>
        <w:tc>
          <w:tcPr>
            <w:tcW w:w="120" w:type="dxa"/>
            <w:vAlign w:val="bottom"/>
          </w:tcPr>
          <w:p>
            <w:pPr>
              <w:spacing w:after="0"/>
              <w:rPr>
                <w:sz w:val="16"/>
                <w:szCs w:val="16"/>
                <w:color w:val="auto"/>
              </w:rPr>
            </w:pPr>
          </w:p>
        </w:tc>
        <w:tc>
          <w:tcPr>
            <w:tcW w:w="13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1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14,311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(33.5)</w:t>
            </w:r>
          </w:p>
        </w:tc>
      </w:tr>
      <w:tr>
        <w:trPr>
          <w:trHeight w:val="250"/>
        </w:trPr>
        <w:tc>
          <w:tcPr>
            <w:tcW w:w="1080" w:type="dxa"/>
            <w:vAlign w:val="bottom"/>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196"/>
        </w:trPr>
        <w:tc>
          <w:tcPr>
            <w:tcW w:w="594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(30,409)</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10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orders in all business units were impacted as a result of the economic downturn caused by the COVID-19 pandemic. The change in sales was also related to fluctuations in the timing of order bookings, and related conversion to sales. Our third quarter historically has been lower than other quarters due to sports and construction seasonality. The change in orders was also impacted by the timing of large contract orders which causes lumpiness.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order activity in all business units were lower as compared to prior periods due to overall low market activity primarily resulting from customers delaying decisions or deferring upgrades and improvements due to the impact of the COVID-19 pandemic. The Commercial business unit had improved orders for on-premise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 order backlog as of January 30, 2021 was $195 million as compared to $187 million as of February 1, 2020 and $201 million at the end of the second quarter of fiscal 2021. Historically, our product order backlog varies due to the seasonality of our business, the timing of large projects, and customer delivery schedules for these orders. The product order backlog as of January 30, 2021 increased in the Live Events, Transportation, and International business units and decreased in the Commercial and High School Park and Recreation business units from February 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09"/>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February 1, 2020</w:t>
            </w:r>
          </w:p>
        </w:tc>
      </w:tr>
      <w:tr>
        <w:trPr>
          <w:trHeight w:val="187"/>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a Percent</w:t>
            </w:r>
          </w:p>
        </w:tc>
      </w:tr>
      <w:tr>
        <w:trPr>
          <w:trHeight w:val="21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5,399</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8"/>
              </w:rPr>
              <w:t>14.6%</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7,815</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4,316</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3,768</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17.5</w:t>
            </w:r>
          </w:p>
        </w:tc>
      </w:tr>
      <w:tr>
        <w:trPr>
          <w:trHeight w:val="249"/>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24,482</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19.2%</w:t>
            </w:r>
          </w:p>
        </w:tc>
      </w:tr>
    </w:tbl>
    <w:p>
      <w:pPr>
        <w:sectPr>
          <w:pgSz w:w="11900" w:h="16838" w:orient="portrait"/>
          <w:cols w:equalWidth="0" w:num="1">
            <w:col w:w="11240"/>
          </w:cols>
          <w:pgMar w:left="320" w:top="337" w:right="339" w:bottom="0" w:gutter="0" w:footer="0" w:header="0"/>
        </w:sectPr>
      </w:pPr>
    </w:p>
    <w:bookmarkStart w:id="21" w:name="page22"/>
    <w:bookmarkEnd w:id="2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logistics related costs including tariffs and duties,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improved gross profit rate is a result of the mix of service agreement and product sales and a $2.1 million litigation claim reversal in the third quarter of fiscal 2021 as compared to the third quarter of fiscal 2020. Excluding the impact of the litigation claim reversal, gross profit as a percentage of sales was 23.2 percent in the third quarter of fiscal 2021. In addition, during the third quarter of fiscal 2021, we have lowered overall staffing and temporarily furloughed employees to achieve lower operating costs to align with the uncertainties created by the COVID-19 pandemic. During the third quarter of fiscal 2020 we experienced additional expenses of approximately $1.1 million for project delivery costs. The gross profit percentage increased in our Commercial and High School Park and Recreation business units primarily due to the reasons described above.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earned a higher rate of gross profit on our service agreements due to reduced stand ready services conducted during the quarter. This was due to lower on-site demand as events were either not being held or held at a reduced frequency as compared to prior quarters. We believe this higher gross profit level will not be sustained in future quarters. This was offset by total warranty as a percent of sales was 1.6 percent for the three months ended January 30, 2021 as compared to 1.3 percent during the three months ended February 1,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0" w:type="dxa"/>
            <w:vAlign w:val="bottom"/>
          </w:tcPr>
          <w:p>
            <w:pPr>
              <w:spacing w:after="0"/>
              <w:rPr>
                <w:sz w:val="18"/>
                <w:szCs w:val="18"/>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February 1, 2020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11"/>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Contribution Margin:</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4,553</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3,258</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(3,713.5)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salaries,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costs, travel and 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Each business unit's contribution margin was impacted by a decrease in personnel related expenses, continued reductions in travel and entertainment, marketing, and convention related expenses due to limited ability to travel or delayed conventions, which was partly offset by a $1.3 million increase in bad debt expenses. We have lowered overall staffing and furloughed employees to achieve lower operating costs to align with the uncertainties created by the COVID-19 pandemic.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operating margin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February 1, 2020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11"/>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11,937</w:t>
            </w:r>
          </w:p>
        </w:tc>
        <w:tc>
          <w:tcPr>
            <w:tcW w:w="1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2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7,930</w:t>
            </w:r>
          </w:p>
        </w:tc>
        <w:tc>
          <w:tcPr>
            <w:tcW w:w="1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6,389</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8,640</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5,784</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8,442</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third quarter of fiscal 2021 decreased as compared to the same period one year ago primarily due to decreases in personnel related expenses and professional fees. We have lowered overall staffing and furloughed employees to achieve lower operating costs to align with the uncertainties created by the COVID-19 pandemic.</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design and development expenses in the third quarter of fiscal 2021 decreased as compared to the same period one year ago primarily due to decreased labor costs and professional services assigned to product design and development projects. We have lowered overall staffing, furloughed employees, and lowered the use of contractors in our development area to achieve lower operating costs to align with the uncertainties created by the COVID-19 pandemic.</w:t>
      </w:r>
    </w:p>
    <w:p>
      <w:pPr>
        <w:sectPr>
          <w:pgSz w:w="11900" w:h="16838" w:orient="portrait"/>
          <w:cols w:equalWidth="0" w:num="1">
            <w:col w:w="11240"/>
          </w:cols>
          <w:pgMar w:left="320" w:top="119" w:right="3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February 1, 2020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11"/>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income, net</w:t>
            </w:r>
          </w:p>
        </w:tc>
        <w:tc>
          <w:tcPr>
            <w:tcW w:w="66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w:t>
            </w:r>
          </w:p>
        </w:tc>
        <w:tc>
          <w:tcPr>
            <w:tcW w:w="2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w:t>
            </w:r>
          </w:p>
        </w:tc>
        <w:tc>
          <w:tcPr>
            <w:tcW w:w="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1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We generate interest income through short-term cash investments, marketable securities, and product sales on an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or in exchange for the rights to sell and retain advertising revenues from displays, which result in long-term receivables. Interest expense is comprised primarily of interest costs on our line of credit and any long-term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and expense, net for the third quarter of fiscal 2021 compared to the same period one year ago was primarily due to the change in investment levels caused by the volatility of working capital needs and interest expense for our drawings on the line of credit.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third quarter of fiscal 2021 as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foreign currency volatility and the increases in the losses recorded for equity method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an effective tax rate of 82.0 percent for the third quarter of fiscal 2021 as compared to a negative effective tax rate of 37.9 percent for the third quarter of fiscal 2020. The tax rate changes each period are primarily driven by the mathematical calculations of estimated tax credits and other permanent difference levels proportionate to estimated pre-tax earnings levels and the related changes in estimates of each of those variables through the year. For the three months ended January 30, 2021, the rate change was mainly driven by a return to provision benefit booked in proportion to an actual small pre-tax loss for the quarter; whereas the three months ended February 1, 2020, was primarily driven by changes in the proportionate percentage of estimated tax credits and other permanent differences compared to estimated pre-tax earnings.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JANUARY 30, 2021 AND FEBRUARY 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Dollar</w:t>
            </w:r>
          </w:p>
        </w:tc>
        <w:tc>
          <w:tcPr>
            <w:tcW w:w="120" w:type="dxa"/>
            <w:vAlign w:val="bottom"/>
          </w:tcPr>
          <w:p>
            <w:pPr>
              <w:spacing w:after="0"/>
              <w:rPr>
                <w:sz w:val="16"/>
                <w:szCs w:val="16"/>
                <w:color w:val="auto"/>
              </w:rPr>
            </w:pPr>
          </w:p>
        </w:tc>
        <w:tc>
          <w:tcPr>
            <w:tcW w:w="13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1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44,822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74,365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(39.7)</w:t>
            </w:r>
          </w:p>
        </w:tc>
      </w:tr>
      <w:tr>
        <w:trPr>
          <w:trHeight w:val="250"/>
        </w:trPr>
        <w:tc>
          <w:tcPr>
            <w:tcW w:w="1080" w:type="dxa"/>
            <w:vAlign w:val="bottom"/>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365,150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482,824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197"/>
        </w:trPr>
        <w:tc>
          <w:tcPr>
            <w:tcW w:w="594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344,707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473,609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10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orders in all business units were impacted as a result of the economic downturn caused by the COVID-19 pandemic as well as the nine months ended February 1, 2020 included 40 weeks compared to the more common 39 weeks. The nine months ended January 30, 2021 contained 39 weeks.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net sales, during the first nine months ended January 30, 2021, we achieved a $9.4 million per week average run rate as compared to $12.1 million per week during the first nine months ended February 1, 2020, or an approximate 22 percent decrease. The change in sales was also related to fluctuations in the timing of order bookings, and related conversion to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orders, during the first nine months ended January 30, 2021, we achieved a $8.8 million per week average run rate as compared to $11.8 million per week during the first nine months ended February 1, 2020, or an approximate 25 percent decrease. The change in orders was also impacted by the timing of large contract orders which causes lumpiness.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p>
      <w:pPr>
        <w:spacing w:after="0" w:line="22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19685</wp:posOffset>
            </wp:positionV>
            <wp:extent cx="33604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1" w:lineRule="exact"/>
        <w:rPr>
          <w:sz w:val="20"/>
          <w:szCs w:val="20"/>
          <w:color w:val="auto"/>
        </w:rPr>
      </w:pPr>
    </w:p>
    <w:p>
      <w:pPr>
        <w:ind w:left="6500"/>
        <w:spacing w:after="0"/>
        <w:tabs>
          <w:tab w:leader="none" w:pos="9180" w:val="left"/>
        </w:tabs>
        <w:rPr>
          <w:sz w:val="20"/>
          <w:szCs w:val="20"/>
          <w:color w:val="auto"/>
        </w:rPr>
      </w:pPr>
      <w:r>
        <w:rPr>
          <w:rFonts w:ascii="Times New Roman" w:cs="Times New Roman" w:eastAsia="Times New Roman" w:hAnsi="Times New Roman"/>
          <w:sz w:val="18"/>
          <w:szCs w:val="18"/>
          <w:b w:val="1"/>
          <w:bCs w:val="1"/>
          <w:color w:val="auto"/>
        </w:rPr>
        <w:t>January 30, 2021</w:t>
      </w:r>
      <w:r>
        <w:rPr>
          <w:sz w:val="20"/>
          <w:szCs w:val="20"/>
          <w:color w:val="auto"/>
        </w:rPr>
        <w:tab/>
      </w:r>
      <w:r>
        <w:rPr>
          <w:rFonts w:ascii="Times New Roman" w:cs="Times New Roman" w:eastAsia="Times New Roman" w:hAnsi="Times New Roman"/>
          <w:sz w:val="18"/>
          <w:szCs w:val="18"/>
          <w:b w:val="1"/>
          <w:bCs w:val="1"/>
          <w:color w:val="auto"/>
        </w:rPr>
        <w:t>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As a Percent</w:t>
            </w:r>
          </w:p>
        </w:tc>
      </w:tr>
      <w:tr>
        <w:trPr>
          <w:trHeight w:val="21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8"/>
              </w:rPr>
              <w:t>26.0%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22,479</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8"/>
              </w:rPr>
              <w:t>18.6%</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20,910</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32,486</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25,410</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22,595</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14,300</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18,073</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7,666</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14,441</w:t>
            </w:r>
          </w:p>
        </w:tc>
        <w:tc>
          <w:tcPr>
            <w:tcW w:w="1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93,016</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110,074</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22.8%</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logistics related costs including tariffs and duties,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our gross profit percentage for the nine months ended January 30, 2021 compared to the same period one year ago was the result of the mix of service agreement and product sales, a $2.1 million litigation claim reversal in High School Park and Recreation, and the following impacts across all business units: $2.8 million of severance costs to reducing our workforce, offset by $1.6 million of COVID relief governmental subsidies. In addition, during fiscal 2021, we have lowered overall staffing and temporarily furloughed employees to achieve lower operating costs to align with the uncertainties created by the COVID-19 pandemic. During fiscal 2020, we experienced additional expenses of approximately $3.2 million for project delivery costs, and $2.5 million in tariff related expenses, decreasing the gross profit rate for the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earned a higher rate of gross profit on our service agreements due to reduced stand ready services conducted during the nine months ended January 30, 2021. This was due to lower on-site demand as events were not being held. We believe this higher gross profit level will not be sustained in future quarters. Total warranty as a percent of sales decreased to 1.5 percent for the nine months ended January 30, 2021 as compared to 1.9 percent during the nine months ended February 1,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3"/>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February 1, 2020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11"/>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salaries,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costs, travel and 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Each business unit's contribution margin was impacted as a result of the economic downturn caused by the COVID-19 pandemic, as well as the nine months ended February 1, 2020 included 40 weeks compared to the more common 39 weeks. The nine months ended January 30, 2021 contained 39 weeks. In addition, each business unit's contribution margin had a decrease in personnel related expenses offset by severance costs for reductions in force, as well as reductions in travel and entertainment, marketing, and convention related expenses. This was partially offset by a $2.0 million increase in bad debt expenses. We have lowered overall staffing and furloughed employees to achieve lower operating costs to align with the uncertainties created by the COVID-19 pandemic.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from non-GAAP contribution margin to operating margin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February 1, 2020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11"/>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56,802</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2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59,048</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26,698</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20,053</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29,063</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areas of operating expenses were impacted as a result of the economic downturn caused by the COVID-19 pandemic. In addition, the nine months ended February 1, 2020 included 40 weeks compared to the 39 weeks in the nine months ended January 30, 2021.</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January 30, 2021 decreased as compared to the same period one year ago primarily due to decreases in personnel related expenses and professional fees offset by severance costs from the reduction in force. We have lowered overall staffing and furloughed employees to achieve lower operating costs to align with the uncertainties created by the COVID-19 pandemic.</w:t>
      </w:r>
    </w:p>
    <w:p>
      <w:pPr>
        <w:sectPr>
          <w:pgSz w:w="11900" w:h="16838" w:orient="portrait"/>
          <w:cols w:equalWidth="0" w:num="1">
            <w:col w:w="11240"/>
          </w:cols>
          <w:pgMar w:left="320" w:top="117" w:right="339" w:bottom="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design and development expenses in the nine months ended January 30, 2021 as compared to the same period one year ago decreased primarily due to decreased labor costs and professional services assigned to product design and development projects offset by severance costs for the reduction in force. We have lowered overall staffing and furloughed employees to achieve lower operating costs to align with the uncertainties created by the COVID-19 pandemic.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1, 2020</w:t>
            </w: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As a Percent</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of Net Sales</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We generate interest income through short-term cash investments, marketable securities, and product sales on an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or in exchange for the rights to sell and retain advertising revenues from displays, which result in long-term receivables. Interest expense is comprised primarily of interest costs on our line of credit and any long-term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and expense, net in the nine months ended January 30, 2021 compared to the same period one year ago was primarily due to the change in investment levels caused by the volatility of working capital needs and interest expense for our drawings on the line of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nine months ended January 30, 2021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primarily due to foreign currency volatility and the increases in the losses recorded for equity method affiliates. During the nine months ended January 30, 2021, we recorded equity method affiliate losses of $1.7 million as compared to $0.4 million during the nine months ended February 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an effective tax rate of 21.3 percent for the nine months ended January 30, 2021 as compared to an effective tax rate of 51.6 percent for the nine months ended February 1, 2020. The tax rate changes each period are primarily driven by the mathematical calculations of estimated tax credits and other permanent difference levels proportionate to estimated pre-tax earnings levels and the related changes in estimates of each of those variables through the year. The change in the effective tax rate year over year was driven primarily by a decrease in the proportionate percentage of tax credits and other permanent differences compared to estimated pre-tax earnings.</w:t>
      </w:r>
    </w:p>
    <w:p>
      <w:pPr>
        <w:sectPr>
          <w:pgSz w:w="11900" w:h="16838" w:orient="portrait"/>
          <w:cols w:equalWidth="0" w:num="1">
            <w:col w:w="11240"/>
          </w:cols>
          <w:pgMar w:left="320" w:top="119" w:right="339" w:bottom="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407"/>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48,221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679.0%</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10,034</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204.2</w:t>
            </w:r>
          </w:p>
        </w:tc>
      </w:tr>
      <w:tr>
        <w:trPr>
          <w:trHeight w:val="209"/>
        </w:trPr>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40,349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119" w:right="339" w:bottom="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increased by $40.3 million for the first nine months of fiscal 2021 as compared to an increase of $4.6 million in the first nine months of fiscal 2020, which is primarily due to cash generation of operations, a decrease in capital expenditures, and suspending our dividend and share repurchase programs.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Cash generated by operating activities is primarily derived from cash received from customers, offset by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for inventories, subcontractors, employee related costs, and operating expense outflows. Operating cash flows consist primarily of net income adjusted for non-cash items, including depreciation and 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w:t>
      </w:r>
    </w:p>
    <w:p>
      <w:pPr>
        <w:sectPr>
          <w:pgSz w:w="11900" w:h="16838" w:orient="portrait"/>
          <w:cols w:equalWidth="0" w:num="1">
            <w:col w:w="11240"/>
          </w:cols>
          <w:pgMar w:left="320" w:top="119" w:right="339" w:bottom="0" w:gutter="0" w:footer="0" w:header="0"/>
          <w:type w:val="continuous"/>
        </w:sectPr>
      </w:pPr>
    </w:p>
    <w:bookmarkStart w:id="25" w:name="page26"/>
    <w:bookmarkEnd w:id="25"/>
    <w:p>
      <w:pPr>
        <w:spacing w:after="0" w:line="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recognition, which can vary significantly depending on contractual payment terms and build and installation schedules. Balances are also impacted by the seasonality of the sports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$48.2 million for the first nine months of fiscal 2021 compared to net cash provided by operating activities of $6.2 million in the first nine months of fiscal 2020. The $42.0 million increase in cash provided by operating activities was primarily the result of changes in net operating assets and liabilities and an increase of $9.1 million in net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investing activities: </w:t>
      </w:r>
      <w:r>
        <w:rPr>
          <w:rFonts w:ascii="Times New Roman" w:cs="Times New Roman" w:eastAsia="Times New Roman" w:hAnsi="Times New Roman"/>
          <w:sz w:val="18"/>
          <w:szCs w:val="18"/>
          <w:color w:val="auto"/>
        </w:rPr>
        <w:t>Net cash used in investing activities totaled $6.8 million in the first nine months of fiscal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provided by investing activities of $10.0 million in the first nine months of fiscal 2020. We had $1.0 million proceeds from sales or maturities of marketable securities in the first nine months of fiscal 2021 as compared to $24.7 million in the first nine months of fiscal 2020. Net proceeds of marketable securities in fiscal 2020 were utilized to cover working capital needs for changes in operating assets and liabilities described above. Purchases of property and equipment totaled $6.9 million in the first nine months of fiscal 2021 compared to $13.6 million in the first nine months of fiscal 2020.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$0.6 million for the nine months ended January 30, 2021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$11.4 million in the same period one year ago. Principal payments on long-term obligations for the first nine months of fiscal 2021 were $0.4 million compared to $2.1 million during the first nine months of fiscal 2020, which was mostly related to contingent liability payments. Dividends of $6.8 million, or $0.15 per share, paid to Daktronics shareholders during the first nine months of fiscal 2020, while there were no dividends paid during the first nine months of fiscal 2021. During the first nine months of fiscal 2020, we repurchased $2.3 million of shares as part of the $40.0 million share repurchase plan authorized by our Board of Directors. There were no share repurchases in the first nine months of fiscal 2021. As part of our COVID-19 response, our Board of Directors has suspended dividends and stock repurchases for the foreseeable future.</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 program,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spending impact our liquidity.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Working capital was $132.7 million and $106.0 million at January 30, 2021 and May 2, 2020,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$5.5 million of retainage on long-term contracts included in receivables and contract assets as of January 30, 2021, which has an impact on our liquidity. We expect to collect these amounts within one year. We have historically financed our cash needs through a combination of cash flow from operations and borrowings under bank credit agreements.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over certain assets. The third amendment adds a liquidity covenant and revises other financial covenants. The revolving amount of the agreement and note remains at $35.0 million, including up to $20.0 million for commercial and standby letters of credit. The credit agreement and amendments require us to be in compliance with certain financial ratios, including the most sensitive covenant of interest bearing debt to earnings before income taxes, depreciation, and amortization of less than 2.5; and other covenants and contain customary events of default, including failure to comply with covenants, failure to pay or discharge material judgments and taxes, bankruptcy, failure to pay loans and fees, and change of control. The occurrence of an event of default by us would permit the lenders to terminate their commitments and accelerate loans repayment, obtain securitized assets, and require collateralization of outstanding letters of credit. As of January 30, 2021, $15.0 million had been advanced to us under the loan portion of the line of credit, and the balance of letters of credit outstanding was approximately $6.7 million. As of January 30, 2021, $13.3 million of the credit facility remains in place and available. As of January 30, 2021, we were in compliance with all applicable bank loan covenants.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w:t>
      </w:r>
    </w:p>
    <w:p>
      <w:pPr>
        <w:sectPr>
          <w:pgSz w:w="11900" w:h="16900" w:orient="portrait"/>
          <w:cols w:equalWidth="0" w:num="1">
            <w:col w:w="11240"/>
          </w:cols>
          <w:pgMar w:left="320" w:top="121" w:right="339" w:bottom="0" w:gutter="0" w:footer="0" w:header="0"/>
        </w:sectPr>
      </w:pPr>
    </w:p>
    <w:bookmarkStart w:id="26" w:name="page27"/>
    <w:bookmarkEnd w:id="26"/>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to Daktronics restricted cash accounts. As of January 30, 2021, we had $3.6 million of such instruments outstanding.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January 30, 2021, we had $38.9 million of bonded work outstanding against this 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capital expenditures to be approximately $10 million for fiscal 2021. Projected capital expenditures include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 especially given the uncertainties resulting from the COVID-19 pandemic.</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audiovisual industry fundamentals will drive long-term growth for our business, but the near-term outlook shows contraction and greater volatility overall. We expect our customers will continue to have disruptions in revenue caused by COVID-19. While it is difficult to estimate the longevity and severity of the COVID-19 pandemic impact to the economy and to our financial position, operating results, and cash flows, we continue to take proactive steps to solidify our financial position and mitigate any adverse consequences. These steps include:</w:t>
      </w:r>
    </w:p>
    <w:p>
      <w:pPr>
        <w:spacing w:after="0" w:line="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liquidity by drawing down $15 million from our existing line of credit and pursuing other sources of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investments in capital assets; we estimate approximately $10 million in capital expenses in fiscal year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executive pay and Board member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tax and other government opportunities to improve liquidity;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furloughing and permanently reducing our staffing and associated salaries, where necessary, to maintain a right-sized skilled workforce;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other cost reductions across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stock repurchases under our share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dividend declarations for the foreseeable future.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these measures are necessary to help preserve our ability to borrow for liquidity needs and provide adequate working capital to weather the economic downturn caused by the COVID-19 pandemic. However, no assurance can be made that we will be able to secure such financing, if needed, on favorable terms or at all, or that these strategies will be successful. We continue to carefully monitor this crisis, its impact on market demand, and our expense structure and will take additional actions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our off-balance sheet arrangements and contractual obligations since the end of our 2020 fiscal year on May 2,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Annual Report on Form 10-K for the fiscal year ended May 2, 2020.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1. Nature of Business and Summary of Significant Accounting Policies" of the Notes to Consolidated Financial Statements included in our Annual Report on Form 10-K for the fiscal year ended May 2, 2020. We discuss our critical accounting estimates in "Part II, Item 7. Management’s Discussion and Analysis of Financial Condition and Results of Operations" in our Annual Report on Form 10-K for the fiscal year ended May 2, 2020. In the first quarter of fiscal 2021, we adopted Accounting Standards Update ("ASU") 2017-04, </w:t>
      </w:r>
      <w:r>
        <w:rPr>
          <w:rFonts w:ascii="Times New Roman" w:cs="Times New Roman" w:eastAsia="Times New Roman" w:hAnsi="Times New Roman"/>
          <w:sz w:val="18"/>
          <w:szCs w:val="18"/>
          <w:i w:val="1"/>
          <w:iCs w:val="1"/>
          <w:color w:val="auto"/>
        </w:rPr>
        <w:t xml:space="preserve">Intangibles-Goodwill and Other (Topic 350) </w:t>
      </w:r>
      <w:r>
        <w:rPr>
          <w:rFonts w:ascii="Times New Roman" w:cs="Times New Roman" w:eastAsia="Times New Roman" w:hAnsi="Times New Roman"/>
          <w:sz w:val="18"/>
          <w:szCs w:val="18"/>
          <w:color w:val="auto"/>
        </w:rPr>
        <w:t>and ASU 2016-13,</w:t>
      </w:r>
      <w:r>
        <w:rPr>
          <w:rFonts w:ascii="Times New Roman" w:cs="Times New Roman" w:eastAsia="Times New Roman" w:hAnsi="Times New Roman"/>
          <w:sz w:val="18"/>
          <w:szCs w:val="18"/>
          <w:i w:val="1"/>
          <w:iCs w:val="1"/>
          <w:color w:val="auto"/>
        </w:rPr>
        <w:t xml:space="preserve"> Measurement of Credit Losses on Financial Instruments</w:t>
      </w:r>
      <w:r>
        <w:rPr>
          <w:rFonts w:ascii="Times New Roman" w:cs="Times New Roman" w:eastAsia="Times New Roman" w:hAnsi="Times New Roman"/>
          <w:sz w:val="18"/>
          <w:szCs w:val="18"/>
          <w:color w:val="auto"/>
        </w:rPr>
        <w:t>, as described in "Note 1.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the Notes to the Condensed Consolidated Financial Statements included elsewhere in this Report. There have been no other significant changes in our significant accounting policies or critical accounting estimates since the end of fiscal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May 2, 2020. There have been no material changes in our exposure to these risks during the first nine months of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30, 2021, which is the end of the period covered by this Report. Based upon that evaluation, the Chief Executive Officer and Chief Financial Officer concluded that as of January 30, 2021, our disclosure controls and procedures were effective.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January 30, 2021, there was no change in our internal control over financial reporting which has materially affected, or is reasonably likely to</w:t>
      </w:r>
    </w:p>
    <w:p>
      <w:pPr>
        <w:sectPr>
          <w:pgSz w:w="11900" w:h="16846" w:orient="portrait"/>
          <w:cols w:equalWidth="0" w:num="1">
            <w:col w:w="11240"/>
          </w:cols>
          <w:pgMar w:left="320" w:top="121" w:right="3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May 2, 2020.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January 30, 2021,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 of exhibits required to be filed as part of this report is set forth in the Index of Exhibits, which immediately precedes such exhibits,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Daktronics, Inc.</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 March 3,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62" w:lineRule="exact"/>
        <w:rPr>
          <w:sz w:val="20"/>
          <w:szCs w:val="20"/>
          <w:color w:val="auto"/>
        </w:rPr>
      </w:pPr>
    </w:p>
    <w:p>
      <w:pPr>
        <w:ind w:left="600" w:hanging="593"/>
        <w:spacing w:after="0" w:line="261" w:lineRule="auto"/>
        <w:tabs>
          <w:tab w:leader="none" w:pos="580" w:val="left"/>
        </w:tabs>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57">
        <w:r>
          <w:rPr>
            <w:rFonts w:ascii="Times New Roman" w:cs="Times New Roman" w:eastAsia="Times New Roman" w:hAnsi="Times New Roman"/>
            <w:sz w:val="18"/>
            <w:szCs w:val="18"/>
            <w:u w:val="single" w:color="auto"/>
            <w:color w:val="0000EE"/>
          </w:rPr>
          <w:t>Amended and Restated Articles of Incorporation of the Company. (Incorporated by reference to Exhibit 3.1 of the Current Report on Form 10-Q/A</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(Amendment No. 1) of Daktronics, Inc. filed on December 21, 2018).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580" w:val="left"/>
        </w:tabs>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59">
        <w:r>
          <w:rPr>
            <w:rFonts w:ascii="Times New Roman" w:cs="Times New Roman" w:eastAsia="Times New Roman" w:hAnsi="Times New Roman"/>
            <w:sz w:val="18"/>
            <w:szCs w:val="18"/>
            <w:u w:val="single" w:color="auto"/>
            <w:color w:val="0000EE"/>
          </w:rPr>
          <w:t>Amended and Restated Bylaws of the Company (Incorporated by reference to Exhibit 3.4 filed with our Annual Report on Form 10-K on June 12,</w:t>
        </w:r>
      </w:hyperlink>
    </w:p>
    <w:p>
      <w:pPr>
        <w:spacing w:after="0" w:line="9" w:lineRule="exact"/>
        <w:rPr>
          <w:sz w:val="20"/>
          <w:szCs w:val="20"/>
          <w:color w:val="auto"/>
        </w:rPr>
      </w:pPr>
    </w:p>
    <w:p>
      <w:pPr>
        <w:ind w:left="600"/>
        <w:spacing w:after="0"/>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right="2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61">
        <w:r>
          <w:rPr>
            <w:rFonts w:ascii="Times New Roman" w:cs="Times New Roman" w:eastAsia="Times New Roman" w:hAnsi="Times New Roman"/>
            <w:sz w:val="18"/>
            <w:szCs w:val="18"/>
            <w:u w:val="single" w:color="auto"/>
            <w:color w:val="0000EE"/>
          </w:rPr>
          <w:t>Rights Agreement dated as of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reference to Exhibit 4.1 of the Current Report on Form 8-K of Daktronics, Inc. filed on November 16, 2018).</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580" w:val="left"/>
        </w:tabs>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62">
        <w:r>
          <w:rPr>
            <w:rFonts w:ascii="Times New Roman" w:cs="Times New Roman" w:eastAsia="Times New Roman" w:hAnsi="Times New Roman"/>
            <w:sz w:val="18"/>
            <w:szCs w:val="18"/>
            <w:u w:val="single" w:color="auto"/>
            <w:color w:val="0000EE"/>
          </w:rPr>
          <w:t>Credit Agreement dated November 15, 2016 by and between the Company and U.S. Bank National Association (Incorporated by reference to</w:t>
        </w:r>
      </w:hyperlink>
    </w:p>
    <w:p>
      <w:pPr>
        <w:sectPr>
          <w:pgSz w:w="11900" w:h="16838" w:orient="portrait"/>
          <w:cols w:equalWidth="0" w:num="1">
            <w:col w:w="11240"/>
          </w:cols>
          <w:pgMar w:left="320" w:top="121" w:right="339" w:bottom="0" w:gutter="0" w:footer="0" w:header="0"/>
        </w:sectPr>
      </w:pPr>
    </w:p>
    <w:bookmarkStart w:id="28" w:name="page29"/>
    <w:bookmarkEnd w:id="28"/>
    <w:p>
      <w:pPr>
        <w:ind w:left="600"/>
        <w:spacing w:after="0"/>
        <w:rPr>
          <w:rFonts w:ascii="Times New Roman" w:cs="Times New Roman" w:eastAsia="Times New Roman" w:hAnsi="Times New Roman"/>
          <w:sz w:val="18"/>
          <w:szCs w:val="18"/>
          <w:u w:val="single" w:color="auto"/>
          <w:color w:val="0000EE"/>
        </w:rPr>
      </w:pPr>
      <w:hyperlink r:id="rId62">
        <w:r>
          <w:rPr>
            <w:rFonts w:ascii="Times New Roman" w:cs="Times New Roman" w:eastAsia="Times New Roman" w:hAnsi="Times New Roman"/>
            <w:sz w:val="18"/>
            <w:szCs w:val="18"/>
            <w:u w:val="single" w:color="auto"/>
            <w:color w:val="0000EE"/>
          </w:rPr>
          <w:t>Exhibit 10.1 filed with our Current Report on Form 8-K filed on November 16,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64">
        <w:r>
          <w:rPr>
            <w:rFonts w:ascii="Times New Roman" w:cs="Times New Roman" w:eastAsia="Times New Roman" w:hAnsi="Times New Roman"/>
            <w:sz w:val="18"/>
            <w:szCs w:val="18"/>
            <w:u w:val="single" w:color="auto"/>
            <w:color w:val="0000EE"/>
          </w:rPr>
          <w:t>Revolving Note dated November 15, 2016 issued by the Company to U.S. Bank National Association (Incorporated by reference to Exhibit 10.2</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filed with our Current Report on Form 8-K filed on November 16, 2016).</w:t>
        </w:r>
      </w:hyperlink>
    </w:p>
    <w:p>
      <w:pPr>
        <w:spacing w:after="0" w:line="1" w:lineRule="exact"/>
        <w:rPr>
          <w:rFonts w:ascii="Times New Roman" w:cs="Times New Roman" w:eastAsia="Times New Roman" w:hAnsi="Times New Roman"/>
          <w:sz w:val="18"/>
          <w:szCs w:val="18"/>
          <w:u w:val="single" w:color="auto"/>
          <w:color w:val="0000EE"/>
        </w:rPr>
      </w:pP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65">
        <w:r>
          <w:rPr>
            <w:rFonts w:ascii="Times New Roman" w:cs="Times New Roman" w:eastAsia="Times New Roman" w:hAnsi="Times New Roman"/>
            <w:sz w:val="18"/>
            <w:szCs w:val="18"/>
            <w:u w:val="single" w:color="auto"/>
            <w:color w:val="0000EE"/>
          </w:rPr>
          <w:t>Second Amendment to Credit Agreement dated as of November 15, 2019 by and between the Company and U.S. Bank National Association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(Incorporated by reference to Exhibit 10.1 filed with our Current Report on Form 8-K filed on November 15, 2019).</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u w:val="single" w:color="auto"/>
          <w:color w:val="0000EE"/>
        </w:rPr>
        <w:tab/>
      </w:r>
      <w:hyperlink r:id="rId67">
        <w:r>
          <w:rPr>
            <w:rFonts w:ascii="Times New Roman" w:cs="Times New Roman" w:eastAsia="Times New Roman" w:hAnsi="Times New Roman"/>
            <w:sz w:val="18"/>
            <w:szCs w:val="18"/>
            <w:u w:val="single" w:color="auto"/>
            <w:color w:val="0000EE"/>
          </w:rPr>
          <w:t>Third Amendment to Credit Agreement dated as of August 28, 2020 by and between the Company and U.S. Bank National Association</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(Incorporated by reference to Exhibit 10.4 filed with our Current Report on Form 10-Q of Daktronics, Inc. filed on August 28, 2020).</w:t>
        </w:r>
      </w:hyperlink>
    </w:p>
    <w:p>
      <w:pPr>
        <w:spacing w:after="0" w:line="1" w:lineRule="exact"/>
        <w:rPr>
          <w:rFonts w:ascii="Times New Roman" w:cs="Times New Roman" w:eastAsia="Times New Roman" w:hAnsi="Times New Roman"/>
          <w:sz w:val="18"/>
          <w:szCs w:val="18"/>
          <w:u w:val="single" w:color="auto"/>
          <w:color w:val="0000EE"/>
        </w:rPr>
      </w:pP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68">
        <w:r>
          <w:rPr>
            <w:rFonts w:ascii="Times New Roman" w:cs="Times New Roman" w:eastAsia="Times New Roman" w:hAnsi="Times New Roman"/>
            <w:sz w:val="18"/>
            <w:szCs w:val="18"/>
            <w:u w:val="single" w:color="auto"/>
            <w:color w:val="0000EE"/>
          </w:rPr>
          <w:t>Security Agreement dated as of August 28, 2020 by and between the Company and U.S. Bank National Association (Incorporated by reference to</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Exhibit 10.5 filed with our Current Report on Form 10-Q of Daktronics, Inc. filed on August 28,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u w:val="single" w:color="auto"/>
          <w:color w:val="0000EE"/>
        </w:rPr>
        <w:tab/>
      </w:r>
      <w:hyperlink r:id="rId70">
        <w:r>
          <w:rPr>
            <w:rFonts w:ascii="Times New Roman" w:cs="Times New Roman" w:eastAsia="Times New Roman" w:hAnsi="Times New Roman"/>
            <w:sz w:val="18"/>
            <w:szCs w:val="18"/>
            <w:u w:val="single" w:color="auto"/>
            <w:color w:val="0000EE"/>
          </w:rPr>
          <w:t>Daktronics, Inc. 2020 Stock Incentive Plan ("2020 Plan") (Incorporated by reference to Exhibit A to the Company's Definitive Proxy Statement on</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Schedule 14A filed on July 16, 2020).</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580" w:val="left"/>
        </w:tabs>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u w:val="single" w:color="auto"/>
          <w:color w:val="0000EE"/>
        </w:rPr>
        <w:tab/>
      </w:r>
      <w:hyperlink r:id="rId71">
        <w:r>
          <w:rPr>
            <w:rFonts w:ascii="Times New Roman" w:cs="Times New Roman" w:eastAsia="Times New Roman" w:hAnsi="Times New Roman"/>
            <w:sz w:val="18"/>
            <w:szCs w:val="18"/>
            <w:u w:val="single" w:color="auto"/>
            <w:color w:val="0000EE"/>
          </w:rPr>
          <w:t>Form of Restricted Stock Award Agreement under the 2020 Plan (Incorporated by reference to Exhibit 10.2 filed with our Current Report on Form</w:t>
        </w:r>
      </w:hyperlink>
    </w:p>
    <w:p>
      <w:pPr>
        <w:spacing w:after="0" w:line="9" w:lineRule="exact"/>
        <w:rPr>
          <w:sz w:val="20"/>
          <w:szCs w:val="20"/>
          <w:color w:val="auto"/>
        </w:rPr>
      </w:pPr>
    </w:p>
    <w:p>
      <w:pPr>
        <w:ind w:left="600"/>
        <w:spacing w:after="0"/>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8-K on September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right="2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u w:val="single" w:color="auto"/>
          <w:color w:val="0000EE"/>
        </w:rPr>
        <w:tab/>
      </w:r>
      <w:hyperlink r:id="rId73">
        <w:r>
          <w:rPr>
            <w:rFonts w:ascii="Times New Roman" w:cs="Times New Roman" w:eastAsia="Times New Roman" w:hAnsi="Times New Roman"/>
            <w:sz w:val="18"/>
            <w:szCs w:val="18"/>
            <w:u w:val="single" w:color="auto"/>
            <w:color w:val="0000EE"/>
          </w:rPr>
          <w:t>Form of Non-Qualified Stock Option Agreement Terms and Conditions under the 2020 Plan (Incorporated by reference to Exhibit 10.3 filed with</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our Current Report on Form 8-K on September 3, 2020).</w:t>
        </w:r>
      </w:hyperlink>
    </w:p>
    <w:p>
      <w:pPr>
        <w:spacing w:after="0" w:line="1" w:lineRule="exact"/>
        <w:rPr>
          <w:rFonts w:ascii="Times New Roman" w:cs="Times New Roman" w:eastAsia="Times New Roman" w:hAnsi="Times New Roman"/>
          <w:sz w:val="18"/>
          <w:szCs w:val="18"/>
          <w:u w:val="single" w:color="auto"/>
          <w:color w:val="0000EE"/>
        </w:rPr>
      </w:pP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u w:val="single" w:color="auto"/>
          <w:color w:val="0000EE"/>
        </w:rPr>
        <w:tab/>
      </w:r>
      <w:hyperlink r:id="rId74">
        <w:r>
          <w:rPr>
            <w:rFonts w:ascii="Times New Roman" w:cs="Times New Roman" w:eastAsia="Times New Roman" w:hAnsi="Times New Roman"/>
            <w:sz w:val="18"/>
            <w:szCs w:val="18"/>
            <w:u w:val="single" w:color="auto"/>
            <w:color w:val="0000EE"/>
          </w:rPr>
          <w:t>Form of Incentive Stock Option Terms and Conditions under the 2020 Plan (Incorporated by reference to Exhibit 10.4 filed with our Current</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Report on Form 8-K on September 3,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u w:val="single" w:color="auto"/>
          <w:color w:val="0000EE"/>
        </w:rPr>
        <w:tab/>
      </w:r>
      <w:hyperlink r:id="rId76">
        <w:r>
          <w:rPr>
            <w:rFonts w:ascii="Times New Roman" w:cs="Times New Roman" w:eastAsia="Times New Roman" w:hAnsi="Times New Roman"/>
            <w:sz w:val="18"/>
            <w:szCs w:val="18"/>
            <w:u w:val="single" w:color="auto"/>
            <w:color w:val="0000EE"/>
          </w:rPr>
          <w:t>Form of Restricted Stock Unit Terms and Conditions under the 2020 Plan (Incorporated by reference to Exhibit 10.5 filed with our Current Report</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on Form 8-K on September 3, 2020).</w:t>
        </w:r>
      </w:hyperlink>
    </w:p>
    <w:p>
      <w:pPr>
        <w:spacing w:after="0" w:line="1" w:lineRule="exact"/>
        <w:rPr>
          <w:rFonts w:ascii="Times New Roman" w:cs="Times New Roman" w:eastAsia="Times New Roman" w:hAnsi="Times New Roman"/>
          <w:sz w:val="18"/>
          <w:szCs w:val="18"/>
          <w:u w:val="single" w:color="auto"/>
          <w:color w:val="0000EE"/>
        </w:rPr>
      </w:pPr>
    </w:p>
    <w:p>
      <w:pPr>
        <w:ind w:left="60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30">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30">
        <w:r>
          <w:rPr>
            <w:rFonts w:ascii="Times New Roman" w:cs="Times New Roman" w:eastAsia="Times New Roman" w:hAnsi="Times New Roman"/>
            <w:sz w:val="18"/>
            <w:szCs w:val="18"/>
            <w:u w:val="single" w:color="auto"/>
            <w:color w:val="0000EE"/>
          </w:rPr>
          <w:t>pursuant to Section 302 of the Sarbanes-Oxley Act of 2002. (1)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00" w:right="20" w:hanging="593"/>
        <w:spacing w:after="0" w:line="250" w:lineRule="auto"/>
        <w:tabs>
          <w:tab w:leader="none" w:pos="580" w:val="left"/>
        </w:tabs>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31">
        <w:r>
          <w:rPr>
            <w:rFonts w:ascii="Times New Roman" w:cs="Times New Roman" w:eastAsia="Times New Roman" w:hAnsi="Times New Roman"/>
            <w:sz w:val="18"/>
            <w:szCs w:val="18"/>
            <w:u w:val="single" w:color="auto"/>
            <w:color w:val="0000EE"/>
          </w:rPr>
          <w:t>Certification of the Chief Financial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pursuant to Section 302 of the Sarbanes-Oxley Act of 2002. (1)</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580" w:val="left"/>
        </w:tabs>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w:anchor="page32">
        <w:r>
          <w:rPr>
            <w:rFonts w:ascii="Times New Roman" w:cs="Times New Roman" w:eastAsia="Times New Roman" w:hAnsi="Times New Roman"/>
            <w:sz w:val="18"/>
            <w:szCs w:val="18"/>
            <w:u w:val="single" w:color="auto"/>
            <w:color w:val="0000EE"/>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80" w:val="left"/>
        </w:tabs>
        <w:rPr>
          <w:rFonts w:ascii="Times New Roman" w:cs="Times New Roman" w:eastAsia="Times New Roman" w:hAnsi="Times New Roman"/>
          <w:sz w:val="17"/>
          <w:szCs w:val="17"/>
          <w:u w:val="single" w:color="auto"/>
          <w:color w:val="0000EE"/>
        </w:rPr>
      </w:pPr>
      <w:hyperlink w:anchor="page33">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u w:val="single" w:color="auto"/>
          <w:color w:val="0000EE"/>
        </w:rPr>
        <w:tab/>
      </w:r>
      <w:hyperlink w:anchor="page33">
        <w:r>
          <w:rPr>
            <w:rFonts w:ascii="Times New Roman" w:cs="Times New Roman" w:eastAsia="Times New Roman" w:hAnsi="Times New Roman"/>
            <w:sz w:val="17"/>
            <w:szCs w:val="17"/>
            <w:u w:val="single" w:color="auto"/>
            <w:color w:val="0000EE"/>
          </w:rPr>
          <w:t>Certification of the Chief Financial Officer pursuant to Section 906 of the Sarbanes-Oxley Act of 2002 (18 U.S.C. Section 1350). (1)</w:t>
        </w:r>
      </w:hyperlink>
    </w:p>
    <w:p>
      <w:pPr>
        <w:spacing w:after="0" w:line="9" w:lineRule="exact"/>
        <w:rPr>
          <w:sz w:val="20"/>
          <w:szCs w:val="20"/>
          <w:color w:val="auto"/>
        </w:rPr>
      </w:pPr>
    </w:p>
    <w:p>
      <w:pPr>
        <w:jc w:val="both"/>
        <w:ind w:left="600" w:hanging="592"/>
        <w:spacing w:after="0" w:line="250"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period ended January 30, 2021 formatted in Inline Extensible Business Reporting Language (iXBRL): (i) the Condensed Consolidated Balance Sheets, (ii) the Condensed Consolidated Statements of Operations, (iii) the Condensed Consolidated Statements of Comprehensive Income (Loss), (iv) Condensed Consolidated Statements of Shareholders' Equity, (v) the Condensed Consolidated Statements of Cash Flows, and (vi) Notes to Condensed Consolidated Financial Statements.</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00" w:hanging="59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9"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(1)Filed herewith electronically.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30, 2021 of Daktronics,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January 30, 2021 of Daktronics,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30, 2021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2021</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January 30, 2021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3, 2021</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60" Type="http://schemas.openxmlformats.org/officeDocument/2006/relationships/image" Target="media/image51.png"/><Relationship Id="rId63" Type="http://schemas.openxmlformats.org/officeDocument/2006/relationships/image" Target="media/image52.png"/><Relationship Id="rId66" Type="http://schemas.openxmlformats.org/officeDocument/2006/relationships/image" Target="media/image53.png"/><Relationship Id="rId69" Type="http://schemas.openxmlformats.org/officeDocument/2006/relationships/image" Target="media/image54.png"/><Relationship Id="rId72" Type="http://schemas.openxmlformats.org/officeDocument/2006/relationships/image" Target="media/image55.png"/><Relationship Id="rId75"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57" Type="http://schemas.openxmlformats.org/officeDocument/2006/relationships/hyperlink" Target="http://www.sec.gov/Archives/edgar/data/915779/000091577918000119/exhibit31.htm" TargetMode="External"/><Relationship Id="rId59" Type="http://schemas.openxmlformats.org/officeDocument/2006/relationships/hyperlink" Target="http://www.sec.gov/Archives/edgar/data/915779/000091577913000026/dakt_exx34x10-kx2013.htm" TargetMode="External"/><Relationship Id="rId61" Type="http://schemas.openxmlformats.org/officeDocument/2006/relationships/hyperlink" Target="http://www.sec.gov/Archives/edgar/data/915779/000091577918000089/dakt_20181116x8-kxex41.htm" TargetMode="External"/><Relationship Id="rId62" Type="http://schemas.openxmlformats.org/officeDocument/2006/relationships/hyperlink" Target="http://www.sec.gov/Archives/edgar/data/915779/000091577916000233/dakt_20161115xex101.htm" TargetMode="External"/><Relationship Id="rId64" Type="http://schemas.openxmlformats.org/officeDocument/2006/relationships/hyperlink" Target="http://www.sec.gov/Archives/edgar/data/915779/000091577916000233/dakt_20161115xex102.htm" TargetMode="External"/><Relationship Id="rId65" Type="http://schemas.openxmlformats.org/officeDocument/2006/relationships/hyperlink" Target="http://www.sec.gov/Archives/edgar/data/915779/000091577919000079/dakt_20191115xex101.htm" TargetMode="External"/><Relationship Id="rId67" Type="http://schemas.openxmlformats.org/officeDocument/2006/relationships/hyperlink" Target="http://www.sec.gov/Archives/edgar/data/915779/000091577920000052/dakt20200801q1ex104.htm" TargetMode="External"/><Relationship Id="rId68" Type="http://schemas.openxmlformats.org/officeDocument/2006/relationships/hyperlink" Target="http://www.sec.gov/Archives/edgar/data/915779/000091577920000052/dakt20200801q1ex105.htm" TargetMode="External"/><Relationship Id="rId70" Type="http://schemas.openxmlformats.org/officeDocument/2006/relationships/hyperlink" Target="http://www.sec.gov/Archives/edgar/data/915779/000091577920000033/dakt-20200502_defx14a.htm" TargetMode="External"/><Relationship Id="rId71" Type="http://schemas.openxmlformats.org/officeDocument/2006/relationships/hyperlink" Target="http://www.sec.gov/Archives/edgar/data/915779/000091577920000054/daktex1028-ksom2020.htm" TargetMode="External"/><Relationship Id="rId73" Type="http://schemas.openxmlformats.org/officeDocument/2006/relationships/hyperlink" Target="http://www.sec.gov/Archives/edgar/data/915779/000091577920000054/daktex1038-ksom2020.htm" TargetMode="External"/><Relationship Id="rId74" Type="http://schemas.openxmlformats.org/officeDocument/2006/relationships/hyperlink" Target="http://www.sec.gov/Archives/edgar/data/915779/000091577920000054/daktex1048-ksom2020.htm" TargetMode="External"/><Relationship Id="rId76" Type="http://schemas.openxmlformats.org/officeDocument/2006/relationships/hyperlink" Target="http://www.sec.gov/Archives/edgar/data/915779/000091577920000054/daktex1058-ksom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2021-03-03T12:48:02Z</dcterms:created>
  <dcterms:modified xsi:type="dcterms:W3CDTF">2021-03-03T12:48:02Z</dcterms:modified>
</cp:coreProperties>
</file>