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4020" w:right="1980" w:hanging="4011"/>
        <w:spacing w:after="0" w:line="282"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For the quarterly period ended July 29, 2023</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right="1940"/>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241"/>
        </w:trPr>
        <w:tc>
          <w:tcPr>
            <w:tcW w:w="344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w w:val="91"/>
              </w:rPr>
              <w:t>South Dakota</w:t>
            </w:r>
          </w:p>
        </w:tc>
        <w:tc>
          <w:tcPr>
            <w:tcW w:w="5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b w:val="1"/>
                <w:bCs w:val="1"/>
                <w:color w:val="auto"/>
              </w:rPr>
              <w:t>46-0306862</w:t>
            </w:r>
          </w:p>
        </w:tc>
      </w:tr>
      <w:tr>
        <w:trPr>
          <w:trHeight w:val="229"/>
        </w:trPr>
        <w:tc>
          <w:tcPr>
            <w:tcW w:w="3440" w:type="dxa"/>
            <w:vAlign w:val="bottom"/>
          </w:tcPr>
          <w:p>
            <w:pPr>
              <w:jc w:val="center"/>
              <w:ind w:left="930"/>
              <w:spacing w:after="0"/>
              <w:rPr>
                <w:sz w:val="20"/>
                <w:szCs w:val="20"/>
                <w:color w:val="auto"/>
              </w:rPr>
            </w:pPr>
            <w:r>
              <w:rPr>
                <w:rFonts w:ascii="Arial" w:cs="Arial" w:eastAsia="Arial" w:hAnsi="Arial"/>
                <w:sz w:val="18"/>
                <w:szCs w:val="18"/>
                <w:color w:val="auto"/>
                <w:w w:val="91"/>
              </w:rPr>
              <w:t>(State or Other Jurisdiction of</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20" w:type="dxa"/>
            <w:vAlign w:val="bottom"/>
          </w:tcPr>
          <w:p>
            <w:pPr>
              <w:ind w:left="84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440" w:type="dxa"/>
            <w:vAlign w:val="bottom"/>
          </w:tcPr>
          <w:p>
            <w:pPr>
              <w:jc w:val="center"/>
              <w:ind w:left="930"/>
              <w:spacing w:after="0"/>
              <w:rPr>
                <w:sz w:val="20"/>
                <w:szCs w:val="20"/>
                <w:color w:val="auto"/>
              </w:rPr>
            </w:pPr>
            <w:r>
              <w:rPr>
                <w:rFonts w:ascii="Arial" w:cs="Arial" w:eastAsia="Arial" w:hAnsi="Arial"/>
                <w:sz w:val="18"/>
                <w:szCs w:val="18"/>
                <w:color w:val="auto"/>
                <w:w w:val="92"/>
              </w:rPr>
              <w:t>Incorporation or Organization)</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527"/>
        </w:trPr>
        <w:tc>
          <w:tcPr>
            <w:tcW w:w="344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201 Daktronics Drive</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Brookings,</w:t>
            </w:r>
          </w:p>
        </w:tc>
        <w:tc>
          <w:tcPr>
            <w:tcW w:w="440" w:type="dxa"/>
            <w:vAlign w:val="bottom"/>
          </w:tcPr>
          <w:p>
            <w:pPr>
              <w:ind w:left="180"/>
              <w:spacing w:after="0"/>
              <w:rPr>
                <w:sz w:val="20"/>
                <w:szCs w:val="20"/>
                <w:color w:val="auto"/>
              </w:rPr>
            </w:pPr>
            <w:r>
              <w:rPr>
                <w:rFonts w:ascii="Arial" w:cs="Arial" w:eastAsia="Arial" w:hAnsi="Arial"/>
                <w:sz w:val="18"/>
                <w:szCs w:val="18"/>
                <w:b w:val="1"/>
                <w:bCs w:val="1"/>
                <w:color w:val="auto"/>
                <w:w w:val="95"/>
              </w:rPr>
              <w:t>SD</w:t>
            </w:r>
          </w:p>
        </w:tc>
        <w:tc>
          <w:tcPr>
            <w:tcW w:w="4320" w:type="dxa"/>
            <w:vAlign w:val="bottom"/>
          </w:tcPr>
          <w:p>
            <w:pPr>
              <w:jc w:val="right"/>
              <w:ind w:right="1850"/>
              <w:spacing w:after="0"/>
              <w:rPr>
                <w:sz w:val="20"/>
                <w:szCs w:val="20"/>
                <w:color w:val="auto"/>
              </w:rPr>
            </w:pPr>
            <w:r>
              <w:rPr>
                <w:rFonts w:ascii="Arial" w:cs="Arial" w:eastAsia="Arial" w:hAnsi="Arial"/>
                <w:sz w:val="18"/>
                <w:szCs w:val="18"/>
                <w:b w:val="1"/>
                <w:bCs w:val="1"/>
                <w:color w:val="auto"/>
              </w:rPr>
              <w:t>57006</w:t>
            </w:r>
          </w:p>
        </w:tc>
      </w:tr>
      <w:tr>
        <w:trPr>
          <w:trHeight w:val="256"/>
        </w:trPr>
        <w:tc>
          <w:tcPr>
            <w:tcW w:w="3440" w:type="dxa"/>
            <w:vAlign w:val="bottom"/>
          </w:tcPr>
          <w:p>
            <w:pPr>
              <w:spacing w:after="0"/>
              <w:rPr>
                <w:sz w:val="22"/>
                <w:szCs w:val="22"/>
                <w:color w:val="auto"/>
              </w:rPr>
            </w:pPr>
          </w:p>
        </w:tc>
        <w:tc>
          <w:tcPr>
            <w:tcW w:w="7820" w:type="dxa"/>
            <w:vAlign w:val="bottom"/>
            <w:gridSpan w:val="5"/>
          </w:tcPr>
          <w:p>
            <w:pPr>
              <w:jc w:val="center"/>
              <w:ind w:right="3350"/>
              <w:spacing w:after="0"/>
              <w:rPr>
                <w:sz w:val="20"/>
                <w:szCs w:val="20"/>
                <w:color w:val="auto"/>
              </w:rPr>
            </w:pPr>
            <w:r>
              <w:rPr>
                <w:rFonts w:ascii="Arial" w:cs="Arial" w:eastAsia="Arial" w:hAnsi="Arial"/>
                <w:sz w:val="18"/>
                <w:szCs w:val="18"/>
                <w:color w:val="auto"/>
                <w:w w:val="93"/>
              </w:rPr>
              <w:t>(Address of Principal Executive Offices) (Zip Code)</w:t>
            </w:r>
          </w:p>
        </w:tc>
      </w:tr>
      <w:tr>
        <w:trPr>
          <w:trHeight w:val="526"/>
        </w:trPr>
        <w:tc>
          <w:tcPr>
            <w:tcW w:w="3440" w:type="dxa"/>
            <w:vAlign w:val="bottom"/>
          </w:tcPr>
          <w:p>
            <w:pPr>
              <w:spacing w:after="0"/>
              <w:rPr>
                <w:sz w:val="24"/>
                <w:szCs w:val="24"/>
                <w:color w:val="auto"/>
              </w:rPr>
            </w:pPr>
          </w:p>
        </w:tc>
        <w:tc>
          <w:tcPr>
            <w:tcW w:w="3060" w:type="dxa"/>
            <w:vAlign w:val="bottom"/>
            <w:gridSpan w:val="3"/>
          </w:tcPr>
          <w:p>
            <w:pPr>
              <w:jc w:val="center"/>
              <w:ind w:left="1210"/>
              <w:spacing w:after="0"/>
              <w:rPr>
                <w:sz w:val="20"/>
                <w:szCs w:val="20"/>
                <w:color w:val="auto"/>
              </w:rPr>
            </w:pPr>
            <w:r>
              <w:rPr>
                <w:rFonts w:ascii="Arial" w:cs="Arial" w:eastAsia="Arial" w:hAnsi="Arial"/>
                <w:sz w:val="18"/>
                <w:szCs w:val="18"/>
                <w:b w:val="1"/>
                <w:bCs w:val="1"/>
                <w:color w:val="auto"/>
                <w:w w:val="90"/>
              </w:rPr>
              <w:t>(605) 692-0200</w:t>
            </w:r>
          </w:p>
        </w:tc>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7820" w:type="dxa"/>
            <w:vAlign w:val="bottom"/>
            <w:gridSpan w:val="5"/>
          </w:tcPr>
          <w:p>
            <w:pPr>
              <w:jc w:val="center"/>
              <w:ind w:right="3370"/>
              <w:spacing w:after="0"/>
              <w:rPr>
                <w:sz w:val="20"/>
                <w:szCs w:val="20"/>
                <w:color w:val="auto"/>
              </w:rPr>
            </w:pPr>
            <w:r>
              <w:rPr>
                <w:rFonts w:ascii="Arial" w:cs="Arial" w:eastAsia="Arial" w:hAnsi="Arial"/>
                <w:sz w:val="18"/>
                <w:szCs w:val="18"/>
                <w:color w:val="auto"/>
                <w:w w:val="91"/>
              </w:rPr>
              <w:t>(Registrant’s Telephone Number, Including Area Code)</w:t>
            </w:r>
          </w:p>
        </w:tc>
      </w:tr>
      <w:tr>
        <w:trPr>
          <w:trHeight w:val="432"/>
        </w:trPr>
        <w:tc>
          <w:tcPr>
            <w:tcW w:w="3440" w:type="dxa"/>
            <w:vAlign w:val="bottom"/>
          </w:tcPr>
          <w:p>
            <w:pPr>
              <w:spacing w:after="0"/>
              <w:rPr>
                <w:sz w:val="24"/>
                <w:szCs w:val="24"/>
                <w:color w:val="auto"/>
              </w:rPr>
            </w:pPr>
          </w:p>
        </w:tc>
        <w:tc>
          <w:tcPr>
            <w:tcW w:w="7820" w:type="dxa"/>
            <w:vAlign w:val="bottom"/>
            <w:gridSpan w:val="5"/>
          </w:tcPr>
          <w:p>
            <w:pPr>
              <w:jc w:val="center"/>
              <w:ind w:right="335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43"/>
        </w:trPr>
        <w:tc>
          <w:tcPr>
            <w:tcW w:w="3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r>
      <w:tr>
        <w:trPr>
          <w:trHeight w:val="243"/>
        </w:trPr>
        <w:tc>
          <w:tcPr>
            <w:tcW w:w="3440" w:type="dxa"/>
            <w:vAlign w:val="bottom"/>
            <w:tcBorders>
              <w:left w:val="single" w:sz="8" w:color="auto"/>
              <w:bottom w:val="single" w:sz="8" w:color="auto"/>
            </w:tcBorders>
          </w:tcPr>
          <w:p>
            <w:pPr>
              <w:ind w:left="1320"/>
              <w:spacing w:after="0"/>
              <w:rPr>
                <w:sz w:val="20"/>
                <w:szCs w:val="20"/>
                <w:color w:val="auto"/>
              </w:rPr>
            </w:pPr>
            <w:r>
              <w:rPr>
                <w:rFonts w:ascii="Arial" w:cs="Arial" w:eastAsia="Arial" w:hAnsi="Arial"/>
                <w:sz w:val="18"/>
                <w:szCs w:val="18"/>
                <w:b w:val="1"/>
                <w:bCs w:val="1"/>
                <w:color w:val="auto"/>
              </w:rPr>
              <w:t>Title of each class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Trading Symbol(s)</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Common Stock, No Par Value</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Nasdaq Global Select Market</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Preferred Stock Purchase Rights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Nasdaq Global Select Market</w:t>
            </w:r>
          </w:p>
        </w:tc>
      </w:tr>
    </w:tbl>
    <w:p>
      <w:pPr>
        <w:spacing w:after="0" w:line="296"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4"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84"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68" w:right="319" w:bottom="0" w:gutter="0" w:footer="0" w:header="0"/>
        </w:sectPr>
      </w:pPr>
    </w:p>
    <w:p>
      <w:pPr>
        <w:spacing w:after="0" w:line="238"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60" w:lineRule="exact"/>
        <w:rPr>
          <w:sz w:val="24"/>
          <w:szCs w:val="24"/>
          <w:color w:val="auto"/>
        </w:rPr>
      </w:pPr>
    </w:p>
    <w:p>
      <w:pPr>
        <w:sectPr>
          <w:pgSz w:w="11900" w:h="16838" w:orient="portrait"/>
          <w:cols w:equalWidth="0" w:num="2">
            <w:col w:w="2140" w:space="720"/>
            <w:col w:w="8400"/>
          </w:cols>
          <w:pgMar w:left="320" w:top="1368" w:right="319" w:bottom="0" w:gutter="0" w:footer="0" w:header="0"/>
          <w:type w:val="continuous"/>
        </w:sect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48" w:lineRule="exact"/>
        <w:rPr>
          <w:sz w:val="24"/>
          <w:szCs w:val="24"/>
          <w:color w:val="auto"/>
        </w:rPr>
      </w:pPr>
    </w:p>
    <w:p>
      <w:pPr>
        <w:sectPr>
          <w:pgSz w:w="11900" w:h="16838" w:orient="portrait"/>
          <w:cols w:equalWidth="0" w:num="2">
            <w:col w:w="2140" w:space="720"/>
            <w:col w:w="8400"/>
          </w:cols>
          <w:pgMar w:left="320" w:top="1368" w:right="319" w:bottom="0" w:gutter="0" w:footer="0" w:header="0"/>
          <w:type w:val="continuous"/>
        </w:sect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60" w:lineRule="exact"/>
        <w:rPr>
          <w:sz w:val="24"/>
          <w:szCs w:val="24"/>
          <w:color w:val="auto"/>
        </w:rPr>
      </w:pPr>
    </w:p>
    <w:p>
      <w:pPr>
        <w:sectPr>
          <w:pgSz w:w="11900" w:h="16838" w:orient="portrait"/>
          <w:cols w:equalWidth="0" w:num="2">
            <w:col w:w="2140" w:space="720"/>
            <w:col w:w="8400"/>
          </w:cols>
          <w:pgMar w:left="320" w:top="1368" w:right="319" w:bottom="0" w:gutter="0" w:footer="0" w:header="0"/>
          <w:type w:val="continuous"/>
        </w:sectPr>
      </w:pPr>
    </w:p>
    <w:p>
      <w:pPr>
        <w:ind w:left="2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60" w:lineRule="exact"/>
        <w:rPr>
          <w:sz w:val="24"/>
          <w:szCs w:val="24"/>
          <w:color w:val="auto"/>
        </w:rPr>
      </w:pPr>
    </w:p>
    <w:p>
      <w:pPr>
        <w:sectPr>
          <w:pgSz w:w="11900" w:h="16838" w:orient="portrait"/>
          <w:cols w:equalWidth="0" w:num="2">
            <w:col w:w="2140" w:space="720"/>
            <w:col w:w="8400"/>
          </w:cols>
          <w:pgMar w:left="320" w:top="1368" w:right="319" w:bottom="0" w:gutter="0" w:footer="0" w:header="0"/>
          <w:type w:val="continuous"/>
        </w:sect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2140" w:space="720"/>
            <w:col w:w="8400"/>
          </w:cols>
          <w:pgMar w:left="320" w:top="1368" w:right="319" w:bottom="0" w:gutter="0" w:footer="0" w:header="0"/>
          <w:type w:val="continuous"/>
        </w:sectPr>
      </w:pPr>
    </w:p>
    <w:p>
      <w:pPr>
        <w:spacing w:after="0" w:line="13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August 21, 2023 was 45,716,424.</w:t>
      </w:r>
    </w:p>
    <w:p>
      <w:pPr>
        <w:sectPr>
          <w:pgSz w:w="11900" w:h="16838" w:orient="portrait"/>
          <w:cols w:equalWidth="0" w:num="1">
            <w:col w:w="11260"/>
          </w:cols>
          <w:pgMar w:left="320" w:top="1368" w:right="31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July 29,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6"/>
            <w:vMerge w:val="restart"/>
          </w:tcPr>
          <w:p>
            <w:pPr>
              <w:spacing w:after="0"/>
              <w:rPr>
                <w:sz w:val="20"/>
                <w:szCs w:val="20"/>
                <w:color w:val="auto"/>
              </w:rPr>
            </w:pPr>
            <w:r>
              <w:rPr>
                <w:rFonts w:ascii="Arial" w:cs="Arial" w:eastAsia="Arial" w:hAnsi="Arial"/>
                <w:sz w:val="18"/>
                <w:szCs w:val="18"/>
                <w:b w:val="1"/>
                <w:bCs w:val="1"/>
                <w:color w:val="0000FF"/>
              </w:rPr>
              <w:t>Part I.</w:t>
            </w:r>
          </w:p>
        </w:tc>
        <w:tc>
          <w:tcPr>
            <w:tcW w:w="8980" w:type="dxa"/>
            <w:vAlign w:val="bottom"/>
            <w:gridSpan w:val="20"/>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880" w:type="dxa"/>
            <w:vAlign w:val="bottom"/>
            <w:gridSpan w:val="5"/>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8980" w:type="dxa"/>
            <w:vAlign w:val="bottom"/>
            <w:gridSpan w:val="20"/>
            <w:vMerge w:val="continue"/>
          </w:tcPr>
          <w:p>
            <w:pPr>
              <w:spacing w:after="0"/>
              <w:rPr>
                <w:sz w:val="16"/>
                <w:szCs w:val="16"/>
                <w:color w:val="auto"/>
              </w:rPr>
            </w:pPr>
          </w:p>
        </w:tc>
        <w:tc>
          <w:tcPr>
            <w:tcW w:w="560" w:type="dxa"/>
            <w:vAlign w:val="bottom"/>
            <w:gridSpan w:val="4"/>
          </w:tcPr>
          <w:p>
            <w:pPr>
              <w:jc w:val="center"/>
              <w:ind w:left="310"/>
              <w:spacing w:after="0" w:line="190" w:lineRule="exact"/>
              <w:rPr>
                <w:sz w:val="20"/>
                <w:szCs w:val="20"/>
                <w:color w:val="auto"/>
              </w:rPr>
            </w:pPr>
            <w:r>
              <w:rPr>
                <w:rFonts w:ascii="Arial" w:cs="Arial" w:eastAsia="Arial" w:hAnsi="Arial"/>
                <w:sz w:val="18"/>
                <w:szCs w:val="18"/>
                <w:color w:val="0000FF"/>
                <w:w w:val="79"/>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860" w:type="dxa"/>
            <w:vAlign w:val="bottom"/>
            <w:gridSpan w:val="5"/>
          </w:tcPr>
          <w:p>
            <w:pPr>
              <w:spacing w:after="0"/>
              <w:rPr>
                <w:sz w:val="18"/>
                <w:szCs w:val="18"/>
                <w:color w:val="auto"/>
              </w:rPr>
            </w:pPr>
          </w:p>
        </w:tc>
        <w:tc>
          <w:tcPr>
            <w:tcW w:w="2420" w:type="dxa"/>
            <w:vAlign w:val="bottom"/>
            <w:gridSpan w:val="11"/>
          </w:tcPr>
          <w:p>
            <w:pPr>
              <w:spacing w:after="0"/>
              <w:rPr>
                <w:sz w:val="20"/>
                <w:szCs w:val="20"/>
                <w:color w:val="auto"/>
              </w:rPr>
            </w:pPr>
            <w:r>
              <w:rPr>
                <w:rFonts w:ascii="Arial" w:cs="Arial" w:eastAsia="Arial" w:hAnsi="Arial"/>
                <w:sz w:val="18"/>
                <w:szCs w:val="18"/>
                <w:color w:val="0000FF"/>
                <w:w w:val="89"/>
              </w:rPr>
              <w:t>Financial Statements (Unaudited)</w:t>
            </w:r>
          </w:p>
        </w:tc>
        <w:tc>
          <w:tcPr>
            <w:tcW w:w="6560" w:type="dxa"/>
            <w:vAlign w:val="bottom"/>
            <w:gridSpan w:val="9"/>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Arial" w:cs="Arial" w:eastAsia="Arial" w:hAnsi="Arial"/>
                <w:sz w:val="18"/>
                <w:szCs w:val="18"/>
                <w:color w:val="0000FF"/>
                <w:w w:val="79"/>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Condensed Consolidated Balance Sheets as of July 29, 2023 and April 29, 2023</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4"/>
          </w:tcPr>
          <w:p>
            <w:pPr>
              <w:jc w:val="center"/>
              <w:ind w:left="310"/>
              <w:spacing w:after="0"/>
              <w:rPr>
                <w:sz w:val="20"/>
                <w:szCs w:val="20"/>
                <w:color w:val="auto"/>
              </w:rPr>
            </w:pPr>
            <w:r>
              <w:rPr>
                <w:rFonts w:ascii="Arial" w:cs="Arial" w:eastAsia="Arial" w:hAnsi="Arial"/>
                <w:sz w:val="18"/>
                <w:szCs w:val="18"/>
                <w:color w:val="0000FF"/>
                <w:w w:val="79"/>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80" w:type="dxa"/>
            <w:vAlign w:val="bottom"/>
            <w:gridSpan w:val="16"/>
            <w:vMerge w:val="restart"/>
          </w:tcPr>
          <w:p>
            <w:pPr>
              <w:spacing w:after="0"/>
              <w:rPr>
                <w:sz w:val="20"/>
                <w:szCs w:val="20"/>
                <w:color w:val="auto"/>
              </w:rPr>
            </w:pPr>
            <w:r>
              <w:rPr>
                <w:rFonts w:ascii="Arial" w:cs="Arial" w:eastAsia="Arial" w:hAnsi="Arial"/>
                <w:sz w:val="18"/>
                <w:szCs w:val="18"/>
                <w:color w:val="0000FF"/>
                <w:w w:val="89"/>
              </w:rPr>
              <w:t>Condensed Consolidated Statements of Operations for the Three Months Ended July 29, 2023 and July 30, 2022</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80" w:type="dxa"/>
            <w:vAlign w:val="bottom"/>
            <w:tcBorders>
              <w:bottom w:val="single" w:sz="8" w:color="0000FF"/>
            </w:tcBorders>
            <w:gridSpan w:val="16"/>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Arial" w:cs="Arial" w:eastAsia="Arial" w:hAnsi="Arial"/>
                <w:sz w:val="18"/>
                <w:szCs w:val="18"/>
                <w:color w:val="0000FF"/>
                <w:w w:val="79"/>
              </w:rPr>
              <w:t>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00" w:type="dxa"/>
            <w:vAlign w:val="bottom"/>
            <w:gridSpan w:val="19"/>
            <w:vMerge w:val="restart"/>
          </w:tcPr>
          <w:p>
            <w:pPr>
              <w:spacing w:after="0"/>
              <w:rPr>
                <w:sz w:val="20"/>
                <w:szCs w:val="20"/>
                <w:color w:val="auto"/>
              </w:rPr>
            </w:pPr>
            <w:r>
              <w:rPr>
                <w:rFonts w:ascii="Arial" w:cs="Arial" w:eastAsia="Arial" w:hAnsi="Arial"/>
                <w:sz w:val="18"/>
                <w:szCs w:val="18"/>
                <w:color w:val="0000FF"/>
                <w:w w:val="89"/>
              </w:rPr>
              <w:t>Condensed Consolidated Statements of Comprehensive Income (Loss) for the Three Months Ended July 29, 2023 and</w:t>
            </w: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00" w:type="dxa"/>
            <w:vAlign w:val="bottom"/>
            <w:tcBorders>
              <w:bottom w:val="single" w:sz="8" w:color="0000FF"/>
            </w:tcBorders>
            <w:gridSpan w:val="19"/>
            <w:vMerge w:val="continue"/>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89"/>
              </w:rPr>
              <w:t>July 30, 2022</w:t>
            </w:r>
          </w:p>
        </w:tc>
        <w:tc>
          <w:tcPr>
            <w:tcW w:w="3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4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left="310"/>
              <w:spacing w:after="0" w:line="196" w:lineRule="exact"/>
              <w:rPr>
                <w:sz w:val="20"/>
                <w:szCs w:val="20"/>
                <w:color w:val="auto"/>
              </w:rPr>
            </w:pPr>
            <w:r>
              <w:rPr>
                <w:rFonts w:ascii="Arial" w:cs="Arial" w:eastAsia="Arial" w:hAnsi="Arial"/>
                <w:sz w:val="18"/>
                <w:szCs w:val="18"/>
                <w:color w:val="0000FF"/>
                <w:w w:val="79"/>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00" w:type="dxa"/>
            <w:vAlign w:val="bottom"/>
            <w:gridSpan w:val="19"/>
            <w:vMerge w:val="restart"/>
          </w:tcPr>
          <w:p>
            <w:pPr>
              <w:spacing w:after="0"/>
              <w:rPr>
                <w:sz w:val="20"/>
                <w:szCs w:val="20"/>
                <w:color w:val="auto"/>
              </w:rPr>
            </w:pPr>
            <w:r>
              <w:rPr>
                <w:rFonts w:ascii="Arial" w:cs="Arial" w:eastAsia="Arial" w:hAnsi="Arial"/>
                <w:sz w:val="18"/>
                <w:szCs w:val="18"/>
                <w:color w:val="0000FF"/>
                <w:w w:val="90"/>
              </w:rPr>
              <w:t>Condensed Consolidated Statements of Shareholders' Equity for the Three Months Ended July 29, 2023 and July 30,</w:t>
            </w: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00" w:type="dxa"/>
            <w:vAlign w:val="bottom"/>
            <w:gridSpan w:val="19"/>
            <w:vMerge w:val="continue"/>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4"/>
              </w:rPr>
              <w:t>2022</w:t>
            </w: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left="310"/>
              <w:spacing w:after="0" w:line="196" w:lineRule="exact"/>
              <w:rPr>
                <w:sz w:val="20"/>
                <w:szCs w:val="20"/>
                <w:color w:val="auto"/>
              </w:rPr>
            </w:pPr>
            <w:r>
              <w:rPr>
                <w:rFonts w:ascii="Arial" w:cs="Arial" w:eastAsia="Arial" w:hAnsi="Arial"/>
                <w:sz w:val="18"/>
                <w:szCs w:val="18"/>
                <w:color w:val="0000FF"/>
                <w:w w:val="79"/>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140" w:type="dxa"/>
            <w:vAlign w:val="bottom"/>
            <w:gridSpan w:val="17"/>
            <w:vMerge w:val="restart"/>
          </w:tcPr>
          <w:p>
            <w:pPr>
              <w:spacing w:after="0"/>
              <w:rPr>
                <w:sz w:val="20"/>
                <w:szCs w:val="20"/>
                <w:color w:val="auto"/>
              </w:rPr>
            </w:pPr>
            <w:r>
              <w:rPr>
                <w:rFonts w:ascii="Arial" w:cs="Arial" w:eastAsia="Arial" w:hAnsi="Arial"/>
                <w:sz w:val="18"/>
                <w:szCs w:val="18"/>
                <w:color w:val="0000FF"/>
                <w:w w:val="89"/>
              </w:rPr>
              <w:t>Condensed Consolidated Statements of Cash Flows for the Three Months Ended July 29, 2023 and July 30, 2022</w:t>
            </w: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40" w:type="dxa"/>
            <w:vAlign w:val="bottom"/>
            <w:tcBorders>
              <w:bottom w:val="single" w:sz="8" w:color="0000FF"/>
            </w:tcBorders>
            <w:gridSpan w:val="17"/>
            <w:vMerge w:val="continue"/>
          </w:tcPr>
          <w:p>
            <w:pPr>
              <w:spacing w:after="0"/>
              <w:rPr>
                <w:sz w:val="18"/>
                <w:szCs w:val="18"/>
                <w:color w:val="auto"/>
              </w:rPr>
            </w:pPr>
          </w:p>
        </w:tc>
        <w:tc>
          <w:tcPr>
            <w:tcW w:w="360" w:type="dxa"/>
            <w:vAlign w:val="bottom"/>
            <w:gridSpan w:val="2"/>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Arial" w:cs="Arial" w:eastAsia="Arial" w:hAnsi="Arial"/>
                <w:sz w:val="18"/>
                <w:szCs w:val="18"/>
                <w:color w:val="0000FF"/>
                <w:w w:val="79"/>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2"/>
            <w:vMerge w:val="restart"/>
          </w:tcPr>
          <w:p>
            <w:pPr>
              <w:spacing w:after="0"/>
              <w:rPr>
                <w:sz w:val="20"/>
                <w:szCs w:val="20"/>
                <w:color w:val="auto"/>
              </w:rPr>
            </w:pPr>
            <w:r>
              <w:rPr>
                <w:rFonts w:ascii="Arial" w:cs="Arial" w:eastAsia="Arial" w:hAnsi="Arial"/>
                <w:sz w:val="18"/>
                <w:szCs w:val="18"/>
                <w:color w:val="0000FF"/>
                <w:w w:val="88"/>
              </w:rPr>
              <w:t>Notes to the Condensed Consolidated Financial Statements</w:t>
            </w:r>
          </w:p>
        </w:tc>
        <w:tc>
          <w:tcPr>
            <w:tcW w:w="1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2"/>
            <w:vMerge w:val="continue"/>
          </w:tcPr>
          <w:p>
            <w:pPr>
              <w:spacing w:after="0"/>
              <w:rPr>
                <w:sz w:val="18"/>
                <w:szCs w:val="18"/>
                <w:color w:val="auto"/>
              </w:rPr>
            </w:pPr>
          </w:p>
        </w:tc>
        <w:tc>
          <w:tcPr>
            <w:tcW w:w="1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840" w:type="dxa"/>
            <w:vAlign w:val="bottom"/>
            <w:gridSpan w:val="4"/>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Arial" w:cs="Arial" w:eastAsia="Arial" w:hAnsi="Arial"/>
                <w:sz w:val="18"/>
                <w:szCs w:val="18"/>
                <w:color w:val="0000FF"/>
                <w:w w:val="79"/>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3"/>
              </w:rPr>
              <w:t>Item 2.</w:t>
            </w:r>
          </w:p>
        </w:tc>
        <w:tc>
          <w:tcPr>
            <w:tcW w:w="860" w:type="dxa"/>
            <w:vAlign w:val="bottom"/>
            <w:gridSpan w:val="5"/>
          </w:tcPr>
          <w:p>
            <w:pPr>
              <w:spacing w:after="0"/>
              <w:rPr>
                <w:sz w:val="17"/>
                <w:szCs w:val="17"/>
                <w:color w:val="auto"/>
              </w:rPr>
            </w:pPr>
          </w:p>
        </w:tc>
        <w:tc>
          <w:tcPr>
            <w:tcW w:w="646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5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Arial" w:cs="Arial" w:eastAsia="Arial" w:hAnsi="Arial"/>
                <w:sz w:val="18"/>
                <w:szCs w:val="18"/>
                <w:color w:val="0000FF"/>
                <w:w w:val="89"/>
              </w:rPr>
              <w:t>21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780" w:type="dxa"/>
            <w:vAlign w:val="bottom"/>
            <w:gridSpan w:val="4"/>
          </w:tcPr>
          <w:p>
            <w:pPr>
              <w:spacing w:after="0"/>
              <w:rPr>
                <w:sz w:val="18"/>
                <w:szCs w:val="18"/>
                <w:color w:val="auto"/>
              </w:rPr>
            </w:pP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620" w:type="dxa"/>
            <w:vAlign w:val="bottom"/>
            <w:gridSpan w:val="8"/>
          </w:tcPr>
          <w:p>
            <w:pPr>
              <w:spacing w:after="0"/>
              <w:rPr>
                <w:sz w:val="18"/>
                <w:szCs w:val="18"/>
                <w:color w:val="auto"/>
              </w:rPr>
            </w:pPr>
          </w:p>
        </w:tc>
        <w:tc>
          <w:tcPr>
            <w:tcW w:w="560" w:type="dxa"/>
            <w:vAlign w:val="bottom"/>
            <w:gridSpan w:val="4"/>
          </w:tcPr>
          <w:p>
            <w:pPr>
              <w:jc w:val="center"/>
              <w:ind w:left="290"/>
              <w:spacing w:after="0"/>
              <w:rPr>
                <w:sz w:val="20"/>
                <w:szCs w:val="20"/>
                <w:color w:val="auto"/>
              </w:rPr>
            </w:pPr>
            <w:r>
              <w:rPr>
                <w:rFonts w:ascii="Arial" w:cs="Arial" w:eastAsia="Arial" w:hAnsi="Arial"/>
                <w:sz w:val="18"/>
                <w:szCs w:val="18"/>
                <w:color w:val="0000FF"/>
                <w:w w:val="89"/>
              </w:rPr>
              <w:t>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4.</w:t>
            </w:r>
          </w:p>
        </w:tc>
        <w:tc>
          <w:tcPr>
            <w:tcW w:w="860" w:type="dxa"/>
            <w:vAlign w:val="bottom"/>
            <w:gridSpan w:val="5"/>
          </w:tcPr>
          <w:p>
            <w:pPr>
              <w:spacing w:after="0"/>
              <w:rPr>
                <w:sz w:val="18"/>
                <w:szCs w:val="18"/>
                <w:color w:val="auto"/>
              </w:rPr>
            </w:pPr>
          </w:p>
        </w:tc>
        <w:tc>
          <w:tcPr>
            <w:tcW w:w="898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560" w:type="dxa"/>
            <w:vAlign w:val="bottom"/>
            <w:gridSpan w:val="4"/>
          </w:tcPr>
          <w:p>
            <w:pPr>
              <w:jc w:val="center"/>
              <w:ind w:left="290"/>
              <w:spacing w:after="0"/>
              <w:rPr>
                <w:sz w:val="20"/>
                <w:szCs w:val="20"/>
                <w:color w:val="auto"/>
              </w:rPr>
            </w:pPr>
            <w:r>
              <w:rPr>
                <w:rFonts w:ascii="Arial" w:cs="Arial" w:eastAsia="Arial" w:hAnsi="Arial"/>
                <w:sz w:val="18"/>
                <w:szCs w:val="18"/>
                <w:color w:val="0000FF"/>
                <w:w w:val="89"/>
              </w:rPr>
              <w:t>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b w:val="1"/>
                <w:bCs w:val="1"/>
                <w:color w:val="0000FF"/>
              </w:rPr>
              <w:t>Part II.</w:t>
            </w:r>
          </w:p>
        </w:tc>
        <w:tc>
          <w:tcPr>
            <w:tcW w:w="780" w:type="dxa"/>
            <w:vAlign w:val="bottom"/>
            <w:gridSpan w:val="4"/>
          </w:tcPr>
          <w:p>
            <w:pPr>
              <w:spacing w:after="0"/>
              <w:rPr>
                <w:sz w:val="24"/>
                <w:szCs w:val="24"/>
                <w:color w:val="auto"/>
              </w:rPr>
            </w:pPr>
          </w:p>
        </w:tc>
        <w:tc>
          <w:tcPr>
            <w:tcW w:w="8980" w:type="dxa"/>
            <w:vAlign w:val="bottom"/>
            <w:gridSpan w:val="20"/>
          </w:tcPr>
          <w:p>
            <w:pPr>
              <w:spacing w:after="0"/>
              <w:rPr>
                <w:sz w:val="20"/>
                <w:szCs w:val="20"/>
                <w:color w:val="auto"/>
              </w:rPr>
            </w:pPr>
            <w:r>
              <w:rPr>
                <w:rFonts w:ascii="Arial" w:cs="Arial" w:eastAsia="Arial" w:hAnsi="Arial"/>
                <w:sz w:val="18"/>
                <w:szCs w:val="18"/>
                <w:b w:val="1"/>
                <w:bCs w:val="1"/>
                <w:color w:val="0000FF"/>
              </w:rPr>
              <w:t>Other Information</w:t>
            </w:r>
          </w:p>
        </w:tc>
        <w:tc>
          <w:tcPr>
            <w:tcW w:w="560" w:type="dxa"/>
            <w:vAlign w:val="bottom"/>
            <w:gridSpan w:val="4"/>
          </w:tcPr>
          <w:p>
            <w:pPr>
              <w:jc w:val="center"/>
              <w:ind w:left="290"/>
              <w:spacing w:after="0"/>
              <w:rPr>
                <w:sz w:val="20"/>
                <w:szCs w:val="20"/>
                <w:color w:val="auto"/>
              </w:rPr>
            </w:pPr>
            <w:r>
              <w:rPr>
                <w:rFonts w:ascii="Arial" w:cs="Arial" w:eastAsia="Arial" w:hAnsi="Arial"/>
                <w:sz w:val="18"/>
                <w:szCs w:val="18"/>
                <w:color w:val="0000FF"/>
                <w:w w:val="89"/>
              </w:rPr>
              <w:t>28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83"/>
              </w:rPr>
              <w:t>Item 1.</w:t>
            </w:r>
          </w:p>
        </w:tc>
        <w:tc>
          <w:tcPr>
            <w:tcW w:w="8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w w:val="95"/>
              </w:rPr>
              <w:t>Legal Proceedings</w:t>
            </w:r>
          </w:p>
        </w:tc>
        <w:tc>
          <w:tcPr>
            <w:tcW w:w="754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1A.</w:t>
            </w:r>
          </w:p>
        </w:tc>
        <w:tc>
          <w:tcPr>
            <w:tcW w:w="898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560" w:type="dxa"/>
            <w:vAlign w:val="bottom"/>
            <w:gridSpan w:val="4"/>
          </w:tcPr>
          <w:p>
            <w:pPr>
              <w:jc w:val="center"/>
              <w:ind w:left="290"/>
              <w:spacing w:after="0"/>
              <w:rPr>
                <w:sz w:val="20"/>
                <w:szCs w:val="20"/>
                <w:color w:val="auto"/>
              </w:rPr>
            </w:pPr>
            <w:r>
              <w:rPr>
                <w:rFonts w:ascii="Arial" w:cs="Arial" w:eastAsia="Arial" w:hAnsi="Arial"/>
                <w:sz w:val="18"/>
                <w:szCs w:val="18"/>
                <w:color w:val="0000FF"/>
                <w:w w:val="8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2.</w:t>
            </w:r>
          </w:p>
        </w:tc>
        <w:tc>
          <w:tcPr>
            <w:tcW w:w="14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898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560" w:type="dxa"/>
            <w:vAlign w:val="bottom"/>
            <w:gridSpan w:val="4"/>
          </w:tcPr>
          <w:p>
            <w:pPr>
              <w:jc w:val="center"/>
              <w:ind w:left="290"/>
              <w:spacing w:after="0"/>
              <w:rPr>
                <w:sz w:val="20"/>
                <w:szCs w:val="20"/>
                <w:color w:val="auto"/>
              </w:rPr>
            </w:pPr>
            <w:r>
              <w:rPr>
                <w:rFonts w:ascii="Arial" w:cs="Arial" w:eastAsia="Arial" w:hAnsi="Arial"/>
                <w:sz w:val="18"/>
                <w:szCs w:val="18"/>
                <w:color w:val="0000FF"/>
                <w:w w:val="8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3"/>
              </w:rPr>
              <w:t>Item 3.</w:t>
            </w:r>
          </w:p>
        </w:tc>
        <w:tc>
          <w:tcPr>
            <w:tcW w:w="860" w:type="dxa"/>
            <w:vAlign w:val="bottom"/>
            <w:gridSpan w:val="5"/>
          </w:tcPr>
          <w:p>
            <w:pPr>
              <w:spacing w:after="0"/>
              <w:rPr>
                <w:sz w:val="18"/>
                <w:szCs w:val="18"/>
                <w:color w:val="auto"/>
              </w:rPr>
            </w:pPr>
          </w:p>
        </w:tc>
        <w:tc>
          <w:tcPr>
            <w:tcW w:w="23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Securities</w:t>
            </w:r>
          </w:p>
        </w:tc>
        <w:tc>
          <w:tcPr>
            <w:tcW w:w="4820" w:type="dxa"/>
            <w:vAlign w:val="bottom"/>
            <w:tcBorders>
              <w:top w:val="single" w:sz="8" w:color="0000FF"/>
            </w:tcBorders>
            <w:gridSpan w:val="6"/>
          </w:tcPr>
          <w:p>
            <w:pPr>
              <w:spacing w:after="0"/>
              <w:rPr>
                <w:sz w:val="18"/>
                <w:szCs w:val="18"/>
                <w:color w:val="auto"/>
              </w:rPr>
            </w:pPr>
          </w:p>
        </w:tc>
        <w:tc>
          <w:tcPr>
            <w:tcW w:w="184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540" w:type="dxa"/>
            <w:vAlign w:val="bottom"/>
            <w:gridSpan w:val="2"/>
          </w:tcPr>
          <w:p>
            <w:pPr>
              <w:spacing w:after="0"/>
              <w:rPr>
                <w:sz w:val="18"/>
                <w:szCs w:val="18"/>
                <w:color w:val="auto"/>
              </w:rPr>
            </w:pPr>
          </w:p>
        </w:tc>
        <w:tc>
          <w:tcPr>
            <w:tcW w:w="898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560" w:type="dxa"/>
            <w:vAlign w:val="bottom"/>
            <w:gridSpan w:val="4"/>
          </w:tcPr>
          <w:p>
            <w:pPr>
              <w:jc w:val="center"/>
              <w:ind w:left="290"/>
              <w:spacing w:after="0"/>
              <w:rPr>
                <w:sz w:val="20"/>
                <w:szCs w:val="20"/>
                <w:color w:val="auto"/>
              </w:rPr>
            </w:pPr>
            <w:r>
              <w:rPr>
                <w:rFonts w:ascii="Arial" w:cs="Arial" w:eastAsia="Arial" w:hAnsi="Arial"/>
                <w:sz w:val="18"/>
                <w:szCs w:val="18"/>
                <w:color w:val="0000FF"/>
                <w:w w:val="8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83"/>
              </w:rPr>
              <w:t>Item 5.</w:t>
            </w:r>
          </w:p>
        </w:tc>
        <w:tc>
          <w:tcPr>
            <w:tcW w:w="320" w:type="dxa"/>
            <w:vAlign w:val="bottom"/>
            <w:tcBorders>
              <w:top w:val="single" w:sz="8" w:color="0000FF"/>
            </w:tcBorders>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17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Other Information</w:t>
            </w:r>
          </w:p>
        </w:tc>
        <w:tc>
          <w:tcPr>
            <w:tcW w:w="7220" w:type="dxa"/>
            <w:vAlign w:val="bottom"/>
            <w:gridSpan w:val="11"/>
          </w:tcPr>
          <w:p>
            <w:pPr>
              <w:spacing w:after="0"/>
              <w:rPr>
                <w:sz w:val="18"/>
                <w:szCs w:val="18"/>
                <w:color w:val="auto"/>
              </w:rPr>
            </w:pPr>
          </w:p>
        </w:tc>
        <w:tc>
          <w:tcPr>
            <w:tcW w:w="560" w:type="dxa"/>
            <w:vAlign w:val="bottom"/>
            <w:gridSpan w:val="4"/>
          </w:tcPr>
          <w:p>
            <w:pPr>
              <w:jc w:val="center"/>
              <w:ind w:left="290"/>
              <w:spacing w:after="0"/>
              <w:rPr>
                <w:sz w:val="20"/>
                <w:szCs w:val="20"/>
                <w:color w:val="auto"/>
              </w:rPr>
            </w:pPr>
            <w:r>
              <w:rPr>
                <w:rFonts w:ascii="Arial" w:cs="Arial" w:eastAsia="Arial" w:hAnsi="Arial"/>
                <w:sz w:val="18"/>
                <w:szCs w:val="18"/>
                <w:color w:val="0000FF"/>
                <w:w w:val="8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3"/>
              </w:rPr>
              <w:t>Item 6.</w:t>
            </w:r>
          </w:p>
        </w:tc>
        <w:tc>
          <w:tcPr>
            <w:tcW w:w="86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tcBorders>
              <w:top w:val="single" w:sz="8" w:color="0000FF"/>
            </w:tcBorders>
            <w:gridSpan w:val="3"/>
          </w:tcPr>
          <w:p>
            <w:pPr>
              <w:spacing w:after="0"/>
              <w:rPr>
                <w:sz w:val="18"/>
                <w:szCs w:val="18"/>
                <w:color w:val="auto"/>
              </w:rPr>
            </w:pPr>
          </w:p>
        </w:tc>
        <w:tc>
          <w:tcPr>
            <w:tcW w:w="766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w w:val="92"/>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center"/>
              <w:ind w:left="290"/>
              <w:spacing w:after="0"/>
              <w:rPr>
                <w:sz w:val="20"/>
                <w:szCs w:val="20"/>
                <w:color w:val="auto"/>
              </w:rPr>
            </w:pPr>
            <w:r>
              <w:rPr>
                <w:rFonts w:ascii="Arial" w:cs="Arial" w:eastAsia="Arial" w:hAnsi="Arial"/>
                <w:sz w:val="18"/>
                <w:szCs w:val="18"/>
                <w:color w:val="0000FF"/>
                <w:w w:val="89"/>
              </w:rPr>
              <w:t>30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29,</w:t>
            </w:r>
          </w:p>
        </w:tc>
        <w:tc>
          <w:tcPr>
            <w:tcW w:w="260" w:type="dxa"/>
            <w:vAlign w:val="bottom"/>
          </w:tcPr>
          <w:p>
            <w:pPr>
              <w:spacing w:after="0"/>
              <w:rPr>
                <w:sz w:val="16"/>
                <w:szCs w:val="16"/>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April 29,</w:t>
            </w:r>
          </w:p>
        </w:tc>
      </w:tr>
      <w:tr>
        <w:trPr>
          <w:trHeight w:val="210"/>
        </w:trPr>
        <w:tc>
          <w:tcPr>
            <w:tcW w:w="8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r>
      <w:tr>
        <w:trPr>
          <w:trHeight w:val="215"/>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81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45,775</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23,982</w:t>
            </w: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109,979</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149,448</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46,789</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Current maturities of long-term receivables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9,676</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receivables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5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and equipment,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receivables,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Debt issuance costs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in affiliates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72,147</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3,239</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43"/>
        </w:trPr>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3,866</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27,866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27,928</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16,839</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16,867</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508,018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468,104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 (unaudited)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29,</w:t>
            </w:r>
          </w:p>
        </w:tc>
        <w:tc>
          <w:tcPr>
            <w:tcW w:w="26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April 29,</w:t>
            </w:r>
          </w:p>
        </w:tc>
      </w:tr>
      <w:tr>
        <w:trPr>
          <w:trHeight w:val="213"/>
        </w:trPr>
        <w:tc>
          <w:tcPr>
            <w:tcW w:w="8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81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62,449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67,522</w:t>
            </w: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Contract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91,549</w:t>
            </w:r>
          </w:p>
        </w:tc>
      </w:tr>
      <w:tr>
        <w:trPr>
          <w:trHeight w:val="240"/>
        </w:trPr>
        <w:tc>
          <w:tcPr>
            <w:tcW w:w="818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36,005</w:t>
            </w: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Warranty obligations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12,228</w:t>
            </w:r>
          </w:p>
        </w:tc>
      </w:tr>
      <w:tr>
        <w:trPr>
          <w:trHeight w:val="24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210,163</w:t>
            </w:r>
          </w:p>
        </w:tc>
      </w:tr>
      <w:tr>
        <w:trPr>
          <w:trHeight w:val="239"/>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warranty obligations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20,313</w:t>
            </w:r>
          </w:p>
        </w:tc>
      </w:tr>
      <w:tr>
        <w:trPr>
          <w:trHeight w:val="213"/>
        </w:trPr>
        <w:tc>
          <w:tcPr>
            <w:tcW w:w="8180" w:type="dxa"/>
            <w:vAlign w:val="bottom"/>
          </w:tcPr>
          <w:p>
            <w:pPr>
              <w:ind w:left="180"/>
              <w:spacing w:after="0"/>
              <w:rPr>
                <w:sz w:val="20"/>
                <w:szCs w:val="20"/>
                <w:color w:val="auto"/>
              </w:rPr>
            </w:pPr>
            <w:r>
              <w:rPr>
                <w:rFonts w:ascii="Arial" w:cs="Arial" w:eastAsia="Arial" w:hAnsi="Arial"/>
                <w:sz w:val="16"/>
                <w:szCs w:val="16"/>
                <w:color w:val="auto"/>
              </w:rPr>
              <w:t>Long-term contract liabilities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13,096</w:t>
            </w: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long-term obligations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w:t>
            </w:r>
          </w:p>
        </w:tc>
      </w:tr>
      <w:tr>
        <w:trPr>
          <w:trHeight w:val="213"/>
        </w:trPr>
        <w:tc>
          <w:tcPr>
            <w:tcW w:w="8180" w:type="dxa"/>
            <w:vAlign w:val="bottom"/>
          </w:tcPr>
          <w:p>
            <w:pPr>
              <w:ind w:left="18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41,422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17,750</w:t>
            </w: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2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57,063</w:t>
            </w:r>
          </w:p>
        </w:tc>
      </w:tr>
      <w:tr>
        <w:trPr>
          <w:trHeight w:val="239"/>
        </w:trPr>
        <w:tc>
          <w:tcPr>
            <w:tcW w:w="8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Shares, no par value, authorized 50,000 shares; no shares issued and outstanding</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180" w:type="dxa"/>
            <w:vAlign w:val="bottom"/>
          </w:tcPr>
          <w:p>
            <w:pPr>
              <w:ind w:left="180"/>
              <w:spacing w:after="0"/>
              <w:rPr>
                <w:sz w:val="20"/>
                <w:szCs w:val="20"/>
                <w:color w:val="auto"/>
              </w:rPr>
            </w:pPr>
            <w:r>
              <w:rPr>
                <w:rFonts w:ascii="Arial" w:cs="Arial" w:eastAsia="Arial" w:hAnsi="Arial"/>
                <w:sz w:val="16"/>
                <w:szCs w:val="16"/>
                <w:color w:val="auto"/>
                <w:w w:val="92"/>
              </w:rPr>
              <w:t>Common Stock, no par value, authorized 115,000,000 shares; 45,644,800 and 45,488,595 shares issued at July 29, 2023</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8180" w:type="dxa"/>
            <w:vAlign w:val="bottom"/>
          </w:tcPr>
          <w:p>
            <w:pPr>
              <w:ind w:left="180"/>
              <w:spacing w:after="0"/>
              <w:rPr>
                <w:sz w:val="20"/>
                <w:szCs w:val="20"/>
                <w:color w:val="auto"/>
              </w:rPr>
            </w:pPr>
            <w:r>
              <w:rPr>
                <w:rFonts w:ascii="Arial" w:cs="Arial" w:eastAsia="Arial" w:hAnsi="Arial"/>
                <w:sz w:val="16"/>
                <w:szCs w:val="16"/>
                <w:color w:val="auto"/>
              </w:rPr>
              <w:t>and April 29, 2023, respectively</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63,684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63,023</w:t>
            </w: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50,259</w:t>
            </w:r>
          </w:p>
        </w:tc>
      </w:tr>
      <w:tr>
        <w:trPr>
          <w:trHeight w:val="240"/>
        </w:trPr>
        <w:tc>
          <w:tcPr>
            <w:tcW w:w="81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122,606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103,410</w:t>
            </w: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Treasury Stock, at cost, 1,907,445 shares at July 29, 2023 and April 29, 2023, respectively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(10,285)</w:t>
            </w:r>
          </w:p>
        </w:tc>
      </w:tr>
      <w:tr>
        <w:trPr>
          <w:trHeight w:val="24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200,878</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508,018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468,104</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Three Months Ended</w:t>
            </w:r>
          </w:p>
        </w:tc>
      </w:tr>
      <w:tr>
        <w:trPr>
          <w:trHeight w:val="169"/>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line="169" w:lineRule="exact"/>
              <w:rPr>
                <w:sz w:val="20"/>
                <w:szCs w:val="20"/>
                <w:color w:val="auto"/>
              </w:rPr>
            </w:pPr>
            <w:r>
              <w:rPr>
                <w:rFonts w:ascii="Arial" w:cs="Arial" w:eastAsia="Arial" w:hAnsi="Arial"/>
                <w:sz w:val="18"/>
                <w:szCs w:val="18"/>
                <w:b w:val="1"/>
                <w:bCs w:val="1"/>
                <w:color w:val="auto"/>
              </w:rPr>
              <w:t>July 29,</w:t>
            </w:r>
          </w:p>
        </w:tc>
        <w:tc>
          <w:tcPr>
            <w:tcW w:w="360" w:type="dxa"/>
            <w:vAlign w:val="bottom"/>
          </w:tcPr>
          <w:p>
            <w:pPr>
              <w:spacing w:after="0"/>
              <w:rPr>
                <w:sz w:val="14"/>
                <w:szCs w:val="14"/>
                <w:color w:val="auto"/>
              </w:rPr>
            </w:pPr>
          </w:p>
        </w:tc>
        <w:tc>
          <w:tcPr>
            <w:tcW w:w="1480" w:type="dxa"/>
            <w:vAlign w:val="bottom"/>
          </w:tcPr>
          <w:p>
            <w:pPr>
              <w:jc w:val="right"/>
              <w:ind w:right="530"/>
              <w:spacing w:after="0" w:line="169" w:lineRule="exact"/>
              <w:rPr>
                <w:sz w:val="20"/>
                <w:szCs w:val="20"/>
                <w:color w:val="auto"/>
              </w:rPr>
            </w:pPr>
            <w:r>
              <w:rPr>
                <w:rFonts w:ascii="Arial" w:cs="Arial" w:eastAsia="Arial" w:hAnsi="Arial"/>
                <w:sz w:val="18"/>
                <w:szCs w:val="18"/>
                <w:b w:val="1"/>
                <w:bCs w:val="1"/>
                <w:color w:val="auto"/>
              </w:rPr>
              <w:t>July 30,</w:t>
            </w:r>
          </w:p>
        </w:tc>
      </w:tr>
      <w:tr>
        <w:trPr>
          <w:trHeight w:val="239"/>
        </w:trPr>
        <w:tc>
          <w:tcPr>
            <w:tcW w:w="7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171,920</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146,126</w:t>
            </w:r>
          </w:p>
        </w:tc>
      </w:tr>
      <w:tr>
        <w:trPr>
          <w:trHeight w:val="25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25,794</w:t>
            </w:r>
          </w:p>
        </w:tc>
      </w:tr>
      <w:tr>
        <w:trPr>
          <w:trHeight w:val="270"/>
        </w:trPr>
        <w:tc>
          <w:tcPr>
            <w:tcW w:w="7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7460" w:type="dxa"/>
            <w:vAlign w:val="bottom"/>
          </w:tcPr>
          <w:p>
            <w:pPr>
              <w:ind w:left="180"/>
              <w:spacing w:after="0"/>
              <w:rPr>
                <w:sz w:val="20"/>
                <w:szCs w:val="20"/>
                <w:color w:val="auto"/>
              </w:rPr>
            </w:pPr>
            <w:r>
              <w:rPr>
                <w:rFonts w:ascii="Arial" w:cs="Arial" w:eastAsia="Arial" w:hAnsi="Arial"/>
                <w:sz w:val="18"/>
                <w:szCs w:val="18"/>
                <w:color w:val="auto"/>
              </w:rPr>
              <w:t>Selling</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14,433</w:t>
            </w:r>
          </w:p>
        </w:tc>
      </w:tr>
      <w:tr>
        <w:trPr>
          <w:trHeight w:val="27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r>
      <w:tr>
        <w:trPr>
          <w:trHeight w:val="270"/>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 design and development</w:t>
            </w: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7,439</w:t>
            </w:r>
          </w:p>
        </w:tc>
      </w:tr>
      <w:tr>
        <w:trPr>
          <w:trHeight w:val="223"/>
        </w:trPr>
        <w:tc>
          <w:tcPr>
            <w:tcW w:w="7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31,313</w:t>
            </w:r>
          </w:p>
        </w:tc>
      </w:tr>
      <w:tr>
        <w:trPr>
          <w:trHeight w:val="250"/>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r>
      <w:tr>
        <w:trPr>
          <w:trHeight w:val="250"/>
        </w:trPr>
        <w:tc>
          <w:tcPr>
            <w:tcW w:w="7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460" w:type="dxa"/>
            <w:vAlign w:val="bottom"/>
          </w:tcPr>
          <w:p>
            <w:pPr>
              <w:ind w:left="180"/>
              <w:spacing w:after="0"/>
              <w:rPr>
                <w:sz w:val="20"/>
                <w:szCs w:val="20"/>
                <w:color w:val="auto"/>
              </w:rPr>
            </w:pPr>
            <w:r>
              <w:rPr>
                <w:rFonts w:ascii="Arial" w:cs="Arial" w:eastAsia="Arial" w:hAnsi="Arial"/>
                <w:sz w:val="18"/>
                <w:szCs w:val="18"/>
                <w:color w:val="auto"/>
              </w:rPr>
              <w:t>Change in fair value of convertible note</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and debt issuance costs write-off, net</w:t>
            </w: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50"/>
        </w:trPr>
        <w:tc>
          <w:tcPr>
            <w:tcW w:w="7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r>
      <w:tr>
        <w:trPr>
          <w:trHeight w:val="270"/>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746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45,645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45,097</w:t>
            </w:r>
          </w:p>
        </w:tc>
      </w:tr>
      <w:tr>
        <w:trPr>
          <w:trHeight w:val="27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45,097</w:t>
            </w:r>
          </w:p>
        </w:tc>
      </w:tr>
      <w:tr>
        <w:trPr>
          <w:trHeight w:val="270"/>
        </w:trPr>
        <w:tc>
          <w:tcPr>
            <w:tcW w:w="7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5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Borders>
              <w:bottom w:val="single" w:sz="8" w:color="auto"/>
            </w:tcBorders>
          </w:tcPr>
          <w:p>
            <w:pPr>
              <w:spacing w:after="0"/>
              <w:rPr>
                <w:sz w:val="20"/>
                <w:szCs w:val="20"/>
                <w:color w:val="auto"/>
              </w:rPr>
            </w:pPr>
          </w:p>
        </w:tc>
      </w:tr>
      <w:tr>
        <w:trPr>
          <w:trHeight w:val="169"/>
        </w:trPr>
        <w:tc>
          <w:tcPr>
            <w:tcW w:w="7460" w:type="dxa"/>
            <w:vAlign w:val="bottom"/>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July 29,</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July 30,</w:t>
            </w:r>
          </w:p>
        </w:tc>
        <w:tc>
          <w:tcPr>
            <w:tcW w:w="580" w:type="dxa"/>
            <w:vAlign w:val="bottom"/>
          </w:tcPr>
          <w:p>
            <w:pPr>
              <w:spacing w:after="0"/>
              <w:rPr>
                <w:sz w:val="14"/>
                <w:szCs w:val="14"/>
                <w:color w:val="auto"/>
              </w:rPr>
            </w:pPr>
          </w:p>
        </w:tc>
      </w:tr>
      <w:tr>
        <w:trPr>
          <w:trHeight w:val="239"/>
        </w:trPr>
        <w:tc>
          <w:tcPr>
            <w:tcW w:w="7460" w:type="dxa"/>
            <w:vAlign w:val="bottom"/>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r>
      <w:tr>
        <w:trPr>
          <w:trHeight w:val="254"/>
        </w:trPr>
        <w:tc>
          <w:tcPr>
            <w:tcW w:w="7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19,196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(5,326)</w:t>
            </w:r>
          </w:p>
        </w:tc>
      </w:tr>
      <w:tr>
        <w:trPr>
          <w:trHeight w:val="270"/>
        </w:trPr>
        <w:tc>
          <w:tcPr>
            <w:tcW w:w="7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70"/>
        </w:trPr>
        <w:tc>
          <w:tcPr>
            <w:tcW w:w="7460" w:type="dxa"/>
            <w:vAlign w:val="bottom"/>
          </w:tcPr>
          <w:p>
            <w:pPr>
              <w:ind w:left="180"/>
              <w:spacing w:after="0"/>
              <w:rPr>
                <w:sz w:val="20"/>
                <w:szCs w:val="20"/>
                <w:color w:val="auto"/>
              </w:rPr>
            </w:pPr>
            <w:r>
              <w:rPr>
                <w:rFonts w:ascii="Arial" w:cs="Arial" w:eastAsia="Arial" w:hAnsi="Arial"/>
                <w:sz w:val="18"/>
                <w:szCs w:val="18"/>
                <w:color w:val="auto"/>
              </w:rPr>
              <w:t>Cumulative translation adjustments</w:t>
            </w:r>
          </w:p>
        </w:tc>
        <w:tc>
          <w:tcPr>
            <w:tcW w:w="1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7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 net of tax</w:t>
            </w:r>
          </w:p>
        </w:tc>
        <w:tc>
          <w:tcPr>
            <w:tcW w:w="1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18,951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(5,967)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Additional Paid-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Common Stock</w:t>
            </w: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April 29, 2023</w:t>
            </w: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200,878</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19,196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75"/>
        </w:trPr>
        <w:tc>
          <w:tcPr>
            <w:tcW w:w="3120" w:type="dxa"/>
            <w:vAlign w:val="bottom"/>
          </w:tcPr>
          <w:p>
            <w:pPr>
              <w:ind w:left="240"/>
              <w:spacing w:after="0" w:line="176" w:lineRule="exact"/>
              <w:rPr>
                <w:sz w:val="20"/>
                <w:szCs w:val="20"/>
                <w:color w:val="auto"/>
              </w:rPr>
            </w:pPr>
            <w:r>
              <w:rPr>
                <w:rFonts w:ascii="Arial" w:cs="Arial" w:eastAsia="Arial" w:hAnsi="Arial"/>
                <w:sz w:val="18"/>
                <w:szCs w:val="18"/>
                <w:color w:val="auto"/>
                <w:w w:val="97"/>
              </w:rPr>
              <w:t>Unrealized gain on available-for-sale</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Arial" w:cs="Arial" w:eastAsia="Arial" w:hAnsi="Arial"/>
                <w:sz w:val="18"/>
                <w:szCs w:val="18"/>
                <w:color w:val="auto"/>
              </w:rPr>
              <w:t>securities, net of tax</w:t>
            </w:r>
          </w:p>
        </w:tc>
        <w:tc>
          <w:tcPr>
            <w:tcW w:w="4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savings plan activity</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as of July 29, 2023</w:t>
            </w: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63,684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122,606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92"/>
              </w:rPr>
              <w:t>(10,285)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221,047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Additional Paid-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Common Stock</w:t>
            </w: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 Stock</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April 30, 2022</w:t>
            </w: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96,608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191,564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176"/>
        </w:trPr>
        <w:tc>
          <w:tcPr>
            <w:tcW w:w="3120" w:type="dxa"/>
            <w:vAlign w:val="bottom"/>
          </w:tcPr>
          <w:p>
            <w:pPr>
              <w:ind w:left="180"/>
              <w:spacing w:after="0" w:line="176" w:lineRule="exact"/>
              <w:rPr>
                <w:sz w:val="20"/>
                <w:szCs w:val="20"/>
                <w:color w:val="auto"/>
              </w:rPr>
            </w:pPr>
            <w:r>
              <w:rPr>
                <w:rFonts w:ascii="Arial" w:cs="Arial" w:eastAsia="Arial" w:hAnsi="Arial"/>
                <w:sz w:val="18"/>
                <w:szCs w:val="18"/>
                <w:color w:val="auto"/>
                <w:w w:val="94"/>
              </w:rPr>
              <w:t>Unrealized gain (loss) on available-for-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sale securities, net of tax</w:t>
            </w:r>
          </w:p>
        </w:tc>
        <w:tc>
          <w:tcPr>
            <w:tcW w:w="4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Employee savings plan activity</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30, 2022</w:t>
            </w:r>
          </w:p>
        </w:tc>
        <w:tc>
          <w:tcPr>
            <w:tcW w:w="4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(10,285)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186,702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July 29,</w:t>
            </w:r>
          </w:p>
        </w:tc>
        <w:tc>
          <w:tcPr>
            <w:tcW w:w="280" w:type="dxa"/>
            <w:vAlign w:val="bottom"/>
          </w:tcPr>
          <w:p>
            <w:pPr>
              <w:spacing w:after="0"/>
              <w:rPr>
                <w:sz w:val="13"/>
                <w:szCs w:val="13"/>
                <w:color w:val="auto"/>
              </w:rPr>
            </w:pPr>
          </w:p>
        </w:tc>
        <w:tc>
          <w:tcPr>
            <w:tcW w:w="1200" w:type="dxa"/>
            <w:vAlign w:val="bottom"/>
          </w:tcPr>
          <w:p>
            <w:pPr>
              <w:jc w:val="right"/>
              <w:ind w:right="399"/>
              <w:spacing w:after="0" w:line="158" w:lineRule="exact"/>
              <w:rPr>
                <w:sz w:val="20"/>
                <w:szCs w:val="20"/>
                <w:color w:val="auto"/>
              </w:rPr>
            </w:pPr>
            <w:r>
              <w:rPr>
                <w:rFonts w:ascii="Arial" w:cs="Arial" w:eastAsia="Arial" w:hAnsi="Arial"/>
                <w:sz w:val="16"/>
                <w:szCs w:val="16"/>
                <w:b w:val="1"/>
                <w:bCs w:val="1"/>
                <w:color w:val="auto"/>
              </w:rPr>
              <w:t>July 30,</w:t>
            </w:r>
          </w:p>
        </w:tc>
      </w:tr>
      <w:tr>
        <w:trPr>
          <w:trHeight w:val="213"/>
        </w:trPr>
        <w:tc>
          <w:tcPr>
            <w:tcW w:w="8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18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19,196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(5,326)</w:t>
            </w: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4,025</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(gain) on sale of property, equipment and other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in loss of affiliates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Provision (recovery) for doubtful accounts, net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8180" w:type="dxa"/>
            <w:vAlign w:val="bottom"/>
          </w:tcPr>
          <w:p>
            <w:pPr>
              <w:ind w:left="360"/>
              <w:spacing w:after="0"/>
              <w:rPr>
                <w:sz w:val="20"/>
                <w:szCs w:val="20"/>
                <w:color w:val="auto"/>
              </w:rPr>
            </w:pPr>
            <w:r>
              <w:rPr>
                <w:rFonts w:ascii="Arial" w:cs="Arial" w:eastAsia="Arial" w:hAnsi="Arial"/>
                <w:sz w:val="16"/>
                <w:szCs w:val="16"/>
                <w:color w:val="auto"/>
              </w:rPr>
              <w:t>Non-cash impairment changes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convertible note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Debt issuance costs write-off</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(22,743)</w:t>
            </w:r>
          </w:p>
        </w:tc>
      </w:tr>
      <w:tr>
        <w:trPr>
          <w:trHeight w:val="207"/>
        </w:trPr>
        <w:tc>
          <w:tcPr>
            <w:tcW w:w="818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(22,815)</w:t>
            </w:r>
          </w:p>
        </w:tc>
      </w:tr>
      <w:tr>
        <w:trPr>
          <w:trHeight w:val="212"/>
        </w:trPr>
        <w:tc>
          <w:tcPr>
            <w:tcW w:w="8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(10,655)</w:t>
            </w: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Proceeds from sales of property, equipment and other assets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sales or maturities of marketable securities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r>
      <w:tr>
        <w:trPr>
          <w:trHeight w:val="21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Purchases of equity and loans to equity investees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(10,372)</w:t>
            </w:r>
          </w:p>
        </w:tc>
      </w:tr>
      <w:tr>
        <w:trPr>
          <w:trHeight w:val="212"/>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Borrowings on notes payable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92,098</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notes payable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(67,970)</w:t>
            </w: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Principal payments on long-term obligations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issuance cost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 from exercise of stock options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24,128</w:t>
            </w:r>
          </w:p>
        </w:tc>
      </w:tr>
      <w:tr>
        <w:trPr>
          <w:trHeight w:val="213"/>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(8,979)</w:t>
            </w:r>
          </w:p>
        </w:tc>
      </w:tr>
      <w:tr>
        <w:trPr>
          <w:trHeight w:val="213"/>
        </w:trPr>
        <w:tc>
          <w:tcPr>
            <w:tcW w:w="8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18,008</w:t>
            </w: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taxes, net of refunds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r>
      <w:tr>
        <w:trPr>
          <w:trHeight w:val="216"/>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schedule of non-cash investing and financing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Purchases of property and equipment included in accounts payable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3,326</w:t>
            </w: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of common stock under the ESPP</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industry leaders in designing and manufacturing electronic scoreboards, programmable display systems and large screen video displays for sporting, commercial and transportation applications.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of assets and liabilities, revenues and expenses, and the disclosure of contingent liabilities. Estimates used in the preparation of the unaudited consolidated financial statements include, among others, revenue recognition, future warranty expenses, the fair value of long-term debt, the fair value of investments in affiliates, income tax expenses, and stock-based compensation. Due to the inherent uncertainty involved in making estimates, actual results in future periods may differ from those estimates.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disclosures normally included in financial statements prepared in accordance with GAAP have been condensed or omitted. The balance sheet at April 29, 2023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fiscal year ended April 29, 2023,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three months ended July 29, 2023 and July 30, 2022 contained operating results for 13 weeks.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issuances of foreign bank guarantees and letters of credit outstanding under a previous credit agreement.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29,</w:t>
            </w:r>
          </w:p>
        </w:tc>
        <w:tc>
          <w:tcPr>
            <w:tcW w:w="28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July 30,</w:t>
            </w:r>
          </w:p>
        </w:tc>
      </w:tr>
      <w:tr>
        <w:trPr>
          <w:trHeight w:val="239"/>
        </w:trPr>
        <w:tc>
          <w:tcPr>
            <w:tcW w:w="8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Total cash, cash equivalents, and restricted cash shown in the condensed consolidated statements of cash flows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the restricted cash balance is due to bank guarantees or other financial instruments for display installations issued by other banks and secured by restricted cash deposits.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cash accounts to operate our global business. These accounts are impacted by changes in foreign currency rates. Of our $45,775 in cash and cash equivalent balances as of July 29, 2023, $36,426 were denominated in United States dollars, of which $941 were held by our foreign subsidiaries. As of July 29, 2023, we had an additional $9,349 in cash balances denominated in foreign currencies, of which $8,513 were maintained in accounts of our foreign subsidiaries.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and estimates as described in our Annual Report on Form 10-K for the fiscal year ended April 29,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July 2023, the Financial Accounting Standards Board ("FASB") issued Accounting Standards Update ("ASU") 2023-03,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(Topic 205), Income Statement - Reporting Comprehensive Income (Topic 220), Distinguishing Liabilities from Equity (Topic 480), Equity (Topic 505), and Compensation - Stock Compensation (Topic 718)</w:t>
      </w:r>
      <w:r>
        <w:rPr>
          <w:rFonts w:ascii="Arial" w:cs="Arial" w:eastAsia="Arial" w:hAnsi="Arial"/>
          <w:sz w:val="17"/>
          <w:szCs w:val="17"/>
          <w:color w:val="auto"/>
        </w:rPr>
        <w:t>: A</w:t>
      </w:r>
      <w:r>
        <w:rPr>
          <w:rFonts w:ascii="Arial" w:cs="Arial" w:eastAsia="Arial" w:hAnsi="Arial"/>
          <w:sz w:val="17"/>
          <w:szCs w:val="17"/>
          <w:i w:val="1"/>
          <w:iCs w:val="1"/>
          <w:color w:val="auto"/>
        </w:rPr>
        <w:t xml:space="preserve">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w:t>
      </w:r>
      <w:r>
        <w:rPr>
          <w:rFonts w:ascii="Arial" w:cs="Arial" w:eastAsia="Arial" w:hAnsi="Arial"/>
          <w:sz w:val="17"/>
          <w:szCs w:val="17"/>
          <w:color w:val="auto"/>
        </w:rPr>
        <w:t>(“ASU 2023-03”). This ASU amends various paragraphs in the accounting codification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issuance of Commission Staff Bulletin ("SAB") number 120. ASU 2023-03 does not provide any new guidance, so there is no transition or effective date. ASU 2023-03 did not have a material impact on our condensed consolidated financial statements.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470- 20)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(“ASU 2020-06”). </w:t>
      </w:r>
      <w:r>
        <w:rPr>
          <w:rFonts w:ascii="Arial" w:cs="Arial" w:eastAsia="Arial" w:hAnsi="Arial"/>
          <w:sz w:val="17"/>
          <w:szCs w:val="17"/>
          <w:color w:val="auto"/>
        </w:rPr>
        <w:t xml:space="preserve">ASU 2020-06 simplified the accounting for certain financial instruments with characteristics of liabilities and equity. This ASU (1) simplified the accounting for convertible debt instruments and convertible preferred stock by removing the existing guidance in ASC 470-20, </w:t>
      </w:r>
      <w:r>
        <w:rPr>
          <w:rFonts w:ascii="Arial" w:cs="Arial" w:eastAsia="Arial" w:hAnsi="Arial"/>
          <w:sz w:val="17"/>
          <w:szCs w:val="17"/>
          <w:i w:val="1"/>
          <w:iCs w:val="1"/>
          <w:color w:val="auto"/>
        </w:rPr>
        <w:t>Debt: Debt with Conversion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Other Options</w:t>
      </w:r>
      <w:r>
        <w:rPr>
          <w:rFonts w:ascii="Arial" w:cs="Arial" w:eastAsia="Arial" w:hAnsi="Arial"/>
          <w:sz w:val="17"/>
          <w:szCs w:val="17"/>
          <w:color w:val="auto"/>
        </w:rPr>
        <w:t>, that required entities to account for beneficial conversion features and cash conversion features in equity, separately from the host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convertible debt or preferred stock; (2) revised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revised the guidance in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 require entities to calculate diluted earnings per share ("EPS") for convertible instruments by using the if-converted method. In addition, entities must presume share settlement for purposes of calculating diluted EPS when an instrument may be settled in cash or shares. For SEC filers, excluding smaller reporting companies, ASU 2020-06 was effective for fiscal years beginning after December 15, 2021 including interim periods within those fiscal years. Early adoption was permitted, but no earlier than fiscal years beginning after December 15, 2020. For all other entities, ASU 2020-06 was effective for fiscal years beginning after December 15, 2023, including interim periods within those fiscal years. In the first quarter of fiscal 2024, we adopted ASU 2020-06. Upon adoption, we prospectively utilized the if-converted method to calculate the dilutive impact of our convertible note issued on May 11, 2023 (the "Convertible Note"). See "Note 7. Financing Agreements" of the Notes to our Condensed Consolidated Financial Statements included in this Form 10-Q for further information on the Convertible 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ASU's issued that the Company has not yet adopted as of July 29,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evaluated the nature of our investment in affiliates of Xdisplay</w:t>
      </w:r>
      <w:r>
        <w:rPr>
          <w:rFonts w:ascii="Arial" w:cs="Arial" w:eastAsia="Arial" w:hAnsi="Arial"/>
          <w:sz w:val="23"/>
          <w:szCs w:val="23"/>
          <w:color w:val="auto"/>
          <w:vertAlign w:val="superscript"/>
        </w:rPr>
        <w:t>TM</w:t>
      </w:r>
      <w:r>
        <w:rPr>
          <w:rFonts w:ascii="Arial" w:cs="Arial" w:eastAsia="Arial" w:hAnsi="Arial"/>
          <w:sz w:val="18"/>
          <w:szCs w:val="18"/>
          <w:color w:val="auto"/>
        </w:rPr>
        <w:t>, which is developing micro-LED mass transfer expertise and technologies, and Miortech (dba Etulipa), which is developing low power outdoor electrowetting technology. We determined that Miortech is a variable interest entity (VIE), and based on management's analysis, we determined that Daktronics is not the primary beneficiary; therefore, the investment in Miortech is accounted for under the equity method.</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amount of our investments accounted for under the equity method was $10,804 and $11,934 as of July 29, 2023 and April 29, 2023, respectively. Our proportional share of the respective affiliates' earnings or losses is included in the "Other expense and debt issuance costs write-off, net" line item in our condensed consolidated statements of operations. For the three months ended July 29, 2023, our share of the losses of our affiliates was $690 as compared to $890 for the three months ended July 30,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purchased services for research and development activities from our equity method investees. The total of these related party transactions for the three months ended July 29, 2023 and July 30, 2022 was $78 and $0, respectively, which is included in the "Product design and development" line item in our condensed consolidated statements of operations,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July 29, 2023, $2 remains unpaid and is included in the "Accounts payable" line item in our condensed consolidated balance sheets.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months ended July 29, 2023, we invested $750 in convertible notes and $436 in promissory notes (collectively, "Notes") of our affiliates, which is included in the "Investment in affiliates and other assets" line item in our condensed consolidated balance sheets. During the three months ended July 29, 2023, we did not convert any Notes to stock ownership. Our ownership in Miortech was 55.9 percent and in Xdisplay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was 16.4 percent as of July 29, 2023. The total amount of Notes as of July 29, 2023 was $9,993 and is included in the "Investments in affiliates and other assets" line item in our condensed consolidated balance sheets. The Notes balance combined with the investment in affiliates balance totaled $20,797 and $24,414 as of July 29, 2023 and July 30,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quarter of fiscal 2024, we adopted ASU 2020-06. Upon adoption, we prospectively utilized the if-converted method to calculate the dilutive impact of our convertible note issued on May 11, 2023 (the "Convertible Note"). See "Note 7. Financing Agreements" of the Notes to our Condensed Consolidated Financial Statements included in this Form 10-Q for further information on the Convertible Note. Under the if-converted method, the Convertible Note is assumed to be converted into common stock at the beginning of the reporting period, and the resulting shares are included in the denominator of the calculation. In addition, interest charges, net of any income tax effects, are added back to the numerator of the calculation. The following is a reconciliation of the net income (loss) and common share amounts used in the calculation of basic and diluted EPS for the three months ended July 29, 2023 and July 30,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r>
      <w:tr>
        <w:trPr>
          <w:trHeight w:val="169"/>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July 29,</w:t>
            </w:r>
          </w:p>
        </w:tc>
        <w:tc>
          <w:tcPr>
            <w:tcW w:w="280" w:type="dxa"/>
            <w:vAlign w:val="bottom"/>
          </w:tcPr>
          <w:p>
            <w:pPr>
              <w:spacing w:after="0"/>
              <w:rPr>
                <w:sz w:val="14"/>
                <w:szCs w:val="14"/>
                <w:color w:val="auto"/>
              </w:rPr>
            </w:pPr>
          </w:p>
        </w:tc>
        <w:tc>
          <w:tcPr>
            <w:tcW w:w="120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July 30,</w:t>
            </w:r>
          </w:p>
        </w:tc>
      </w:tr>
      <w:tr>
        <w:trPr>
          <w:trHeight w:val="239"/>
        </w:trPr>
        <w:tc>
          <w:tcPr>
            <w:tcW w:w="8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1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 basic</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(5,326)</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45,097</w:t>
            </w: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
        </w:trPr>
        <w:tc>
          <w:tcPr>
            <w:tcW w:w="8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Earnings per share - diluted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Diluted net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
        </w:trPr>
        <w:tc>
          <w:tcPr>
            <w:tcW w:w="8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45,097</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Dilution associated with stock compensation plans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 assuming dilution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45,097</w:t>
            </w:r>
          </w:p>
        </w:tc>
      </w:tr>
      <w:tr>
        <w:trPr>
          <w:trHeight w:val="95"/>
        </w:trPr>
        <w:tc>
          <w:tcPr>
            <w:tcW w:w="818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outstanding to purchase 1,326 shares of common stock with a weighted average exercise price of $8.97 for the three months ended July 29, 2023 and 2,102 shares of common stock with a weighted average exercise price of $8.12 for the three months ended July 30, 2022 were not included in the computation of diluted earnings per share because the effects would be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Accounting Standards Codification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July 29, 2023</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High School</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Park and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Live Events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Recreation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Transportation</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Type of performance obligation</w:t>
            </w: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12,918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76,547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15,119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8,790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125,958</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93,517</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Service and other</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13,056</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46,883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232,531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Timing of revenue recognition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Goods/services transferred at a point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time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94,986</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w w:val="93"/>
              </w:rPr>
              <w:t>Goods/services transferred over time</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81,222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137,545</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46,883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232,531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July 30, 2022</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High School</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Park and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Live Events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Recreation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Transportation</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0"/>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Type of performance obligation</w:t>
            </w: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42,168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6,501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72,434</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86,139</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Service and other</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13,347</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56,383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Timing of revenue recognition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Goods/services transferred at a point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time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87,127</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w w:val="93"/>
              </w:rPr>
              <w:t>Goods/services transferred over time</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84,793</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56,383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receivable when they are billed according to the contract terms. Contract liabilities represent amounts billed to the customers in excess of revenue recognized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our contract assets and liabilities: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29,</w:t>
            </w: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Dollar</w:t>
            </w: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Percent</w:t>
            </w:r>
          </w:p>
        </w:tc>
      </w:tr>
      <w:tr>
        <w:trPr>
          <w:trHeight w:val="239"/>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Change</w:t>
            </w: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27"/>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3"/>
              </w:rPr>
              <w:t>3,750</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89,318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left="530"/>
              <w:spacing w:after="0"/>
              <w:rPr>
                <w:sz w:val="20"/>
                <w:szCs w:val="20"/>
                <w:color w:val="auto"/>
              </w:rPr>
            </w:pPr>
            <w:r>
              <w:rPr>
                <w:rFonts w:ascii="Arial" w:cs="Arial" w:eastAsia="Arial" w:hAnsi="Arial"/>
                <w:sz w:val="18"/>
                <w:szCs w:val="18"/>
                <w:color w:val="auto"/>
                <w:w w:val="91"/>
              </w:rPr>
              <w:t>(2,231)</w:t>
            </w:r>
          </w:p>
        </w:tc>
        <w:tc>
          <w:tcPr>
            <w:tcW w:w="10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3"/>
              </w:rPr>
              <w:t>1,445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our contract assets and contract liabilities from April 29, 2023 to July 29, 2023 were due to the timing of billing schedules and revenue recognition, which can vary significantly depending on the contractual payment terms and the seasonality of the sports markets. We had no impairments of contract assets for the three months ended July 29,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Changes in unearned service-type warranty contracts, net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ind w:left="160"/>
              <w:spacing w:after="0"/>
              <w:rPr>
                <w:sz w:val="20"/>
                <w:szCs w:val="20"/>
                <w:color w:val="auto"/>
              </w:rPr>
            </w:pPr>
            <w:r>
              <w:rPr>
                <w:rFonts w:ascii="Arial" w:cs="Arial" w:eastAsia="Arial" w:hAnsi="Arial"/>
                <w:sz w:val="18"/>
                <w:szCs w:val="18"/>
                <w:b w:val="1"/>
                <w:bCs w:val="1"/>
                <w:color w:val="auto"/>
              </w:rPr>
              <w:t>July 29,</w:t>
            </w:r>
          </w:p>
        </w:tc>
      </w:tr>
      <w:tr>
        <w:trPr>
          <w:trHeight w:val="239"/>
        </w:trPr>
        <w:tc>
          <w:tcPr>
            <w:tcW w:w="9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2023</w:t>
            </w:r>
          </w:p>
        </w:tc>
      </w:tr>
      <w:tr>
        <w:trPr>
          <w:trHeight w:val="22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April 29, 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28,338</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New contracts sold</w:t>
            </w:r>
          </w:p>
        </w:tc>
        <w:tc>
          <w:tcPr>
            <w:tcW w:w="280" w:type="dxa"/>
            <w:vAlign w:val="bottom"/>
          </w:tcPr>
          <w:p>
            <w:pPr>
              <w:spacing w:after="0"/>
              <w:rPr>
                <w:sz w:val="19"/>
                <w:szCs w:val="19"/>
                <w:color w:val="auto"/>
              </w:rPr>
            </w:pPr>
          </w:p>
        </w:tc>
        <w:tc>
          <w:tcPr>
            <w:tcW w:w="1200" w:type="dxa"/>
            <w:vAlign w:val="bottom"/>
          </w:tcPr>
          <w:p>
            <w:pPr>
              <w:ind w:left="640"/>
              <w:spacing w:after="0"/>
              <w:rPr>
                <w:sz w:val="20"/>
                <w:szCs w:val="20"/>
                <w:color w:val="auto"/>
              </w:rPr>
            </w:pPr>
            <w:r>
              <w:rPr>
                <w:rFonts w:ascii="Arial" w:cs="Arial" w:eastAsia="Arial" w:hAnsi="Arial"/>
                <w:sz w:val="18"/>
                <w:szCs w:val="18"/>
                <w:color w:val="auto"/>
                <w:w w:val="98"/>
              </w:rPr>
              <w:t>13,218</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reductions for revenue recognized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(9,785)</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4"/>
              </w:rPr>
              <w:t>(1,044)</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29, 2023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30,727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Contracts in progress identified as loss contracts as of July 29, 2023 and as of April 29, 2023 were immaterial. Loss provisions are recorded in the "Accrued expenses" line item in our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29, 2023, we recognized revenue of $59,506 related to our contract liabilities as of April 29,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July 29, 2023, the aggregate amount of the transaction price allocated to the remaining performance obligations was $386,622. Remaining performance obligations related to product and service agreements as of July 29, 2023 were $323,725 and $62,897, respectively. We expect approximately $320,898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three months ended July 29, 2023 and July 30, 2022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Arial" w:cs="Arial" w:eastAsia="Arial" w:hAnsi="Arial"/>
                <w:sz w:val="18"/>
                <w:szCs w:val="18"/>
                <w:b w:val="1"/>
                <w:bCs w:val="1"/>
                <w:color w:val="auto"/>
              </w:rPr>
              <w:t>Note 5. Segment Reporting</w:t>
            </w: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9400" w:type="dxa"/>
            <w:vAlign w:val="bottom"/>
            <w:gridSpan w:val="4"/>
          </w:tcPr>
          <w:p>
            <w:pPr>
              <w:spacing w:after="0"/>
              <w:rPr>
                <w:sz w:val="20"/>
                <w:szCs w:val="20"/>
                <w:color w:val="auto"/>
              </w:rPr>
            </w:pPr>
            <w:r>
              <w:rPr>
                <w:rFonts w:ascii="Arial" w:cs="Arial" w:eastAsia="Arial" w:hAnsi="Arial"/>
                <w:sz w:val="18"/>
                <w:szCs w:val="18"/>
                <w:color w:val="auto"/>
                <w:w w:val="96"/>
              </w:rPr>
              <w:t>The following table sets forth certain financial information for each of our five reporting segments for the periods indicated:</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00"/>
        </w:trPr>
        <w:tc>
          <w:tcPr>
            <w:tcW w:w="7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Three Months Ended</w:t>
            </w:r>
          </w:p>
        </w:tc>
      </w:tr>
      <w:tr>
        <w:trPr>
          <w:trHeight w:val="169"/>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line="169" w:lineRule="exact"/>
              <w:rPr>
                <w:sz w:val="20"/>
                <w:szCs w:val="20"/>
                <w:color w:val="auto"/>
              </w:rPr>
            </w:pPr>
            <w:r>
              <w:rPr>
                <w:rFonts w:ascii="Arial" w:cs="Arial" w:eastAsia="Arial" w:hAnsi="Arial"/>
                <w:sz w:val="18"/>
                <w:szCs w:val="18"/>
                <w:b w:val="1"/>
                <w:bCs w:val="1"/>
                <w:color w:val="auto"/>
              </w:rPr>
              <w:t>July 29,</w:t>
            </w:r>
          </w:p>
        </w:tc>
        <w:tc>
          <w:tcPr>
            <w:tcW w:w="360" w:type="dxa"/>
            <w:vAlign w:val="bottom"/>
          </w:tcPr>
          <w:p>
            <w:pPr>
              <w:spacing w:after="0"/>
              <w:rPr>
                <w:sz w:val="14"/>
                <w:szCs w:val="14"/>
                <w:color w:val="auto"/>
              </w:rPr>
            </w:pPr>
          </w:p>
        </w:tc>
        <w:tc>
          <w:tcPr>
            <w:tcW w:w="1480" w:type="dxa"/>
            <w:vAlign w:val="bottom"/>
          </w:tcPr>
          <w:p>
            <w:pPr>
              <w:jc w:val="right"/>
              <w:ind w:right="530"/>
              <w:spacing w:after="0" w:line="169" w:lineRule="exact"/>
              <w:rPr>
                <w:sz w:val="20"/>
                <w:szCs w:val="20"/>
                <w:color w:val="auto"/>
              </w:rPr>
            </w:pPr>
            <w:r>
              <w:rPr>
                <w:rFonts w:ascii="Arial" w:cs="Arial" w:eastAsia="Arial" w:hAnsi="Arial"/>
                <w:sz w:val="18"/>
                <w:szCs w:val="18"/>
                <w:b w:val="1"/>
                <w:bCs w:val="1"/>
                <w:color w:val="auto"/>
              </w:rPr>
              <w:t>July 30,</w:t>
            </w:r>
          </w:p>
        </w:tc>
      </w:tr>
      <w:tr>
        <w:trPr>
          <w:trHeight w:val="239"/>
        </w:trPr>
        <w:tc>
          <w:tcPr>
            <w:tcW w:w="7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4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46,883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40,118</w:t>
            </w:r>
          </w:p>
        </w:tc>
      </w:tr>
      <w:tr>
        <w:trPr>
          <w:trHeight w:val="22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56,383</w:t>
            </w:r>
          </w:p>
        </w:tc>
      </w:tr>
      <w:tr>
        <w:trPr>
          <w:trHeight w:val="229"/>
        </w:trPr>
        <w:tc>
          <w:tcPr>
            <w:tcW w:w="7460" w:type="dxa"/>
            <w:vAlign w:val="bottom"/>
          </w:tcPr>
          <w:p>
            <w:pPr>
              <w:ind w:left="180"/>
              <w:spacing w:after="0"/>
              <w:rPr>
                <w:sz w:val="20"/>
                <w:szCs w:val="20"/>
                <w:color w:val="auto"/>
              </w:rPr>
            </w:pPr>
            <w:r>
              <w:rPr>
                <w:rFonts w:ascii="Arial" w:cs="Arial" w:eastAsia="Arial" w:hAnsi="Arial"/>
                <w:sz w:val="18"/>
                <w:szCs w:val="18"/>
                <w:color w:val="auto"/>
              </w:rPr>
              <w:t>High School Park and Recreation</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35,809</w:t>
            </w:r>
          </w:p>
        </w:tc>
      </w:tr>
      <w:tr>
        <w:trPr>
          <w:trHeight w:val="23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w:t>
            </w:r>
          </w:p>
        </w:tc>
      </w:tr>
      <w:tr>
        <w:trPr>
          <w:trHeight w:val="229"/>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20,070</w:t>
            </w:r>
          </w:p>
        </w:tc>
      </w:tr>
      <w:tr>
        <w:trPr>
          <w:trHeight w:val="248"/>
        </w:trPr>
        <w:tc>
          <w:tcPr>
            <w:tcW w:w="7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171,920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4,821</w:t>
            </w:r>
          </w:p>
        </w:tc>
      </w:tr>
      <w:tr>
        <w:trPr>
          <w:trHeight w:val="22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r>
      <w:tr>
        <w:trPr>
          <w:trHeight w:val="230"/>
        </w:trPr>
        <w:tc>
          <w:tcPr>
            <w:tcW w:w="7460" w:type="dxa"/>
            <w:vAlign w:val="bottom"/>
          </w:tcPr>
          <w:p>
            <w:pPr>
              <w:ind w:left="180"/>
              <w:spacing w:after="0"/>
              <w:rPr>
                <w:sz w:val="20"/>
                <w:szCs w:val="20"/>
                <w:color w:val="auto"/>
              </w:rPr>
            </w:pPr>
            <w:r>
              <w:rPr>
                <w:rFonts w:ascii="Arial" w:cs="Arial" w:eastAsia="Arial" w:hAnsi="Arial"/>
                <w:sz w:val="18"/>
                <w:szCs w:val="18"/>
                <w:color w:val="auto"/>
              </w:rPr>
              <w:t>High School Park and Recreation</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9,977</w:t>
            </w:r>
          </w:p>
        </w:tc>
      </w:tr>
      <w:tr>
        <w:trPr>
          <w:trHeight w:val="22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r>
      <w:tr>
        <w:trPr>
          <w:trHeight w:val="229"/>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r>
      <w:tr>
        <w:trPr>
          <w:trHeight w:val="223"/>
        </w:trPr>
        <w:tc>
          <w:tcPr>
            <w:tcW w:w="7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25,794</w:t>
            </w:r>
          </w:p>
        </w:tc>
      </w:tr>
      <w:tr>
        <w:trPr>
          <w:trHeight w:val="250"/>
        </w:trPr>
        <w:tc>
          <w:tcPr>
            <w:tcW w:w="7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460" w:type="dxa"/>
            <w:vAlign w:val="bottom"/>
          </w:tcPr>
          <w:p>
            <w:pPr>
              <w:ind w:left="180"/>
              <w:spacing w:after="0"/>
              <w:rPr>
                <w:sz w:val="20"/>
                <w:szCs w:val="20"/>
                <w:color w:val="auto"/>
              </w:rPr>
            </w:pPr>
            <w:r>
              <w:rPr>
                <w:rFonts w:ascii="Arial" w:cs="Arial" w:eastAsia="Arial" w:hAnsi="Arial"/>
                <w:sz w:val="18"/>
                <w:szCs w:val="18"/>
                <w:color w:val="auto"/>
              </w:rPr>
              <w:t>Selling</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14,433</w:t>
            </w:r>
          </w:p>
        </w:tc>
      </w:tr>
      <w:tr>
        <w:trPr>
          <w:trHeight w:val="23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r>
      <w:tr>
        <w:trPr>
          <w:trHeight w:val="230"/>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 design and development</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7,439</w:t>
            </w:r>
          </w:p>
        </w:tc>
      </w:tr>
      <w:tr>
        <w:trPr>
          <w:trHeight w:val="223"/>
        </w:trPr>
        <w:tc>
          <w:tcPr>
            <w:tcW w:w="7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31,313</w:t>
            </w:r>
          </w:p>
        </w:tc>
      </w:tr>
      <w:tr>
        <w:trPr>
          <w:trHeight w:val="223"/>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r>
      <w:tr>
        <w:trPr>
          <w:trHeight w:val="250"/>
        </w:trPr>
        <w:tc>
          <w:tcPr>
            <w:tcW w:w="7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Nonoperating (expense) income:</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460" w:type="dxa"/>
            <w:vAlign w:val="bottom"/>
          </w:tcPr>
          <w:p>
            <w:pPr>
              <w:ind w:left="180"/>
              <w:spacing w:after="0"/>
              <w:rPr>
                <w:sz w:val="20"/>
                <w:szCs w:val="20"/>
                <w:color w:val="auto"/>
              </w:rPr>
            </w:pPr>
            <w:r>
              <w:rPr>
                <w:rFonts w:ascii="Arial" w:cs="Arial" w:eastAsia="Arial" w:hAnsi="Arial"/>
                <w:sz w:val="18"/>
                <w:szCs w:val="18"/>
                <w:color w:val="auto"/>
              </w:rPr>
              <w:t>Change in fair value of convertible note</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and debt issuance costs write-off, net</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3"/>
        </w:trPr>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Live Events</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School Park and Recreation</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depreciation and amortization</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r>
      <w:tr>
        <w:trPr>
          <w:trHeight w:val="248"/>
        </w:trPr>
        <w:tc>
          <w:tcPr>
            <w:tcW w:w="7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Three Months Ended</w:t>
            </w:r>
          </w:p>
        </w:tc>
      </w:tr>
      <w:tr>
        <w:trPr>
          <w:trHeight w:val="169"/>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line="169" w:lineRule="exact"/>
              <w:rPr>
                <w:sz w:val="20"/>
                <w:szCs w:val="20"/>
                <w:color w:val="auto"/>
              </w:rPr>
            </w:pPr>
            <w:r>
              <w:rPr>
                <w:rFonts w:ascii="Arial" w:cs="Arial" w:eastAsia="Arial" w:hAnsi="Arial"/>
                <w:sz w:val="18"/>
                <w:szCs w:val="18"/>
                <w:b w:val="1"/>
                <w:bCs w:val="1"/>
                <w:color w:val="auto"/>
              </w:rPr>
              <w:t>July 29,</w:t>
            </w:r>
          </w:p>
        </w:tc>
        <w:tc>
          <w:tcPr>
            <w:tcW w:w="360" w:type="dxa"/>
            <w:vAlign w:val="bottom"/>
          </w:tcPr>
          <w:p>
            <w:pPr>
              <w:spacing w:after="0"/>
              <w:rPr>
                <w:sz w:val="14"/>
                <w:szCs w:val="14"/>
                <w:color w:val="auto"/>
              </w:rPr>
            </w:pPr>
          </w:p>
        </w:tc>
        <w:tc>
          <w:tcPr>
            <w:tcW w:w="1480" w:type="dxa"/>
            <w:vAlign w:val="bottom"/>
          </w:tcPr>
          <w:p>
            <w:pPr>
              <w:jc w:val="right"/>
              <w:ind w:right="530"/>
              <w:spacing w:after="0" w:line="169" w:lineRule="exact"/>
              <w:rPr>
                <w:sz w:val="20"/>
                <w:szCs w:val="20"/>
                <w:color w:val="auto"/>
              </w:rPr>
            </w:pPr>
            <w:r>
              <w:rPr>
                <w:rFonts w:ascii="Arial" w:cs="Arial" w:eastAsia="Arial" w:hAnsi="Arial"/>
                <w:sz w:val="18"/>
                <w:szCs w:val="18"/>
                <w:b w:val="1"/>
                <w:bCs w:val="1"/>
                <w:color w:val="auto"/>
              </w:rPr>
              <w:t>July 30,</w:t>
            </w:r>
          </w:p>
        </w:tc>
      </w:tr>
      <w:tr>
        <w:trPr>
          <w:trHeight w:val="239"/>
        </w:trPr>
        <w:tc>
          <w:tcPr>
            <w:tcW w:w="7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4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214,593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149,438</w:t>
            </w:r>
          </w:p>
        </w:tc>
      </w:tr>
      <w:tr>
        <w:trPr>
          <w:trHeight w:val="23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22,482</w:t>
            </w:r>
          </w:p>
        </w:tc>
      </w:tr>
      <w:tr>
        <w:trPr>
          <w:trHeight w:val="223"/>
        </w:trPr>
        <w:tc>
          <w:tcPr>
            <w:tcW w:w="74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171,920</w:t>
            </w:r>
          </w:p>
        </w:tc>
      </w:tr>
      <w:tr>
        <w:trPr>
          <w:trHeight w:val="21"/>
        </w:trPr>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July 29,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April 29,</w:t>
            </w:r>
          </w:p>
        </w:tc>
      </w:tr>
      <w:tr>
        <w:trPr>
          <w:trHeight w:val="239"/>
        </w:trPr>
        <w:tc>
          <w:tcPr>
            <w:tcW w:w="74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2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4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64,251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63,786</w:t>
            </w:r>
          </w:p>
        </w:tc>
      </w:tr>
      <w:tr>
        <w:trPr>
          <w:trHeight w:val="22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r>
      <w:tr>
        <w:trPr>
          <w:trHeight w:val="223"/>
        </w:trPr>
        <w:tc>
          <w:tcPr>
            <w:tcW w:w="746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72,080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72,147</w:t>
            </w:r>
          </w:p>
        </w:tc>
      </w:tr>
      <w:tr>
        <w:trPr>
          <w:trHeight w:val="21"/>
        </w:trPr>
        <w:tc>
          <w:tcPr>
            <w:tcW w:w="7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three months ended July 29, 2023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Transportation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April 29,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30"/>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29,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perform an analysis of goodwill on an annual basis and test for impairment more frequently if events or changes in circumstances indicate that an asset might be impaired. Our annual analysis is performed during our third quarter of each fiscal year based on the goodwill amount as of the first business day of our third fiscal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Financing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Arial" w:cs="Arial" w:eastAsia="Arial" w:hAnsi="Arial"/>
                <w:sz w:val="18"/>
                <w:szCs w:val="18"/>
                <w:color w:val="0E32E1"/>
              </w:rPr>
              <w:t>Table of Contents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17"/>
        </w:trPr>
        <w:tc>
          <w:tcPr>
            <w:tcW w:w="1280" w:type="dxa"/>
            <w:vAlign w:val="bottom"/>
            <w:tcBorders>
              <w:top w:val="single" w:sz="8" w:color="0E32E1"/>
            </w:tcBorders>
          </w:tcPr>
          <w:p>
            <w:pPr>
              <w:spacing w:after="0"/>
              <w:rPr>
                <w:sz w:val="24"/>
                <w:szCs w:val="24"/>
                <w:color w:val="auto"/>
              </w:rPr>
            </w:pPr>
          </w:p>
        </w:tc>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29,</w:t>
            </w:r>
          </w:p>
        </w:tc>
        <w:tc>
          <w:tcPr>
            <w:tcW w:w="32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April 29,</w:t>
            </w:r>
          </w:p>
        </w:tc>
      </w:tr>
      <w:tr>
        <w:trPr>
          <w:trHeight w:val="239"/>
        </w:trPr>
        <w:tc>
          <w:tcPr>
            <w:tcW w:w="128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27"/>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ABL credit facility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Prior line of credit</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17,750</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Convertible note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gross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note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Current portion</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11, 2023, we closed on a $75,000 senior credit facility (the "Credit Facility"). The Credit Facility consists of a $60,000 asset-based revolving credit facility (the "ABL") maturing on May 11. 2026, secured by first priority lien on the Company's assets and which is subject to certain factors which can impact our borrowing capacity, and a $15,000 delayed draw loan (the "Delayed Draw Loan") secured by a first priority mortgage on our Brookings, South Dakota real estate (the "Mortgage"). The ABL and Delayed Draw Loan are evidenced by a Credit Agreement dated as of May 11, 2023 (the "Credit Agreement") between the Company and JPMorgan Chase Bank, N.A., as the lender. On May 11, 2023 the Company paid all amounts outstanding on the prior credit agreement and this prior credit agreement was terminated as of this date. No gain or loss was recognized upon termination and the Company incurred no early termination penalties in connection with such termination.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ABL, certain factors can impact our borrowing capacity. As of July 29, 2023, our borrowing capacity was $47,596, and there were no borrowings outstanding and $1,460 used to secure letters of credit outstanding.</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interest rate on the ABL is set on a sliding scale based on the trailing 12 month fixed charge coverage and ranges from 2.5 percent to 3.5 percent over the standard overnight financing rate (SOFR). The ABL is secured by a first priority lien on the Company's assets described in the Credit Agreement and the Pledge and Security Agreement dated as of May 11, 2023 by and among the Company, Daktronics Installation, Inc. and JPMorgan Chase Bank, N.A.</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$15,000 Delayed Draw Loan was funded on July 7, 2023 and is secured the Mortgage on the Company's Brookings, South Dakota real estate. It amortizes over 10 years and has monthly payments of $125. The Delayed Draw Loan is subject to the terms of the Credit Agreement and matures on May 11, 2026. The interest rate on the Delayed Draw Loan is set on a sliding scale based on the trailing 12 month fixed charge coverage ratio and ranges between 1.0 percent and 2.0 percent over the Commercial Bank Floating Rate (CBFR).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11, 2023, we issued $25,000 in aggregate principal amount evidenced by the secured Convertible Note due May 11, 2027. The Convertible Note holder has a second priority lien on assets securing the ABL facility and a first priority lien on substantially all of the other assets of the Company, excluding all real property, subject to the Intercreditor Agreement dated as of May 11, 2023 by and among the Company, JPMorgan Chase Bank N.A., and the holder of the Convertible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Features</w:t>
      </w:r>
    </w:p>
    <w:p>
      <w:pPr>
        <w:spacing w:after="0" w:line="225" w:lineRule="exact"/>
        <w:rPr>
          <w:sz w:val="20"/>
          <w:szCs w:val="20"/>
          <w:color w:val="auto"/>
        </w:rPr>
      </w:pPr>
    </w:p>
    <w:p>
      <w:pPr>
        <w:jc w:val="both"/>
        <w:ind w:left="660" w:hanging="328"/>
        <w:spacing w:after="0" w:line="257" w:lineRule="auto"/>
        <w:tabs>
          <w:tab w:leader="none" w:pos="655"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The Convertible Note allows the Investor and any of the Investor’s permitted transferees, donees, pledgees, assignees or successors-in-interest (collectively, the “Selling Shareholders”) to convert all or any portion of the principal amount of the Convertible Note, together with any accrued and unpaid interest and any other unpaid amounts, including late charges, if any (together, the “Conversion Amount”), into shares of the Company’s common stock at an initial conversion price of $6.31 per share, subject to adjustment in accordance with the terms of the Convertible Note (the “Conversion Price”).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also has a forced conversion right, which is exercisable on the occurrence of certain conditions set forth in the Convertible Note, pursuant to which it can cause all or any portion of the outstanding and unpaid Conversion Amount to be converted into shares of common stock at the Conversion Price.</w:t>
      </w:r>
    </w:p>
    <w:p>
      <w:pPr>
        <w:spacing w:after="0" w:line="200" w:lineRule="exact"/>
        <w:rPr>
          <w:sz w:val="20"/>
          <w:szCs w:val="20"/>
          <w:color w:val="auto"/>
        </w:rPr>
      </w:pPr>
    </w:p>
    <w:p>
      <w:pPr>
        <w:spacing w:after="0" w:line="21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Additionally, if the Company fails other than by reason of a failure by the Holder to comply with its obligations, the Holder is permitted to cash payments from the Company until the Conversion Failure is cured.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Features</w:t>
      </w:r>
    </w:p>
    <w:p>
      <w:pPr>
        <w:spacing w:after="0" w:line="225" w:lineRule="exact"/>
        <w:rPr>
          <w:sz w:val="20"/>
          <w:szCs w:val="20"/>
          <w:color w:val="auto"/>
        </w:rPr>
      </w:pPr>
    </w:p>
    <w:p>
      <w:pPr>
        <w:ind w:left="66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Company were to have an Event of Default, as defined by the Convertible Note, then the Holder may require the Company to redeem all or any portion of the Note.</w:t>
      </w:r>
    </w:p>
    <w:p>
      <w:pPr>
        <w:spacing w:after="0" w:line="19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Company has a Change of Control, as defined by the Convertible Note, then the Holder is entitled to the outstanding amount of the Note at the Change in Control Redemption Price as defined in the Note.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Interest is payable in either (i) cash or (ii) in a combination of cash interest and capitalized interest at the option of the Company; provided, however, that at least fifty percent (50%) of the interest paid on each interest date must be paid as cash interest. The Convertible Note accrues interest quarterly at an annual rate of 9.0 percent when interest is paid in cash or an annual rate of 10.0 percent if interest is paid in kind. Upon an event of default under the Convertible Note, the annual interest rate will increase to 12.0 percent. The annual rate of 9.0 percent was used to calculate the interest accrued as of July 29, 2023.</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elected the fair value option to account for the Convertible Note as described in "Note 10. Fair Value Measurement" of the Notes to our Condensed Consolidated Financial Statements included in this Form 10-Q for further information. The financial liability was initially measured at its issue-date fair value and is subsequently remeasured at fair value on a recurring basis at each reporting period date. We have elected to present the fair value and the accrued interest component separately in the income statement. Therefore, interest will be recognized and accrued separately in interest expense, with changes in fair value of the Note presented in the "Change in fair value of convertible note" line item in our condensed consolidated statements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fair value of the Convertible Note during the quarter ended July 29, 2023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Liability Component</w:t>
            </w:r>
          </w:p>
        </w:tc>
      </w:tr>
      <w:tr>
        <w:trPr>
          <w:trHeight w:val="230"/>
        </w:trPr>
        <w:tc>
          <w:tcPr>
            <w:tcW w:w="2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(in thousands)</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May 11, 2023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175"/>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w w:val="96"/>
              </w:rPr>
              <w:t>Redemption of convertible promissory</w:t>
            </w:r>
          </w:p>
        </w:tc>
        <w:tc>
          <w:tcPr>
            <w:tcW w:w="24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note</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Change Recognized</w:t>
            </w:r>
          </w:p>
        </w:tc>
        <w:tc>
          <w:tcPr>
            <w:tcW w:w="2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7,260</w:t>
            </w: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As of July 29, 2023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32,260</w:t>
            </w:r>
          </w:p>
        </w:tc>
      </w:tr>
      <w:tr>
        <w:trPr>
          <w:trHeight w:val="20"/>
        </w:trPr>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estimated fair value of the Convertible Note upon issuance date May 11, 2023 and as of July 29, 2023 was computed using a Binomial Lattice Model which incorporates significant inputs that are not observable in the market, and thus represents a Level 3 measurement.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determined the fair value by using the following key assumptions in the Binomial Lattice Model:</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(Annual)</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4.34 %</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Implied Yield</w:t>
            </w:r>
          </w:p>
        </w:tc>
        <w:tc>
          <w:tcPr>
            <w:tcW w:w="2720" w:type="dxa"/>
            <w:vAlign w:val="bottom"/>
          </w:tcPr>
          <w:p>
            <w:pPr>
              <w:jc w:val="right"/>
              <w:spacing w:after="0"/>
              <w:rPr>
                <w:sz w:val="20"/>
                <w:szCs w:val="20"/>
                <w:color w:val="auto"/>
              </w:rPr>
            </w:pPr>
            <w:r>
              <w:rPr>
                <w:rFonts w:ascii="Arial" w:cs="Arial" w:eastAsia="Arial" w:hAnsi="Arial"/>
                <w:sz w:val="18"/>
                <w:szCs w:val="18"/>
                <w:color w:val="auto"/>
              </w:rPr>
              <w:t>18.54 %</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(Annual)</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55.00 %</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Dividend Yield (Annual)</w:t>
            </w:r>
          </w:p>
        </w:tc>
        <w:tc>
          <w:tcPr>
            <w:tcW w:w="27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9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Credit Agreement and the Convertible Note require a fixed charge coverage ratio of greater than 1.1 and include other customary non-financial covenants. As of July 29, 2023, we were in compliance with our financial covenants under the Credit Agreement and the Convertible Note.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Debt issuance costs incurred and capitalized are amortized on a straight-line basis over the term of the associated debt agreement. If early principal payments or conversions occur, a proportional amount of unamortized debt issuance costs is expensed. As part of these financings, we capitalized $8,019 in debt issuance costs. During the first quarter, due to the Convertible Note being accounted for at fair value, we expensed $3,353 of the related debt issuance costs which is included in the "Other expense and debt issuance costs write-off, net" line item in our condensed consolidated statements of operations. During the first quarter, we have amortized $328 of debt issuance costs. The remaining debt issuance costs of $4,338 is being amortized over the four-year term of the Credit Facility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and Future Maturities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29, 2023 and April 29, 2023, the fair value of long-term debt, gross was $47,260 and $17,750, respectively. The fair value of the Convertible Notes was $32,260 as of July 29,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Aggregate contractual maturities of debt in future fiscal years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years ending</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5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5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10,875</w:t>
            </w:r>
          </w:p>
        </w:tc>
      </w:tr>
      <w:tr>
        <w:trPr>
          <w:trHeight w:val="25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5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and beyond</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senior secured notes and convertible notes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 of July 29, 2023, we had $6,114 of bank guarantees or other financial instruments for display installations issued by other banks and secured by restricted cash deposits. If we are unable to meet the terms of the arrangement, the bank would subrogate its loss by drawing on the secured cash deposit.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Contingencies - Loss Contingencies. Our assessment of whether a loss is reasonably possible or probable is based on our assessment and consultation with legal counsel regarding the ultimate outcome of the matter following all appeals.</w:t>
      </w:r>
    </w:p>
    <w:p>
      <w:pPr>
        <w:spacing w:after="0" w:line="20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jc w:val="right"/>
              <w:ind w:right="1250"/>
              <w:spacing w:after="0"/>
              <w:rPr>
                <w:sz w:val="20"/>
                <w:szCs w:val="20"/>
                <w:color w:val="auto"/>
              </w:rPr>
            </w:pPr>
            <w:r>
              <w:rPr>
                <w:rFonts w:ascii="Arial" w:cs="Arial" w:eastAsia="Arial" w:hAnsi="Arial"/>
                <w:sz w:val="18"/>
                <w:szCs w:val="18"/>
                <w:i w:val="1"/>
                <w:iCs w:val="1"/>
                <w:color w:val="auto"/>
                <w:w w:val="91"/>
              </w:rPr>
              <w:t xml:space="preserve">Warranties: </w:t>
            </w:r>
            <w:r>
              <w:rPr>
                <w:rFonts w:ascii="Arial" w:cs="Arial" w:eastAsia="Arial" w:hAnsi="Arial"/>
                <w:sz w:val="18"/>
                <w:szCs w:val="18"/>
                <w:color w:val="auto"/>
                <w:w w:val="91"/>
              </w:rPr>
              <w:t>Changes in our warranty obligation for the three months ended July 29, 2023 consisted of the following:</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9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July 29,</w:t>
            </w:r>
          </w:p>
        </w:tc>
      </w:tr>
      <w:tr>
        <w:trPr>
          <w:trHeight w:val="239"/>
        </w:trPr>
        <w:tc>
          <w:tcPr>
            <w:tcW w:w="9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27"/>
        </w:trPr>
        <w:tc>
          <w:tcPr>
            <w:tcW w:w="9760" w:type="dxa"/>
            <w:vAlign w:val="bottom"/>
            <w:shd w:val="clear" w:color="auto" w:fill="CCEEFF"/>
          </w:tcPr>
          <w:p>
            <w:pPr>
              <w:jc w:val="right"/>
              <w:ind w:right="6770"/>
              <w:spacing w:after="0"/>
              <w:rPr>
                <w:sz w:val="20"/>
                <w:szCs w:val="20"/>
                <w:color w:val="auto"/>
              </w:rPr>
            </w:pPr>
            <w:r>
              <w:rPr>
                <w:rFonts w:ascii="Arial" w:cs="Arial" w:eastAsia="Arial" w:hAnsi="Arial"/>
                <w:sz w:val="18"/>
                <w:szCs w:val="18"/>
                <w:color w:val="auto"/>
                <w:w w:val="91"/>
              </w:rPr>
              <w:t>Beginning accrued warranty obligations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32,541</w:t>
            </w:r>
          </w:p>
        </w:tc>
      </w:tr>
      <w:tr>
        <w:trPr>
          <w:trHeight w:val="230"/>
        </w:trPr>
        <w:tc>
          <w:tcPr>
            <w:tcW w:w="9760" w:type="dxa"/>
            <w:vAlign w:val="bottom"/>
          </w:tcPr>
          <w:p>
            <w:pPr>
              <w:jc w:val="right"/>
              <w:ind w:right="6770"/>
              <w:spacing w:after="0"/>
              <w:rPr>
                <w:sz w:val="20"/>
                <w:szCs w:val="20"/>
                <w:color w:val="auto"/>
              </w:rPr>
            </w:pPr>
            <w:r>
              <w:rPr>
                <w:rFonts w:ascii="Arial" w:cs="Arial" w:eastAsia="Arial" w:hAnsi="Arial"/>
                <w:sz w:val="18"/>
                <w:szCs w:val="18"/>
                <w:color w:val="auto"/>
              </w:rPr>
              <w:t>Warranties issued during the period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4,375</w:t>
            </w:r>
          </w:p>
        </w:tc>
      </w:tr>
      <w:tr>
        <w:trPr>
          <w:trHeight w:val="229"/>
        </w:trPr>
        <w:tc>
          <w:tcPr>
            <w:tcW w:w="9760" w:type="dxa"/>
            <w:vAlign w:val="bottom"/>
            <w:shd w:val="clear" w:color="auto" w:fill="CCEEFF"/>
          </w:tcPr>
          <w:p>
            <w:pPr>
              <w:jc w:val="right"/>
              <w:ind w:right="6770"/>
              <w:spacing w:after="0"/>
              <w:rPr>
                <w:sz w:val="20"/>
                <w:szCs w:val="20"/>
                <w:color w:val="auto"/>
              </w:rPr>
            </w:pPr>
            <w:r>
              <w:rPr>
                <w:rFonts w:ascii="Arial" w:cs="Arial" w:eastAsia="Arial" w:hAnsi="Arial"/>
                <w:sz w:val="18"/>
                <w:szCs w:val="18"/>
                <w:color w:val="auto"/>
              </w:rPr>
              <w:t>Settlements made during the period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r>
      <w:tr>
        <w:trPr>
          <w:trHeight w:val="229"/>
        </w:trPr>
        <w:tc>
          <w:tcPr>
            <w:tcW w:w="9760" w:type="dxa"/>
            <w:vAlign w:val="bottom"/>
            <w:tcBorders>
              <w:bottom w:val="single" w:sz="8" w:color="CCEEFF"/>
            </w:tcBorders>
          </w:tcPr>
          <w:p>
            <w:pPr>
              <w:jc w:val="right"/>
              <w:ind w:right="1530"/>
              <w:spacing w:after="0"/>
              <w:rPr>
                <w:sz w:val="20"/>
                <w:szCs w:val="20"/>
                <w:color w:val="auto"/>
              </w:rPr>
            </w:pPr>
            <w:r>
              <w:rPr>
                <w:rFonts w:ascii="Arial" w:cs="Arial" w:eastAsia="Arial" w:hAnsi="Arial"/>
                <w:sz w:val="18"/>
                <w:szCs w:val="18"/>
                <w:color w:val="auto"/>
                <w:w w:val="95"/>
              </w:rPr>
              <w:t>Changes in accrued warranty obligations for pre-existing warranties during the period, including expirations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48"/>
        </w:trPr>
        <w:tc>
          <w:tcPr>
            <w:tcW w:w="9760" w:type="dxa"/>
            <w:vAlign w:val="bottom"/>
            <w:tcBorders>
              <w:bottom w:val="single" w:sz="8" w:color="CCEEFF"/>
            </w:tcBorders>
            <w:shd w:val="clear" w:color="auto" w:fill="CCEEFF"/>
          </w:tcPr>
          <w:p>
            <w:pPr>
              <w:jc w:val="right"/>
              <w:ind w:right="6990"/>
              <w:spacing w:after="0"/>
              <w:rPr>
                <w:sz w:val="20"/>
                <w:szCs w:val="20"/>
                <w:color w:val="auto"/>
              </w:rPr>
            </w:pPr>
            <w:r>
              <w:rPr>
                <w:rFonts w:ascii="Arial" w:cs="Arial" w:eastAsia="Arial" w:hAnsi="Arial"/>
                <w:sz w:val="18"/>
                <w:szCs w:val="18"/>
                <w:color w:val="auto"/>
                <w:w w:val="91"/>
              </w:rPr>
              <w:t>Ending accrued warranty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Performance guarantees: </w:t>
      </w:r>
      <w:r>
        <w:rPr>
          <w:rFonts w:ascii="Arial" w:cs="Arial" w:eastAsia="Arial" w:hAnsi="Arial"/>
          <w:sz w:val="16"/>
          <w:szCs w:val="16"/>
          <w:color w:val="auto"/>
        </w:rPr>
        <w:t>We have entered into standby letters of credit, bank guarantees and surety bonds with financial institutions relating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of our future performance on contracts, primarily construction-type contracts. As of July 29, 2023, we had outstanding letters of credit, bank guarantees and surety bonds in the amount of $1,460, $6,114 and $40,394, respectively. Performance guarantees are issued to certain customers to guarantee the operation and installation of the equipment and our ability to complete a contract. These performance guarantees have various terms but generally have a term of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July 29, 2023, we were not aware of any material indemnification claims.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effective tax rate for the three months ended July 29, 2023 was a tax rate of 31.7 percent, as compared to an effective tax rate of 15.8 percent for the three months ended July 30, 2022. The higher tax rate is caused by the fair value adjustment to income that is not taxable.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operate both domestically and internationally and, as of July 29, 2023, undistributed earnings of our foreign subsidiaries were considered to be reinvested indefinitely. Additionally, as of July 29, 2023, we had $521 of unrecognized tax benefits which would reduce our effective tax rate if recognized.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July 29, 2023 and April 29, 2023 according to the valuation techniques we used to determine their fair values. There have been no transfers of assets or liabilities among the fair value hierarchies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Fair Value Measurements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Balance as of July 29, 2023</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45,775</w:t>
            </w: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Note Payable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32,260</w:t>
            </w: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Balance as of April 29, 2023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elected to value the Convertible Note at fair value in accordance with ASC 825-10-15-4(a) because of the embedded derivatives contained in the note. The fair value of the Convertible Note was estimated using a binomial lattice model. Binomial lattice allows for the examination of the value to a holder and understanding the investment decision that would occur at each node.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Convertible Note entered into during the first quarter of fiscal 2024 was classified as Level 3 because it does not have readily determinable or observable inputs for the valuation. There have been no other changes in the valuation techniques used by us to value our financial instruments since the end of fiscal 2023. For additional information, see our Annual Report on Form 10-K for the fiscal year ended April 29, 2023 for the methods and assumptions used to estimate the fair value of each class of financial instrument.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reported in Part II, Item 7 “Management’s Discussion and Analysis of Financial Condition and Results of Operations” in the section entitled “Liquidity and Capital Resources” of Form 10-K, effective on May 11, 2023, the Company entered into the Securities Purchase Agreement with Alta Fox Opportunities Fund, LP (the “Investor”). Under the Securities Purchase Agreement, the Company sold and issued to the Investor the Convertible Note in exchange for the payment by the Investor to the Company of $25,000. As of May 11, 2023, and based on Amendment No. 3 to the Schedule 13D filed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the Investor and its affiliates named therein on May 15, 2023 with the SEC, the Investor and its affiliates beneficially owned 4,768 shares of common stock of the Company, representing 9.99 percent of the Company’s common stock, causing the Investor to be a “related party” of the Company under the Company’s written policy and procedures and the applicable definitions under the Securities Act of 1933. The Securities Purchase Agreement, the Convertible Note, the Pledge and Security Agreement dated as of May 11, 2023 by and between the Investor and the Company, and the Registration Rights Agreement were approved in advance of their execution by the Company’s Strategy and Financing Review Committee, the members of which include all members of the Company’s Audit Committee.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May 11, 2023 the largest aggregate amount outstanding under the Convertible Note was $25,475, consisting of $25,000 of principal and $475 of interest; a total of $25,475 outstanding; and, since May 11, 2023; no payments of principal or interest had been made on the amounts due under the Convertible Note.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description of the Securities Purchase Agreement, the Convertible Note, the Pledge and Security Agreement dated as of May 11, 2023 by and between the Investor and the Company, the Registration Rights Agreement, and their respective terms set forth in Part II, Item 7 “Management’s Discussion and Analysis of Financial Condition and Results of Operations” in the section entitled “Liquidity and Capital Resources” was hereby incorporated by reference into this Item 13 of the form 10-K. In addition, the Company is a party to the Standstill and Voting Agreement dated as of March 19, 2023 with Alta Fox Management, LLC and Connor Haley (the “Standstill Agreement”). The Standstill Agreement is filed as Exhibit 10.13 to Form 10-K.</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Amendment No. 3 (“Amendment No. 3”) to the Schedule 13D filed by the Investor and its affiliates named therein on June 9, 2023 with the SEC and based on other information provided by the Investor, the following persons may be deemed to be beneficial owners of the shares of the Company’s common stock owned by the Investor: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7, 2023, the Company received from the Investor written notice of a decrease in the “Percentage Cap” (as such term is defined in the Convertible Note) from 9.99 percent to 4.99 percent which decrease became effective immediately upon the Company’s receipt of such written notice. The Percentage Cap generally represents the maximum percentage of shares of the Company’s common stock the Investor may own. Based on Amendment No. 3, the Investor and its affiliates identified in Amendment No. 3 owned 2,293 shares of common stock on June 9, 2023, representing 4.99 percent of the common stock of the Company, meaning the Investor and its affiliates are no longer “related parties” of the Company under the Company’s written policy and procedures and the applicable definitions under the Securities Act of 1933.</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first quarter of fiscal 2024, the Company and South Dakota Board of Regents entered into a contract for video display systems for Dakota State University. The amount of the contract was $150. A member of the Company's Board of Directors is the President of Dakota State University.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details of related party transactions with our Investments in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April 29, 2023, to and including July 29, 2023 and (ii) results of operations during the current fiscal period(s) as compared to the corresponding period(s) of the preceding fiscal year.</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"forecast," "project" and similar expressions are intended to identify forward-looking statements within the meaning of the Private Securities Litigation Reform Act of 1995. Any and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 Important factors that may cause actual results to differ materially from those in the forward-looking statements include, but are not limited to, the uncertainties related to market conditions and entry into a financing transaction; the Company’s potential need to seek additional strategic alternatives, including seeking additional debt or equity capital or other strategic transactions and/or measures; the Company’s ability to finalize or fully execute actions and steps that would be probable of mitigating the existence of “substantial doubt” regarding the Company’s ability to continue as a going concern; the Company’s ability to increase cash flow to support the Company’s operating activities and fund its obligations and working capital needs; our ability to obtain additional financing on terms favorable to us, or at all; any future goodwill impairment charges; and the other risk factors described more fully in the Company’s Annual Report on Form 10-K for the fiscal year ended April 29, 2023 filed with the Securities and Exchange Commission, as well as other publicly available information about the Company.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wish to caution investors that other factors might in the future prove to be important in affecting our results of operations. New factors emerge from time to time; it is not possible for management to predict all of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undertake no obligation to update publicly or revise any forward-looking statements, whether as a result of new information, future events or otherwise.</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MD&amp;A should be read in conjunction with the Consolidated Financial Statements and related Notes included in Item 1 of Part 1 of this Quarterly Report on Form 10-Q and our Annual Report on Form 10-K for the fiscal year ended April 29, 2023 (including the information presented therein under Risk Factors), as well as other publicly available information about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engaged principally in the design, marketing, and manufacture of a wide range of integrated electronic display systems and related products which are sold in a variety of markets throughout the world and the rendering of related maintenance and professional services.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selected financial data should be read in conjunction with our Annual Report on Form 10-K for the fiscal year ended April 29, 2023 and the consolidated financial statements set forth in that Annual Report on Form 10-K, including the notes to consolidated financial statements included therein.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CONDITIONS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past investments in people and plant capacity and the continued stable supply chain environment have allowed for efficient production and fulfillment of orders. Although the post-pandemic geopolitical situation and global trade patterns continue to evolve, we believe that the levels of uncertainty and volatility in supply chain and demand will not be as great in the coming months as it was through the pandemic and will continue to stabilize during this fiscal year.</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the audiovisual industry fundamentals of increased use of LED display systems across industries and our development of new technologies, services, and sales channels will drive long-term growth for our company. Orders and revenue levels are expected to be impacted by the timing of multi-million dollar projects and the impacts of global economic conditions, war and geopolitical situations, or other factors outside of our control.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JULY 29, 2023 AND JULY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Order and backlog levels provide management and investors additional details surrounding the results of our business activities in the marketplace and highlight fluctuations caused by seasonality and multimillion dollar projects. Management uses orders to evaluate market share and performance in the competitive environment. Management uses backlog information for capacity and resource planning. We believe order information is useful to investors because it provides an indication of our market share and future revenues.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order backlog as of July 29, 2023 was $323.7 million as compared to $469.1 million as of July 30, 2022 and $400.7 million at April 29, 2023. The decrease in backlog is driven by fulfilling orders at a greater pace as supply chain conditions stabilized, we utilized our increased capacity, and the order pace returned to more normalized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fulfill the backlog as of July 29, 2023 within the next 24 months. The timing of backlog fulfillment may be impacted by project delays resulting from parts availability and other constraints stemming from the supply chain disruptions or by customer site conditions which are outside our control.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60" w:type="dxa"/>
            <w:vAlign w:val="bottom"/>
            <w:gridSpan w:val="10"/>
          </w:tcPr>
          <w:p>
            <w:pPr>
              <w:spacing w:after="0"/>
              <w:rPr>
                <w:sz w:val="20"/>
                <w:szCs w:val="20"/>
                <w:color w:val="auto"/>
              </w:rPr>
            </w:pPr>
            <w:r>
              <w:rPr>
                <w:rFonts w:ascii="Arial" w:cs="Arial" w:eastAsia="Arial" w:hAnsi="Arial"/>
                <w:sz w:val="18"/>
                <w:szCs w:val="18"/>
                <w:color w:val="auto"/>
              </w:rPr>
              <w:t>The following table shows information regarding net sales for the three months ended July 29, 2023 and July 30, 2022:</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29, 2023</w:t>
            </w: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30, 2022</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Change</w:t>
            </w: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46,883</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6,765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Live Events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56,234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20,425</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16,046</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b w:val="1"/>
                <w:bCs w:val="1"/>
                <w:color w:val="auto"/>
              </w:rPr>
              <w:t xml:space="preserve">Orders: </w:t>
            </w:r>
            <w:r>
              <w:rPr>
                <w:rFonts w:ascii="Arial" w:cs="Arial" w:eastAsia="Arial" w:hAnsi="Arial"/>
                <w:sz w:val="23"/>
                <w:szCs w:val="23"/>
                <w:b w:val="1"/>
                <w:bCs w:val="1"/>
                <w:color w:val="auto"/>
                <w:vertAlign w:val="superscript"/>
              </w:rPr>
              <w:t>(1)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52,203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18,985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auto"/>
        </w:rPr>
        <w:t>(1) Orders are not measures defined by GAAP, and our methodology for determining orders may vary from the methodology used by other companies in determining their orders and amounts.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fiscal 2024 first quarter, net sales were $232.5 million, an increase of $60.6 million from net sales in the prior year's first quarter and a quarterly record. This increase was primarily due to higher throughput from our past investments in capacity and the more stable operating environment. Last year during the first quarter, we faced material supply shortages which extended lead times and delayed the conversion of orders into sales.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 volume decreased in the first quarter of fiscal 2024 from the prior year's first quarter. The change is primarily related to a decrease in the Commercial business unit caused by volatility in bookings of larger sized Spectacular LED video displays projects.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7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r>
      <w:tr>
        <w:trPr>
          <w:trHeight w:val="223"/>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800"/>
              <w:spacing w:after="0"/>
              <w:rPr>
                <w:sz w:val="20"/>
                <w:szCs w:val="20"/>
                <w:color w:val="auto"/>
              </w:rPr>
            </w:pPr>
            <w:r>
              <w:rPr>
                <w:rFonts w:ascii="Arial" w:cs="Arial" w:eastAsia="Arial" w:hAnsi="Arial"/>
                <w:sz w:val="18"/>
                <w:szCs w:val="18"/>
                <w:b w:val="1"/>
                <w:bCs w:val="1"/>
                <w:color w:val="auto"/>
              </w:rPr>
              <w:t>July 29, 2023</w:t>
            </w:r>
          </w:p>
        </w:tc>
        <w:tc>
          <w:tcPr>
            <w:tcW w:w="260" w:type="dxa"/>
            <w:vAlign w:val="bottom"/>
          </w:tcPr>
          <w:p>
            <w:pPr>
              <w:spacing w:after="0"/>
              <w:rPr>
                <w:sz w:val="19"/>
                <w:szCs w:val="19"/>
                <w:color w:val="auto"/>
              </w:rPr>
            </w:pPr>
          </w:p>
        </w:tc>
        <w:tc>
          <w:tcPr>
            <w:tcW w:w="288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July 30, 2022</w:t>
            </w:r>
          </w:p>
        </w:tc>
      </w:tr>
      <w:tr>
        <w:trPr>
          <w:trHeight w:val="169"/>
        </w:trPr>
        <w:tc>
          <w:tcPr>
            <w:tcW w:w="48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8"/>
                <w:szCs w:val="18"/>
                <w:b w:val="1"/>
                <w:bCs w:val="1"/>
                <w:color w:val="auto"/>
                <w:w w:val="92"/>
              </w:rPr>
              <w:t>As a Percent of Net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92"/>
              </w:rPr>
              <w:t>As a Percent of Net</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21"/>
                <w:szCs w:val="21"/>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680" w:type="dxa"/>
            <w:vAlign w:val="bottom"/>
            <w:gridSpan w:val="2"/>
          </w:tcPr>
          <w:p>
            <w:pPr>
              <w:ind w:left="600"/>
              <w:spacing w:after="0"/>
              <w:rPr>
                <w:sz w:val="20"/>
                <w:szCs w:val="20"/>
                <w:color w:val="auto"/>
              </w:rPr>
            </w:pPr>
            <w:r>
              <w:rPr>
                <w:rFonts w:ascii="Arial" w:cs="Arial" w:eastAsia="Arial" w:hAnsi="Arial"/>
                <w:sz w:val="18"/>
                <w:szCs w:val="18"/>
                <w:b w:val="1"/>
                <w:bCs w:val="1"/>
                <w:color w:val="auto"/>
              </w:rPr>
              <w:t>Sales</w:t>
            </w:r>
          </w:p>
        </w:tc>
        <w:tc>
          <w:tcPr>
            <w:tcW w:w="26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auto"/>
              </w:rPr>
              <w:t>Sales</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12,769</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Arial" w:cs="Arial" w:eastAsia="Arial" w:hAnsi="Arial"/>
                <w:sz w:val="18"/>
                <w:szCs w:val="18"/>
                <w:color w:val="auto"/>
                <w:w w:val="92"/>
              </w:rPr>
              <w:t>27.2 %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4,821</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12.0 %</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20,825</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9,977</w:t>
            </w:r>
          </w:p>
        </w:tc>
        <w:tc>
          <w:tcPr>
            <w:tcW w:w="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27.9</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w:t>
            </w:r>
          </w:p>
        </w:tc>
      </w:tr>
      <w:tr>
        <w:trPr>
          <w:trHeight w:val="23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w:t>
            </w: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2"/>
              </w:rPr>
              <w:t>30.6 %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gross profit percentage for the first quarter of fiscal 2024 is attributable to the record sales volume over our fixed manufacturing cost structure, past strategic pricing actions, stabilization of input costs, and fewer supply chain and operational disruptions during the first quarter of fiscal 2024 as compared to a year earlier.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costs as a percent of sales for the three months ended July 29, 2023 compared to the same period one year ago increased to 2.1 percent from 1.6 percent.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ind w:left="680"/>
              <w:spacing w:after="0"/>
              <w:rPr>
                <w:sz w:val="20"/>
                <w:szCs w:val="20"/>
                <w:color w:val="auto"/>
              </w:rPr>
            </w:pPr>
            <w:r>
              <w:rPr>
                <w:rFonts w:ascii="Arial" w:cs="Arial" w:eastAsia="Arial" w:hAnsi="Arial"/>
                <w:sz w:val="18"/>
                <w:szCs w:val="18"/>
                <w:b w:val="1"/>
                <w:bCs w:val="1"/>
                <w:color w:val="auto"/>
              </w:rPr>
              <w:t>July 29, 2023</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July 30, 2022</w:t>
            </w:r>
          </w:p>
        </w:tc>
      </w:tr>
      <w:tr>
        <w:trPr>
          <w:trHeight w:val="169"/>
        </w:trPr>
        <w:tc>
          <w:tcPr>
            <w:tcW w:w="25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As a Percent of</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b w:val="1"/>
                <w:bCs w:val="1"/>
                <w:color w:val="auto"/>
                <w:w w:val="99"/>
              </w:rPr>
              <w:t>As a Percent of</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Net Sales</w:t>
            </w: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Dollar Change</w:t>
            </w: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Net Sales</w:t>
            </w:r>
          </w:p>
        </w:tc>
      </w:tr>
      <w:tr>
        <w:trPr>
          <w:trHeight w:val="210"/>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4260.5 %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Live Events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2509.3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w w:val="93"/>
              </w:rPr>
              <w:t>High School Park and Recreation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18.4</w:t>
            </w: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25.3</w:t>
            </w:r>
          </w:p>
        </w:tc>
      </w:tr>
      <w:tr>
        <w:trPr>
          <w:trHeight w:val="23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Contribution margin </w:t>
      </w:r>
      <w:r>
        <w:rPr>
          <w:rFonts w:ascii="Arial" w:cs="Arial" w:eastAsia="Arial" w:hAnsi="Arial"/>
          <w:sz w:val="16"/>
          <w:szCs w:val="16"/>
          <w:color w:val="auto"/>
        </w:rPr>
        <w:t>is a non-GAAP measure and consists of gross profit less selling expenses. Selling expenses consist primarily of personnel-related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Contribution margin for the fiscal quarter ended July 29, 2023 was positively impacted by the previously discussed sales levels and impacts on gross profit.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from non-GAAP contribution margin to the operating income GAAP measure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ind w:left="680"/>
              <w:spacing w:after="0"/>
              <w:rPr>
                <w:sz w:val="20"/>
                <w:szCs w:val="20"/>
                <w:color w:val="auto"/>
              </w:rPr>
            </w:pPr>
            <w:r>
              <w:rPr>
                <w:rFonts w:ascii="Arial" w:cs="Arial" w:eastAsia="Arial" w:hAnsi="Arial"/>
                <w:sz w:val="18"/>
                <w:szCs w:val="18"/>
                <w:b w:val="1"/>
                <w:bCs w:val="1"/>
                <w:color w:val="auto"/>
              </w:rPr>
              <w:t>July 29, 2023</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July 30, 2022</w:t>
            </w:r>
          </w:p>
        </w:tc>
      </w:tr>
      <w:tr>
        <w:trPr>
          <w:trHeight w:val="169"/>
        </w:trPr>
        <w:tc>
          <w:tcPr>
            <w:tcW w:w="25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As a Percent of</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As a Percent of</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Net Sales</w:t>
            </w: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Dollar Change</w:t>
            </w: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Net Sales</w:t>
            </w: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margin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1"/>
              </w:rPr>
              <w:t>6.6 %</w:t>
            </w: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9,441</w:t>
            </w:r>
          </w:p>
        </w:tc>
        <w:tc>
          <w:tcPr>
            <w:tcW w:w="10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rPr>
              <w:t>5.5</w:t>
            </w: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Product design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4.3</w:t>
            </w: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 the first quarter of fiscal 2024 remained relatively flat as compared to the same period one year ago.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design and development expenses in the first quarter of fiscal 2024 increased as compared to the first quarter of fiscal 2023 primarily due to an increase in personnel-related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w w:val="90"/>
              </w:rPr>
              <w:t>Other Income and Expenses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1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July 29, 2023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July 30, 2022</w:t>
            </w:r>
          </w:p>
        </w:tc>
        <w:tc>
          <w:tcPr>
            <w:tcW w:w="0" w:type="dxa"/>
            <w:vAlign w:val="bottom"/>
          </w:tcPr>
          <w:p>
            <w:pPr>
              <w:spacing w:after="0"/>
              <w:rPr>
                <w:sz w:val="1"/>
                <w:szCs w:val="1"/>
                <w:color w:val="auto"/>
              </w:rPr>
            </w:pPr>
          </w:p>
        </w:tc>
      </w:tr>
      <w:tr>
        <w:trPr>
          <w:trHeight w:val="211"/>
        </w:trPr>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As a Percent of Net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0"/>
              </w:rPr>
              <w:t>As a Percent of Net</w:t>
            </w:r>
          </w:p>
        </w:tc>
        <w:tc>
          <w:tcPr>
            <w:tcW w:w="0" w:type="dxa"/>
            <w:vAlign w:val="bottom"/>
          </w:tcPr>
          <w:p>
            <w:pPr>
              <w:spacing w:after="0"/>
              <w:rPr>
                <w:sz w:val="1"/>
                <w:szCs w:val="1"/>
                <w:color w:val="auto"/>
              </w:rPr>
            </w:pPr>
          </w:p>
        </w:tc>
      </w:tr>
      <w:tr>
        <w:trPr>
          <w:trHeight w:val="255"/>
        </w:trPr>
        <w:tc>
          <w:tcPr>
            <w:tcW w:w="1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Change</w:t>
            </w: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Percent Change</w:t>
            </w:r>
          </w:p>
        </w:tc>
        <w:tc>
          <w:tcPr>
            <w:tcW w:w="26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162"/>
        </w:trPr>
        <w:tc>
          <w:tcPr>
            <w:tcW w:w="18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1368.3 %</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w:t>
            </w:r>
          </w:p>
        </w:tc>
        <w:tc>
          <w:tcPr>
            <w:tcW w:w="34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Change in fair value of</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(7,260)</w:t>
            </w:r>
          </w:p>
        </w:tc>
        <w:tc>
          <w:tcPr>
            <w:tcW w:w="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(7,260)</w:t>
            </w:r>
          </w:p>
        </w:tc>
        <w:tc>
          <w:tcPr>
            <w:tcW w:w="100" w:type="dxa"/>
            <w:vAlign w:val="bottom"/>
          </w:tcPr>
          <w:p>
            <w:pPr>
              <w:spacing w:after="0"/>
              <w:rPr>
                <w:sz w:val="15"/>
                <w:szCs w:val="15"/>
                <w:color w:val="auto"/>
              </w:rPr>
            </w:pPr>
          </w:p>
        </w:tc>
        <w:tc>
          <w:tcPr>
            <w:tcW w:w="16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ind w:left="900"/>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1880" w:type="dxa"/>
            <w:vAlign w:val="bottom"/>
          </w:tcPr>
          <w:p>
            <w:pPr>
              <w:ind w:left="20"/>
              <w:spacing w:after="0"/>
              <w:rPr>
                <w:sz w:val="20"/>
                <w:szCs w:val="20"/>
                <w:color w:val="auto"/>
              </w:rPr>
            </w:pPr>
            <w:r>
              <w:rPr>
                <w:rFonts w:ascii="Arial" w:cs="Arial" w:eastAsia="Arial" w:hAnsi="Arial"/>
                <w:sz w:val="18"/>
                <w:szCs w:val="18"/>
                <w:color w:val="auto"/>
              </w:rPr>
              <w:t>convertible note</w:t>
            </w:r>
          </w:p>
        </w:tc>
        <w:tc>
          <w:tcPr>
            <w:tcW w:w="3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Other expense and debt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issuance costs write-off,</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8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432.7 %</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34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income, net</w:t>
      </w:r>
      <w:r>
        <w:rPr>
          <w:rFonts w:ascii="Arial" w:cs="Arial" w:eastAsia="Arial" w:hAnsi="Arial"/>
          <w:sz w:val="18"/>
          <w:szCs w:val="18"/>
          <w:i w:val="1"/>
          <w:iCs w:val="1"/>
          <w:color w:val="auto"/>
        </w:rPr>
        <w:t>:</w:t>
      </w:r>
      <w:r>
        <w:rPr>
          <w:rFonts w:ascii="Arial" w:cs="Arial" w:eastAsia="Arial" w:hAnsi="Arial"/>
          <w:sz w:val="18"/>
          <w:szCs w:val="18"/>
          <w:color w:val="auto"/>
        </w:rPr>
        <w:t xml:space="preserve"> The increase in interest income and expense, net for the first quarter of fiscal 2024 compared to the same period one year ago was primarily due to closing in May 2023 on the convertible debt, asset-based and mortgage financings at higher values and interest rates than the utilization of our previous line of credit during the 2023 first quarter.</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Change in fair value of convertible note: </w:t>
      </w:r>
      <w:r>
        <w:rPr>
          <w:rFonts w:ascii="Arial" w:cs="Arial" w:eastAsia="Arial" w:hAnsi="Arial"/>
          <w:sz w:val="16"/>
          <w:szCs w:val="16"/>
          <w:color w:val="auto"/>
        </w:rPr>
        <w:t>For the three months ended July 29, 2023, we recorded an expense of $7.3 million related to the change in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convertible note payable which is accounted for under the fair value option. The fair value change was primarily caused by the increase in our stock price over the conversion price and decline in market interest rates making the value of potentially converted shares higher than at the debt issuance.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The change in other expense, net for the first quarter of fiscal 2024 as compared to the same period one year ago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losses recorded for equity method affiliates and foreign currency volatility and write-off of $3.4 million debt issuance costs related to convertible debt carried at fair value. .</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for the first quarter of fiscal 2024 was 31.7 percent as compared to an effective tax rate of 15.8 percent for the first quarter of fiscal 2023. The higher tax rate is caused by the fair value adjustment to income that is not taxable. Absent any major tax changes, we expect our full year effective tax rate to be in the mid-twenties, before the impacts of fair value accounting for the convertible debt.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July 29,</w:t>
            </w:r>
          </w:p>
        </w:tc>
        <w:tc>
          <w:tcPr>
            <w:tcW w:w="3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July 30,</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5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(22,815)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42,065</w:t>
            </w:r>
          </w:p>
        </w:tc>
      </w:tr>
      <w:tr>
        <w:trPr>
          <w:trHeight w:val="27"/>
        </w:trPr>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r>
        <w:trPr>
          <w:trHeight w:val="243"/>
        </w:trPr>
        <w:tc>
          <w:tcPr>
            <w:tcW w:w="594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(7,772)</w:t>
            </w:r>
          </w:p>
        </w:tc>
      </w:tr>
      <w:tr>
        <w:trPr>
          <w:trHeight w:val="27"/>
        </w:trPr>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64"/>
        </w:trPr>
        <w:tc>
          <w:tcPr>
            <w:tcW w:w="59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38,639</w:t>
            </w: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provided by (used in) operating activities: </w:t>
      </w:r>
      <w:r>
        <w:rPr>
          <w:rFonts w:ascii="Arial" w:cs="Arial" w:eastAsia="Arial" w:hAnsi="Arial"/>
          <w:sz w:val="18"/>
          <w:szCs w:val="18"/>
          <w:color w:val="auto"/>
        </w:rPr>
        <w:t>Net cash provided by operating activities was $19.3 million for the first three months of fiscal 2024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cash used in operating activities of $22.8 million in the first three months of fiscal 2023. The $42.1 million change in cash provided by (used in) operating activities was primarily the result of 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 in net income of $24.5 million over the year time frame as strategic pricing actions and operating conditions improved. The was also a $7.3 million of non-cash fair value change of our convertible debt. We also had strategically invested in inventory through the first quarter of fiscal 2023 as a reaction to supply chain constraints and historic backlog which consumed cash. Since last year at the end of July, we have reduced inventory and related payables for inventory as we reduced backlog and generated cash from inventory reduction. Increases in accounts receivable and contract assets levels have used some cash for working capital because of business increases.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 changes in net operating assets and liabilities consisted of the following:</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86"/>
        </w:trPr>
        <w:tc>
          <w:tcPr>
            <w:tcW w:w="8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29,</w:t>
            </w:r>
          </w:p>
        </w:tc>
        <w:tc>
          <w:tcPr>
            <w:tcW w:w="28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July 30,</w:t>
            </w:r>
          </w:p>
        </w:tc>
      </w:tr>
      <w:tr>
        <w:trPr>
          <w:trHeight w:val="234"/>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(15,437)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(12,495)</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(23,237)</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3,342</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Investment in affiliates and other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7,212</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Long-term warranty obligations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Long-term marketing obligations and other payables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Net cash used in investing activities totaled $5.7 million in the first three months of fiscal 2024 compared to net cash</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investing activities of $10.4 million in the first three months of fiscal 2023. Purchases of property and equipment totaled $4.5 million in the first three months of fiscal 2024 compared to $10.7 million in the first three months of fiscal 2023. Fiscal 2023 purchases were higher because of initiatives to upgrade or increase manufacturing equipment for capacity and automation. Purchases of equity and loans to affiliates accounted for by the equity investment method totaled $1.2 million in the first three months of fiscal 2024 as compared to $1.1 million in the first three months of fiscal 2023.</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Net cash provided by financing activities was $16.4 million for the three months ended July 29, 2023 due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the closing of a $25.0 million convertible note financing and a $15.0 million mortgage financing offset by the payoff of our previous credit line of $17.8 million and $5.8 million of debt issuance costs as compared to $24.1 million of cash provided from financing due to draws on our line of credit in the first three months of fiscal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cash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$60.0 million asset-based revolving credit facility ("ABL") with a maturity date of May 11, 2027 subject to customary covenants and conditions. As of July 29, 2023, we had no borrowings against the ABL and $1.5 million used to secure letters of credit outstanding. We also have a delayed draw loan of $15.0 million secured by a first priority mortgage on our Brookings, South Dakota real estate and $25.0 million of convertible debt secured by a second priority lien on assets securing the ABL facility and a first priority lien on substantially all the other assets of the Company, excluding all real property.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July 29, 2023, we had $45.8 million in cash and cash equivalents and $47.6 million in borrowing capacity under our ABL. We believe cash flow from operations, existing lines of credit, and access to debt and capital markets will be sufficient to meet our current liquidity needs, and we have committed liquidity and cash reserves in excess of our anticipated funding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 balances consist of high-quality, short-term money market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Working capital was $182.2 million and $132.5 million as of July 29, 2023 and April 29, 2023, respectively. We had $12.5 million of retainage on long-term contracts included in receivables and contract assets as of July 29, 2023, which has an impact on our liquidity. We expect to collect these amounts within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and Capital Uses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are sometimes required to obtain bank guarantees or other financial instruments for display installations, and we utilize a global bank to provide such instruments. If we are unable to complete the installation work, our customer would draw on the banking arrangement, and the bank would subrogate its loss to Daktronics' restricted cash accounts. As of July 29, 2023, we had $0.6 million of such instruments outstanding.</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sometimes required to obtain performance bonds for display installations; we have a bonding line available through surety companies for an aggregate of $190.0 million in bonded work outstanding. If we were unable to complete the installation work, and our customer would call upon the bond for payment, the surety company would subrogate its loss to Daktronics. As of July 29, 2023, we had $40.4 million of bonded work outstanding.</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growth and profitability improvement strategies depend on investments in capital expenditures and strategic investments. We are projecting total capital expenditures to be less than $19 million for all of fiscal 2024.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 </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evaluate and may make strategic investments in new technologies or in our affiliates or acquire companies aligned with our business strategy. We are committed to invest an additional $1.5 million for the remainder of fiscal 2024 in our current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we entered into a new credit facility, mortgage, and convertible debt as disclosed within this report, there have been no other material changes in our contractual obligations since the end of fiscal 2023. See our Annual Report on Form 10-K for the fiscal year ended April 28, 2023 for additional information regarding our contractual obligations and commercial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29, 2023. We discuss our critical accounting estimates in "Part II, Item 7. Management’s Discussion and Analysis of Financial Condition and Results of Operations" in our Annual Report on Form 10-K for the fiscal year ended April 29,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certain interest rate, foreign currency, and commodity risks as disclosed in our Annual Report on Form 10-K for the fiscal year ended April 29, 2023. During the first quarter of fiscal 2024, we entered into the ABL and Delayed Draw Loan which are subject to interest rate risks.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in our exposure to these risks during the first three months of fiscal 2024.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in Rules 13a-15(e) and 15d-15(e) under the Securities Exchange Act of 1934. As of July 29, 2023, an evaluation was performed, under the supervision and with the participation of management, including our Chief Executive Officer and Chief Financial Officer, of the effectiveness of the design and operation of our disclosure controls and procedures. Based upon that evaluation, our Chief Executive Officer and Chief Financial Officer concluded that as of July 29, 2023, our disclosure controls and procedures were not effective due to the material weakness in internal control over financial reporting described below.</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this identified material weakness, our Chief Executive Officer and Chief Financial Officer believe the condensed consolidated financial statements included in this Quarterly Report on Form 10-Q fairly represent, in all material respects, our financial condition, results of operations and cash flows for the periods presented in conformity with accounting principles generally accepted in the United States of America. We are in the process of remediating the material weakness in our internal control, as described below under the section entitled "Remediation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 2, Item 9A of our Annual Report on Form 10-K for the fiscal year ended April 29, 2023, which was filed with the Securities and Exchange Commission on July 12, 2023, management concluded that our internal control over financial reporting was not effective as of April 29, 2023. Management identified a material weakness related to the ineffective operation of certain transactional level controls related to revenue contracts recognized over time. These controls operated ineffectively due to insufficient training of the control operators as to the level of precision expected when executing the revenue controls in accordance with the Company's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remediation plan includes providing training to the revenue control operators relating to the level of precision expected when executing these controls in accordance with the Company's policy. During the first quarter of fiscal 2024, we began additional training of our control operators.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July 29, 2023, there have been no changes in our internal control over financial reporting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8. Commitments and Contingencies" of the Notes to our Condensed Consolidated Financial Statements included in this Form 10-Q for further information on any legal proceedings and claims.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discussion of our business and operations included in this Quarterly Report on Form 10-Q should be read together with the risk factors described in Item 1A. of Part I of our Annual Report on Form 10-K for the fiscal year ended April 29, 2023.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29, 2023, we did not repurchase any shares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as part of this Report is set forth in the following Index to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001-38747 unless otherwise indicated.</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 w:type="dxa"/>
            <w:vAlign w:val="bottom"/>
            <w:tcBorders>
              <w:left w:val="single" w:sz="8" w:color="CCEEFF"/>
              <w:bottom w:val="single" w:sz="8" w:color="CCEEFF"/>
            </w:tcBorders>
            <w:gridSpan w:val="2"/>
            <w:shd w:val="clear" w:color="auto" w:fill="CCEEFF"/>
          </w:tcPr>
          <w:p>
            <w:pPr>
              <w:ind w:left="20"/>
              <w:spacing w:after="0"/>
              <w:rPr>
                <w:rFonts w:ascii="Arial" w:cs="Arial" w:eastAsia="Arial" w:hAnsi="Arial"/>
                <w:sz w:val="18"/>
                <w:szCs w:val="18"/>
                <w:color w:val="0000FF"/>
              </w:rPr>
            </w:pPr>
            <w:hyperlink r:id="rId4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shd w:val="clear" w:color="auto" w:fill="CCEEFF"/>
          </w:tcPr>
          <w:p>
            <w:pPr>
              <w:spacing w:after="0"/>
              <w:rPr>
                <w:sz w:val="21"/>
                <w:szCs w:val="21"/>
                <w:color w:val="auto"/>
              </w:rPr>
            </w:pPr>
          </w:p>
        </w:tc>
        <w:tc>
          <w:tcPr>
            <w:tcW w:w="10120" w:type="dxa"/>
            <w:vAlign w:val="bottom"/>
            <w:tcBorders>
              <w:bottom w:val="single" w:sz="8" w:color="0000FF"/>
            </w:tcBorders>
            <w:gridSpan w:val="42"/>
            <w:shd w:val="clear" w:color="auto" w:fill="CCEEFF"/>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Amended and Restated Articles of Incorporation of the Company. (Incorporated by reference to Exhibit 3.1 of the Quarterly Report on Form</w:t>
              </w:r>
            </w:hyperlink>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136"/>
        </w:trPr>
        <w:tc>
          <w:tcPr>
            <w:tcW w:w="260" w:type="dxa"/>
            <w:vAlign w:val="bottom"/>
            <w:tcBorders>
              <w:top w:val="single" w:sz="8" w:color="0000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10120" w:type="dxa"/>
            <w:vAlign w:val="bottom"/>
            <w:tcBorders>
              <w:top w:val="single" w:sz="8" w:color="CCEEFF"/>
            </w:tcBorders>
            <w:gridSpan w:val="42"/>
            <w:shd w:val="clear" w:color="auto" w:fill="CCEEFF"/>
          </w:tcPr>
          <w:p>
            <w:pPr>
              <w:spacing w:after="0" w:line="136" w:lineRule="exact"/>
              <w:rPr>
                <w:rFonts w:ascii="Arial" w:cs="Arial" w:eastAsia="Arial" w:hAnsi="Arial"/>
                <w:sz w:val="15"/>
                <w:szCs w:val="15"/>
                <w:color w:val="0000FF"/>
              </w:rPr>
            </w:pPr>
            <w:hyperlink r:id="rId45">
              <w:r>
                <w:rPr>
                  <w:rFonts w:ascii="Arial" w:cs="Arial" w:eastAsia="Arial" w:hAnsi="Arial"/>
                  <w:sz w:val="15"/>
                  <w:szCs w:val="15"/>
                  <w:color w:val="0000FF"/>
                </w:rPr>
                <w:t>10-Q/A (Amendment No. 1) of Daktronics, Inc. filed on December 21, 2018).</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580" w:type="dxa"/>
            <w:vAlign w:val="bottom"/>
            <w:tcBorders>
              <w:top w:val="single" w:sz="8" w:color="0000FF"/>
            </w:tcBorders>
            <w:gridSpan w:val="9"/>
            <w:shd w:val="clear" w:color="auto" w:fill="CCEEFF"/>
          </w:tcPr>
          <w:p>
            <w:pPr>
              <w:spacing w:after="0"/>
              <w:rPr>
                <w:sz w:val="2"/>
                <w:szCs w:val="2"/>
                <w:color w:val="auto"/>
              </w:rPr>
            </w:pPr>
          </w:p>
        </w:tc>
        <w:tc>
          <w:tcPr>
            <w:tcW w:w="4840" w:type="dxa"/>
            <w:vAlign w:val="bottom"/>
            <w:tcBorders>
              <w:top w:val="single" w:sz="8" w:color="CCEEFF"/>
            </w:tcBorders>
            <w:gridSpan w:val="48"/>
            <w:shd w:val="clear" w:color="auto" w:fill="CCEEFF"/>
          </w:tcPr>
          <w:p>
            <w:pPr>
              <w:spacing w:after="0"/>
              <w:rPr>
                <w:sz w:val="2"/>
                <w:szCs w:val="2"/>
                <w:color w:val="auto"/>
              </w:rPr>
            </w:pPr>
          </w:p>
        </w:tc>
      </w:tr>
      <w:tr>
        <w:trPr>
          <w:trHeight w:val="202"/>
        </w:trPr>
        <w:tc>
          <w:tcPr>
            <w:tcW w:w="340" w:type="dxa"/>
            <w:vAlign w:val="bottom"/>
            <w:gridSpan w:val="2"/>
          </w:tcPr>
          <w:p>
            <w:pPr>
              <w:ind w:left="20"/>
              <w:spacing w:after="0" w:line="202" w:lineRule="exact"/>
              <w:rPr>
                <w:rFonts w:ascii="Arial" w:cs="Arial" w:eastAsia="Arial" w:hAnsi="Arial"/>
                <w:sz w:val="18"/>
                <w:szCs w:val="18"/>
                <w:color w:val="0000FF"/>
              </w:rPr>
            </w:pPr>
            <w:hyperlink r:id="rId4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20" w:type="dxa"/>
            <w:vAlign w:val="bottom"/>
            <w:gridSpan w:val="57"/>
          </w:tcPr>
          <w:p>
            <w:pPr>
              <w:spacing w:after="0" w:line="202" w:lineRule="exact"/>
              <w:rPr>
                <w:rFonts w:ascii="Arial" w:cs="Arial" w:eastAsia="Arial" w:hAnsi="Arial"/>
                <w:sz w:val="18"/>
                <w:szCs w:val="18"/>
                <w:color w:val="0000EE"/>
                <w:w w:val="96"/>
              </w:rPr>
            </w:pPr>
            <w:hyperlink r:id="rId46">
              <w:r>
                <w:rPr>
                  <w:rFonts w:ascii="Arial" w:cs="Arial" w:eastAsia="Arial" w:hAnsi="Arial"/>
                  <w:sz w:val="18"/>
                  <w:szCs w:val="18"/>
                  <w:color w:val="0000EE"/>
                  <w:w w:val="96"/>
                </w:rPr>
                <w:t>Amended and Restated Bylaws of the Company (Incorporated by reference to Exhibit 3.1 filed with our Current Report on Form 8-K filed</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320" w:type="dxa"/>
            <w:vAlign w:val="bottom"/>
            <w:tcBorders>
              <w:top w:val="single" w:sz="8" w:color="0000EE"/>
            </w:tcBorders>
            <w:gridSpan w:val="52"/>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on January 30,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1540" w:type="dxa"/>
            <w:vAlign w:val="bottom"/>
            <w:tcBorders>
              <w:top w:val="single" w:sz="8" w:color="0000EE"/>
            </w:tcBorders>
            <w:gridSpan w:val="3"/>
          </w:tcPr>
          <w:p>
            <w:pPr>
              <w:spacing w:after="0"/>
              <w:rPr>
                <w:sz w:val="4"/>
                <w:szCs w:val="4"/>
                <w:color w:val="auto"/>
              </w:rPr>
            </w:pPr>
          </w:p>
        </w:tc>
        <w:tc>
          <w:tcPr>
            <w:tcW w:w="8880" w:type="dxa"/>
            <w:vAlign w:val="bottom"/>
            <w:gridSpan w:val="54"/>
          </w:tcPr>
          <w:p>
            <w:pPr>
              <w:spacing w:after="0"/>
              <w:rPr>
                <w:sz w:val="4"/>
                <w:szCs w:val="4"/>
                <w:color w:val="auto"/>
              </w:rPr>
            </w:pPr>
          </w:p>
        </w:tc>
      </w:tr>
      <w:tr>
        <w:trPr>
          <w:trHeight w:val="202"/>
        </w:trPr>
        <w:tc>
          <w:tcPr>
            <w:tcW w:w="340" w:type="dxa"/>
            <w:vAlign w:val="bottom"/>
            <w:tcBorders>
              <w:left w:val="single" w:sz="8" w:color="CCEEFF"/>
            </w:tcBorders>
            <w:gridSpan w:val="2"/>
            <w:shd w:val="clear" w:color="auto" w:fill="CCEEFF"/>
          </w:tcPr>
          <w:p>
            <w:pPr>
              <w:ind w:left="20"/>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4"/>
              </w:rPr>
            </w:pPr>
            <w:hyperlink r:id="rId48">
              <w:r>
                <w:rPr>
                  <w:rFonts w:ascii="Arial" w:cs="Arial" w:eastAsia="Arial" w:hAnsi="Arial"/>
                  <w:sz w:val="18"/>
                  <w:szCs w:val="18"/>
                  <w:color w:val="0000EE"/>
                  <w:w w:val="94"/>
                </w:rPr>
                <w:t>Rights Agreement dated as of November 16, 2018 between Daktronics, Inc. and Equiniti Trust Company, as Rights Agent (Incorporated by</w:t>
              </w:r>
            </w:hyperlink>
          </w:p>
        </w:tc>
      </w:tr>
      <w:tr>
        <w:trPr>
          <w:trHeight w:val="183"/>
        </w:trPr>
        <w:tc>
          <w:tcPr>
            <w:tcW w:w="260" w:type="dxa"/>
            <w:vAlign w:val="bottom"/>
            <w:tcBorders>
              <w:top w:val="single" w:sz="8" w:color="0000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10300" w:type="dxa"/>
            <w:vAlign w:val="bottom"/>
            <w:tcBorders>
              <w:top w:val="single" w:sz="8" w:color="0000EE"/>
            </w:tcBorders>
            <w:gridSpan w:val="51"/>
            <w:shd w:val="clear" w:color="auto" w:fill="CCEEFF"/>
          </w:tcPr>
          <w:p>
            <w:pPr>
              <w:spacing w:after="0" w:line="182" w:lineRule="exact"/>
              <w:rPr>
                <w:rFonts w:ascii="Arial" w:cs="Arial" w:eastAsia="Arial" w:hAnsi="Arial"/>
                <w:sz w:val="18"/>
                <w:szCs w:val="18"/>
                <w:color w:val="0000EE"/>
                <w:w w:val="97"/>
              </w:rPr>
            </w:pPr>
            <w:hyperlink r:id="rId48">
              <w:r>
                <w:rPr>
                  <w:rFonts w:ascii="Arial" w:cs="Arial" w:eastAsia="Arial" w:hAnsi="Arial"/>
                  <w:sz w:val="18"/>
                  <w:szCs w:val="18"/>
                  <w:color w:val="0000EE"/>
                  <w:w w:val="97"/>
                </w:rPr>
                <w:t>reference to Exhibit 4.1 of the Current Report on Form 8-K of Daktronics, Inc. filed on November 16, 2018, Commission File No. 000-</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96"/>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10180" w:type="dxa"/>
            <w:vAlign w:val="bottom"/>
            <w:tcBorders>
              <w:top w:val="single" w:sz="8" w:color="0000EE"/>
            </w:tcBorders>
            <w:gridSpan w:val="45"/>
            <w:shd w:val="clear" w:color="auto" w:fill="CCEEFF"/>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23246).</w:t>
              </w:r>
            </w:hyperlink>
          </w:p>
        </w:tc>
        <w:tc>
          <w:tcPr>
            <w:tcW w:w="240" w:type="dxa"/>
            <w:vAlign w:val="bottom"/>
            <w:tcBorders>
              <w:top w:val="single" w:sz="8" w:color="CCEEFF"/>
            </w:tcBorders>
            <w:gridSpan w:val="12"/>
            <w:shd w:val="clear" w:color="auto" w:fill="CCEEFF"/>
          </w:tcPr>
          <w:p>
            <w:pPr>
              <w:spacing w:after="0"/>
              <w:rPr>
                <w:sz w:val="17"/>
                <w:szCs w:val="17"/>
                <w:color w:val="auto"/>
              </w:rPr>
            </w:pPr>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9880" w:type="dxa"/>
            <w:vAlign w:val="bottom"/>
            <w:tcBorders>
              <w:top w:val="single" w:sz="8" w:color="CCEEFF"/>
            </w:tcBorders>
            <w:gridSpan w:val="56"/>
            <w:shd w:val="clear" w:color="auto" w:fill="CCEEFF"/>
          </w:tcPr>
          <w:p>
            <w:pPr>
              <w:spacing w:after="0"/>
              <w:rPr>
                <w:sz w:val="2"/>
                <w:szCs w:val="2"/>
                <w:color w:val="auto"/>
              </w:rPr>
            </w:pPr>
          </w:p>
        </w:tc>
      </w:tr>
      <w:tr>
        <w:trPr>
          <w:trHeight w:val="202"/>
        </w:trPr>
        <w:tc>
          <w:tcPr>
            <w:tcW w:w="340" w:type="dxa"/>
            <w:vAlign w:val="bottom"/>
            <w:gridSpan w:val="2"/>
          </w:tcPr>
          <w:p>
            <w:pPr>
              <w:ind w:left="20"/>
              <w:spacing w:after="0" w:line="202" w:lineRule="exact"/>
              <w:rPr>
                <w:rFonts w:ascii="Arial" w:cs="Arial" w:eastAsia="Arial" w:hAnsi="Arial"/>
                <w:sz w:val="18"/>
                <w:szCs w:val="18"/>
                <w:color w:val="0000FF"/>
              </w:rPr>
            </w:pPr>
            <w:hyperlink r:id="rId49">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20" w:type="dxa"/>
            <w:vAlign w:val="bottom"/>
            <w:gridSpan w:val="57"/>
          </w:tcPr>
          <w:p>
            <w:pPr>
              <w:spacing w:after="0" w:line="202" w:lineRule="exact"/>
              <w:rPr>
                <w:rFonts w:ascii="Arial" w:cs="Arial" w:eastAsia="Arial" w:hAnsi="Arial"/>
                <w:sz w:val="18"/>
                <w:szCs w:val="18"/>
                <w:color w:val="0000EE"/>
                <w:w w:val="96"/>
              </w:rPr>
            </w:pPr>
            <w:hyperlink r:id="rId50">
              <w:r>
                <w:rPr>
                  <w:rFonts w:ascii="Arial" w:cs="Arial" w:eastAsia="Arial" w:hAnsi="Arial"/>
                  <w:sz w:val="18"/>
                  <w:szCs w:val="18"/>
                  <w:color w:val="0000EE"/>
                  <w:w w:val="96"/>
                </w:rPr>
                <w:t>First Amendment to Rights Agreement dated as of November 19, 2021 between Daktronics, Inc. and Equiniti Trust Company, as Rights</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780" w:type="dxa"/>
            <w:vAlign w:val="bottom"/>
            <w:tcBorders>
              <w:top w:val="single" w:sz="8" w:color="0000EE"/>
            </w:tcBorders>
            <w:gridSpan w:val="31"/>
          </w:tcPr>
          <w:p>
            <w:pPr>
              <w:spacing w:after="0" w:line="182" w:lineRule="exact"/>
              <w:rPr>
                <w:rFonts w:ascii="Arial" w:cs="Arial" w:eastAsia="Arial" w:hAnsi="Arial"/>
                <w:sz w:val="18"/>
                <w:szCs w:val="18"/>
                <w:color w:val="0000EE"/>
                <w:w w:val="93"/>
              </w:rPr>
            </w:pPr>
            <w:hyperlink r:id="rId50">
              <w:r>
                <w:rPr>
                  <w:rFonts w:ascii="Arial" w:cs="Arial" w:eastAsia="Arial" w:hAnsi="Arial"/>
                  <w:sz w:val="18"/>
                  <w:szCs w:val="18"/>
                  <w:color w:val="0000EE"/>
                  <w:w w:val="93"/>
                </w:rPr>
                <w:t>Agent (Incorporated by reference to Exhibit 4.2 of the Current Report on Form 8-K of Daktronics, Inc. filed on November 19, 2021).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560" w:type="dxa"/>
            <w:vAlign w:val="bottom"/>
            <w:tcBorders>
              <w:top w:val="single" w:sz="8" w:color="0000EE"/>
            </w:tcBorders>
            <w:gridSpan w:val="27"/>
          </w:tcPr>
          <w:p>
            <w:pPr>
              <w:spacing w:after="0"/>
              <w:rPr>
                <w:sz w:val="4"/>
                <w:szCs w:val="4"/>
                <w:color w:val="auto"/>
              </w:rPr>
            </w:pPr>
          </w:p>
        </w:tc>
        <w:tc>
          <w:tcPr>
            <w:tcW w:w="860" w:type="dxa"/>
            <w:vAlign w:val="bottom"/>
            <w:gridSpan w:val="30"/>
          </w:tcPr>
          <w:p>
            <w:pPr>
              <w:spacing w:after="0"/>
              <w:rPr>
                <w:sz w:val="4"/>
                <w:szCs w:val="4"/>
                <w:color w:val="auto"/>
              </w:rPr>
            </w:pPr>
          </w:p>
        </w:tc>
      </w:tr>
      <w:tr>
        <w:trPr>
          <w:trHeight w:val="202"/>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4"/>
              </w:rPr>
            </w:pPr>
            <w:hyperlink r:id="rId52">
              <w:r>
                <w:rPr>
                  <w:rFonts w:ascii="Arial" w:cs="Arial" w:eastAsia="Arial" w:hAnsi="Arial"/>
                  <w:sz w:val="18"/>
                  <w:szCs w:val="18"/>
                  <w:color w:val="0000EE"/>
                  <w:w w:val="94"/>
                </w:rPr>
                <w:t>Credit Agreement dated November 15, 2016 by and between the Company and U.S. Bank National Association (Incorporated by reference</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840" w:type="dxa"/>
            <w:vAlign w:val="bottom"/>
            <w:tcBorders>
              <w:top w:val="single" w:sz="8" w:color="0000EE"/>
              <w:bottom w:val="single" w:sz="8" w:color="0000EE"/>
            </w:tcBorders>
            <w:gridSpan w:val="17"/>
            <w:shd w:val="clear" w:color="auto" w:fill="CCEEFF"/>
          </w:tcPr>
          <w:p>
            <w:pPr>
              <w:spacing w:after="0" w:line="182"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to Exhibit 10.1 filed with our Current Report on Form 8-K filed on November 16, 2016, Commission File No. 000-23246).</w:t>
              </w:r>
            </w:hyperlink>
          </w:p>
        </w:tc>
        <w:tc>
          <w:tcPr>
            <w:tcW w:w="1560" w:type="dxa"/>
            <w:vAlign w:val="bottom"/>
            <w:tcBorders>
              <w:top w:val="single" w:sz="8" w:color="0000EE"/>
              <w:bottom w:val="single" w:sz="8" w:color="CCEEFF"/>
            </w:tcBorders>
            <w:gridSpan w:val="39"/>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2"/>
        </w:trPr>
        <w:tc>
          <w:tcPr>
            <w:tcW w:w="440" w:type="dxa"/>
            <w:vAlign w:val="bottom"/>
            <w:gridSpan w:val="3"/>
          </w:tcPr>
          <w:p>
            <w:pPr>
              <w:ind w:left="20"/>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620" w:type="dxa"/>
            <w:vAlign w:val="bottom"/>
          </w:tcPr>
          <w:p>
            <w:pPr>
              <w:spacing w:after="0"/>
              <w:rPr>
                <w:sz w:val="17"/>
                <w:szCs w:val="17"/>
                <w:color w:val="auto"/>
              </w:rPr>
            </w:pPr>
          </w:p>
        </w:tc>
        <w:tc>
          <w:tcPr>
            <w:tcW w:w="10420" w:type="dxa"/>
            <w:vAlign w:val="bottom"/>
            <w:gridSpan w:val="57"/>
          </w:tcPr>
          <w:p>
            <w:pPr>
              <w:spacing w:after="0" w:line="202" w:lineRule="exact"/>
              <w:rPr>
                <w:rFonts w:ascii="Arial" w:cs="Arial" w:eastAsia="Arial" w:hAnsi="Arial"/>
                <w:sz w:val="18"/>
                <w:szCs w:val="18"/>
                <w:color w:val="0000EE"/>
                <w:w w:val="94"/>
              </w:rPr>
            </w:pPr>
            <w:hyperlink r:id="rId54">
              <w:r>
                <w:rPr>
                  <w:rFonts w:ascii="Arial" w:cs="Arial" w:eastAsia="Arial" w:hAnsi="Arial"/>
                  <w:sz w:val="18"/>
                  <w:szCs w:val="18"/>
                  <w:color w:val="0000EE"/>
                  <w:w w:val="94"/>
                </w:rPr>
                <w:t>Revolving Note dated November 15, 2016 issued by the Company to U.S. Bank National Association (Incorporated by reference to Exhibit</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80" w:type="dxa"/>
            <w:vAlign w:val="bottom"/>
            <w:tcBorders>
              <w:top w:val="single" w:sz="8" w:color="0000EE"/>
            </w:tcBorders>
            <w:gridSpan w:val="50"/>
          </w:tcPr>
          <w:p>
            <w:pPr>
              <w:spacing w:after="0" w:line="182" w:lineRule="exact"/>
              <w:rPr>
                <w:rFonts w:ascii="Arial" w:cs="Arial" w:eastAsia="Arial" w:hAnsi="Arial"/>
                <w:sz w:val="18"/>
                <w:szCs w:val="18"/>
                <w:color w:val="0000EE"/>
              </w:rPr>
            </w:pPr>
            <w:hyperlink r:id="rId54">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filed with our Current Report on Form 8-K filed on November 16, 2016, Commission File No. 000-23246).</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8080" w:type="dxa"/>
            <w:vAlign w:val="bottom"/>
            <w:tcBorders>
              <w:top w:val="single" w:sz="8" w:color="0000EE"/>
            </w:tcBorders>
            <w:gridSpan w:val="13"/>
          </w:tcPr>
          <w:p>
            <w:pPr>
              <w:spacing w:after="0"/>
              <w:rPr>
                <w:sz w:val="4"/>
                <w:szCs w:val="4"/>
                <w:color w:val="auto"/>
              </w:rPr>
            </w:pPr>
          </w:p>
        </w:tc>
        <w:tc>
          <w:tcPr>
            <w:tcW w:w="2340" w:type="dxa"/>
            <w:vAlign w:val="bottom"/>
            <w:gridSpan w:val="44"/>
          </w:tcPr>
          <w:p>
            <w:pPr>
              <w:spacing w:after="0"/>
              <w:rPr>
                <w:sz w:val="4"/>
                <w:szCs w:val="4"/>
                <w:color w:val="auto"/>
              </w:rPr>
            </w:pPr>
          </w:p>
        </w:tc>
      </w:tr>
      <w:tr>
        <w:trPr>
          <w:trHeight w:val="202"/>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Second Amendment to Credit Agreement dated as of November 15, 2019 by and between the Company and U.S. Bank National Association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CEEFF"/>
          </w:tcPr>
          <w:p>
            <w:pPr>
              <w:spacing w:after="0" w:line="182"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(Incorporated by reference to Exhibit 10.1 filed with our Current Report on Form 8-K filed on November 15, 2019).</w:t>
              </w:r>
            </w:hyperlink>
          </w:p>
        </w:tc>
        <w:tc>
          <w:tcPr>
            <w:tcW w:w="2040" w:type="dxa"/>
            <w:vAlign w:val="bottom"/>
            <w:tcBorders>
              <w:top w:val="single" w:sz="8" w:color="0000EE"/>
              <w:bottom w:val="single" w:sz="8" w:color="CCEEFF"/>
            </w:tcBorders>
            <w:gridSpan w:val="39"/>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2"/>
        </w:trPr>
        <w:tc>
          <w:tcPr>
            <w:tcW w:w="440" w:type="dxa"/>
            <w:vAlign w:val="bottom"/>
            <w:gridSpan w:val="3"/>
          </w:tcPr>
          <w:p>
            <w:pPr>
              <w:ind w:left="20"/>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620" w:type="dxa"/>
            <w:vAlign w:val="bottom"/>
          </w:tcPr>
          <w:p>
            <w:pPr>
              <w:spacing w:after="0"/>
              <w:rPr>
                <w:sz w:val="17"/>
                <w:szCs w:val="17"/>
                <w:color w:val="auto"/>
              </w:rPr>
            </w:pPr>
          </w:p>
        </w:tc>
        <w:tc>
          <w:tcPr>
            <w:tcW w:w="10420" w:type="dxa"/>
            <w:vAlign w:val="bottom"/>
            <w:gridSpan w:val="57"/>
          </w:tcPr>
          <w:p>
            <w:pPr>
              <w:spacing w:after="0" w:line="202" w:lineRule="exact"/>
              <w:rPr>
                <w:rFonts w:ascii="Arial" w:cs="Arial" w:eastAsia="Arial" w:hAnsi="Arial"/>
                <w:sz w:val="18"/>
                <w:szCs w:val="18"/>
                <w:color w:val="0000EE"/>
                <w:w w:val="96"/>
              </w:rPr>
            </w:pPr>
            <w:hyperlink r:id="rId58">
              <w:r>
                <w:rPr>
                  <w:rFonts w:ascii="Arial" w:cs="Arial" w:eastAsia="Arial" w:hAnsi="Arial"/>
                  <w:sz w:val="18"/>
                  <w:szCs w:val="18"/>
                  <w:color w:val="0000EE"/>
                  <w:w w:val="96"/>
                </w:rPr>
                <w:t>Third Amendment to Credit Agreement dated as of August 28, 2020 by and between the Company and U.S. Bank National Association</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60" w:type="dxa"/>
            <w:vAlign w:val="bottom"/>
            <w:tcBorders>
              <w:top w:val="single" w:sz="8" w:color="0000EE"/>
            </w:tcBorders>
            <w:gridSpan w:val="49"/>
          </w:tcPr>
          <w:p>
            <w:pPr>
              <w:spacing w:after="0" w:line="182" w:lineRule="exact"/>
              <w:rPr>
                <w:rFonts w:ascii="Arial" w:cs="Arial" w:eastAsia="Arial" w:hAnsi="Arial"/>
                <w:sz w:val="18"/>
                <w:szCs w:val="18"/>
                <w:color w:val="0000EE"/>
                <w:w w:val="98"/>
              </w:rPr>
            </w:pPr>
            <w:hyperlink r:id="rId58">
              <w:r>
                <w:rPr>
                  <w:rFonts w:ascii="Arial" w:cs="Arial" w:eastAsia="Arial" w:hAnsi="Arial"/>
                  <w:sz w:val="18"/>
                  <w:szCs w:val="18"/>
                  <w:color w:val="0000EE"/>
                  <w:w w:val="98"/>
                </w:rPr>
                <w:t>(Incorporated by reference to Exhibit 10.4 filed with our Current Report on Form 10-Q of Daktronics, Inc. filed on August 28, 2020).</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580" w:type="dxa"/>
            <w:vAlign w:val="bottom"/>
            <w:tcBorders>
              <w:top w:val="single" w:sz="8" w:color="0000EE"/>
            </w:tcBorders>
            <w:gridSpan w:val="28"/>
          </w:tcPr>
          <w:p>
            <w:pPr>
              <w:spacing w:after="0"/>
              <w:rPr>
                <w:sz w:val="4"/>
                <w:szCs w:val="4"/>
                <w:color w:val="auto"/>
              </w:rPr>
            </w:pPr>
          </w:p>
        </w:tc>
        <w:tc>
          <w:tcPr>
            <w:tcW w:w="840" w:type="dxa"/>
            <w:vAlign w:val="bottom"/>
            <w:gridSpan w:val="29"/>
          </w:tcPr>
          <w:p>
            <w:pPr>
              <w:spacing w:after="0"/>
              <w:rPr>
                <w:sz w:val="4"/>
                <w:szCs w:val="4"/>
                <w:color w:val="auto"/>
              </w:rPr>
            </w:pPr>
          </w:p>
        </w:tc>
      </w:tr>
      <w:tr>
        <w:trPr>
          <w:trHeight w:val="202"/>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6"/>
              </w:rPr>
            </w:pPr>
            <w:hyperlink r:id="rId60">
              <w:r>
                <w:rPr>
                  <w:rFonts w:ascii="Arial" w:cs="Arial" w:eastAsia="Arial" w:hAnsi="Arial"/>
                  <w:sz w:val="18"/>
                  <w:szCs w:val="18"/>
                  <w:color w:val="0000EE"/>
                  <w:w w:val="96"/>
                </w:rPr>
                <w:t>Fourth Amendment to Credit Agreement dated as of March 11, 2021 by and between the Company and U.S. Bank National Association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7600" w:type="dxa"/>
            <w:vAlign w:val="bottom"/>
            <w:tcBorders>
              <w:top w:val="single" w:sz="8" w:color="0000EE"/>
              <w:bottom w:val="single" w:sz="8" w:color="0000EE"/>
            </w:tcBorders>
            <w:gridSpan w:val="10"/>
            <w:shd w:val="clear" w:color="auto" w:fill="CCEEFF"/>
          </w:tcPr>
          <w:p>
            <w:pPr>
              <w:spacing w:after="0" w:line="182"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(Incorporated by reference to Exhibit 10.5 filed with our Annual Report on Form 10-K on June 11, 2021).</w:t>
              </w:r>
            </w:hyperlink>
          </w:p>
        </w:tc>
        <w:tc>
          <w:tcPr>
            <w:tcW w:w="2160" w:type="dxa"/>
            <w:vAlign w:val="bottom"/>
            <w:tcBorders>
              <w:top w:val="single" w:sz="8" w:color="0000EE"/>
              <w:bottom w:val="single" w:sz="8" w:color="CCEEFF"/>
            </w:tcBorders>
            <w:gridSpan w:val="20"/>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620" w:type="dxa"/>
            <w:vAlign w:val="bottom"/>
          </w:tcPr>
          <w:p>
            <w:pPr>
              <w:spacing w:after="0"/>
              <w:rPr>
                <w:sz w:val="17"/>
                <w:szCs w:val="17"/>
                <w:color w:val="auto"/>
              </w:rPr>
            </w:pPr>
          </w:p>
        </w:tc>
        <w:tc>
          <w:tcPr>
            <w:tcW w:w="10420" w:type="dxa"/>
            <w:vAlign w:val="bottom"/>
            <w:gridSpan w:val="57"/>
          </w:tcPr>
          <w:p>
            <w:pPr>
              <w:spacing w:after="0" w:line="202" w:lineRule="exact"/>
              <w:rPr>
                <w:rFonts w:ascii="Arial" w:cs="Arial" w:eastAsia="Arial" w:hAnsi="Arial"/>
                <w:sz w:val="18"/>
                <w:szCs w:val="18"/>
                <w:color w:val="0000EE"/>
                <w:w w:val="99"/>
              </w:rPr>
            </w:pPr>
            <w:hyperlink r:id="rId61">
              <w:r>
                <w:rPr>
                  <w:rFonts w:ascii="Arial" w:cs="Arial" w:eastAsia="Arial" w:hAnsi="Arial"/>
                  <w:sz w:val="18"/>
                  <w:szCs w:val="18"/>
                  <w:color w:val="0000EE"/>
                  <w:w w:val="99"/>
                </w:rPr>
                <w:t>Fifth Amendment to Credit Agreement dated as of April 29, 2022 by and between the Company and U.S. Bank National Association</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5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61">
              <w:r>
                <w:rPr>
                  <w:rFonts w:ascii="Arial" w:cs="Arial" w:eastAsia="Arial" w:hAnsi="Arial"/>
                  <w:sz w:val="18"/>
                  <w:szCs w:val="18"/>
                  <w:color w:val="0000EE"/>
                </w:rPr>
                <w:t>(Incorporated by reference to Exhibit 10.1 filed with our Current Report on Form 8-K filed on April 29, 2022).</w:t>
              </w:r>
            </w:hyperlink>
          </w:p>
        </w:tc>
        <w:tc>
          <w:tcPr>
            <w:tcW w:w="18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7960" w:type="dxa"/>
            <w:vAlign w:val="bottom"/>
            <w:tcBorders>
              <w:top w:val="single" w:sz="8" w:color="0000EE"/>
            </w:tcBorders>
            <w:gridSpan w:val="11"/>
          </w:tcPr>
          <w:p>
            <w:pPr>
              <w:spacing w:after="0"/>
              <w:rPr>
                <w:sz w:val="4"/>
                <w:szCs w:val="4"/>
                <w:color w:val="auto"/>
              </w:rPr>
            </w:pPr>
          </w:p>
        </w:tc>
        <w:tc>
          <w:tcPr>
            <w:tcW w:w="2460" w:type="dxa"/>
            <w:vAlign w:val="bottom"/>
            <w:gridSpan w:val="46"/>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5"/>
              </w:rPr>
            </w:pPr>
            <w:hyperlink r:id="rId62">
              <w:r>
                <w:rPr>
                  <w:rFonts w:ascii="Arial" w:cs="Arial" w:eastAsia="Arial" w:hAnsi="Arial"/>
                  <w:sz w:val="18"/>
                  <w:szCs w:val="18"/>
                  <w:color w:val="0000EE"/>
                  <w:w w:val="95"/>
                </w:rPr>
                <w:t>Amendment to Credit Agreement and Revolving Note dated as of August 16, 2022 by and between the Company and U.S. Bank National</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9000" w:type="dxa"/>
            <w:vAlign w:val="bottom"/>
            <w:tcBorders>
              <w:top w:val="single" w:sz="8" w:color="0000EE"/>
              <w:bottom w:val="single" w:sz="8" w:color="0000EE"/>
            </w:tcBorders>
            <w:gridSpan w:val="18"/>
            <w:shd w:val="clear" w:color="auto" w:fill="CCEEFF"/>
          </w:tcPr>
          <w:p>
            <w:pPr>
              <w:spacing w:after="0" w:line="182"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Association (Incorporated by reference to Exhibit 10.1 filed with our Current Report on Form 8-K filed on August 18, 2022).</w:t>
              </w:r>
            </w:hyperlink>
          </w:p>
        </w:tc>
        <w:tc>
          <w:tcPr>
            <w:tcW w:w="900" w:type="dxa"/>
            <w:vAlign w:val="bottom"/>
            <w:tcBorders>
              <w:top w:val="single" w:sz="8" w:color="0000EE"/>
              <w:bottom w:val="single" w:sz="8" w:color="CCEEFF"/>
            </w:tcBorders>
            <w:gridSpan w:val="17"/>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440" w:type="dxa"/>
            <w:vAlign w:val="bottom"/>
            <w:gridSpan w:val="3"/>
          </w:tcPr>
          <w:p>
            <w:pPr>
              <w:ind w:left="20"/>
              <w:spacing w:after="0" w:line="202" w:lineRule="exact"/>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620" w:type="dxa"/>
            <w:vAlign w:val="bottom"/>
          </w:tcPr>
          <w:p>
            <w:pPr>
              <w:spacing w:after="0"/>
              <w:rPr>
                <w:sz w:val="17"/>
                <w:szCs w:val="17"/>
                <w:color w:val="auto"/>
              </w:rPr>
            </w:pPr>
          </w:p>
        </w:tc>
        <w:tc>
          <w:tcPr>
            <w:tcW w:w="10420" w:type="dxa"/>
            <w:vAlign w:val="bottom"/>
            <w:gridSpan w:val="57"/>
          </w:tcPr>
          <w:p>
            <w:pPr>
              <w:spacing w:after="0" w:line="202"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Amendment to Credit Agreement and Revolving Note dated as of October 31, 2022 by and between the Company and U.S. Bank National</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96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r:id="rId63">
              <w:r>
                <w:rPr>
                  <w:rFonts w:ascii="Arial" w:cs="Arial" w:eastAsia="Arial" w:hAnsi="Arial"/>
                  <w:sz w:val="18"/>
                  <w:szCs w:val="18"/>
                  <w:color w:val="0000EE"/>
                </w:rPr>
                <w:t>Association (Incorporated by reference to Exhibit 10.1 filed with our Current Report on Form 8-K filed on November 1,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140" w:type="dxa"/>
            <w:vAlign w:val="bottom"/>
            <w:tcBorders>
              <w:top w:val="single" w:sz="8" w:color="0000EE"/>
            </w:tcBorders>
            <w:gridSpan w:val="19"/>
          </w:tcPr>
          <w:p>
            <w:pPr>
              <w:spacing w:after="0"/>
              <w:rPr>
                <w:sz w:val="4"/>
                <w:szCs w:val="4"/>
                <w:color w:val="auto"/>
              </w:rPr>
            </w:pPr>
          </w:p>
        </w:tc>
        <w:tc>
          <w:tcPr>
            <w:tcW w:w="1280" w:type="dxa"/>
            <w:vAlign w:val="bottom"/>
            <w:gridSpan w:val="38"/>
          </w:tcPr>
          <w:p>
            <w:pPr>
              <w:spacing w:after="0"/>
              <w:rPr>
                <w:sz w:val="4"/>
                <w:szCs w:val="4"/>
                <w:color w:val="auto"/>
              </w:rPr>
            </w:pPr>
          </w:p>
        </w:tc>
      </w:tr>
      <w:tr>
        <w:trPr>
          <w:trHeight w:val="202"/>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5"/>
              </w:rPr>
            </w:pPr>
            <w:hyperlink r:id="rId64">
              <w:r>
                <w:rPr>
                  <w:rFonts w:ascii="Arial" w:cs="Arial" w:eastAsia="Arial" w:hAnsi="Arial"/>
                  <w:sz w:val="18"/>
                  <w:szCs w:val="18"/>
                  <w:color w:val="0000EE"/>
                  <w:w w:val="95"/>
                </w:rPr>
                <w:t>Sixth Amendment to Credit Agreement dated as of December 9, 2022 by and between the Company and U.S. Bank National Association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320" w:type="dxa"/>
            <w:vAlign w:val="bottom"/>
            <w:tcBorders>
              <w:top w:val="single" w:sz="8" w:color="0000EE"/>
              <w:bottom w:val="single" w:sz="8" w:color="0000EE"/>
            </w:tcBorders>
            <w:gridSpan w:val="15"/>
            <w:shd w:val="clear" w:color="auto" w:fill="CCEEFF"/>
          </w:tcPr>
          <w:p>
            <w:pPr>
              <w:spacing w:after="0" w:line="182"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(Incorporated by reference to Exhibit 10.1 filed with our Current Report on Form 8-K filed on December 13, 2022).</w:t>
              </w:r>
            </w:hyperlink>
          </w:p>
        </w:tc>
        <w:tc>
          <w:tcPr>
            <w:tcW w:w="1520" w:type="dxa"/>
            <w:vAlign w:val="bottom"/>
            <w:tcBorders>
              <w:top w:val="single" w:sz="8" w:color="0000EE"/>
              <w:bottom w:val="single" w:sz="8" w:color="CCEEFF"/>
            </w:tcBorders>
            <w:gridSpan w:val="18"/>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2"/>
        </w:trPr>
        <w:tc>
          <w:tcPr>
            <w:tcW w:w="1060" w:type="dxa"/>
            <w:vAlign w:val="bottom"/>
            <w:gridSpan w:val="4"/>
          </w:tcPr>
          <w:p>
            <w:pPr>
              <w:ind w:left="20"/>
              <w:spacing w:after="0" w:line="202" w:lineRule="exact"/>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420" w:type="dxa"/>
            <w:vAlign w:val="bottom"/>
            <w:gridSpan w:val="57"/>
          </w:tcPr>
          <w:p>
            <w:pPr>
              <w:spacing w:after="0" w:line="202"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Seventh Amendment to Credit Agreement dated as of January 23, 2023 by and between the Company and U.S. Bank National Association</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998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(Incorporated by reference to Exhibit 10.1 filed with our Current Report on Form 8-K filed on January 25,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8140" w:type="dxa"/>
            <w:vAlign w:val="bottom"/>
            <w:tcBorders>
              <w:top w:val="single" w:sz="8" w:color="0000EE"/>
            </w:tcBorders>
            <w:gridSpan w:val="14"/>
          </w:tcPr>
          <w:p>
            <w:pPr>
              <w:spacing w:after="0"/>
              <w:rPr>
                <w:sz w:val="4"/>
                <w:szCs w:val="4"/>
                <w:color w:val="auto"/>
              </w:rPr>
            </w:pPr>
          </w:p>
        </w:tc>
        <w:tc>
          <w:tcPr>
            <w:tcW w:w="2280" w:type="dxa"/>
            <w:vAlign w:val="bottom"/>
            <w:gridSpan w:val="43"/>
          </w:tcPr>
          <w:p>
            <w:pPr>
              <w:spacing w:after="0"/>
              <w:rPr>
                <w:sz w:val="4"/>
                <w:szCs w:val="4"/>
                <w:color w:val="auto"/>
              </w:rPr>
            </w:pPr>
          </w:p>
        </w:tc>
      </w:tr>
      <w:tr>
        <w:trPr>
          <w:trHeight w:val="202"/>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Arial" w:cs="Arial" w:eastAsia="Arial" w:hAnsi="Arial"/>
                <w:sz w:val="18"/>
                <w:szCs w:val="18"/>
                <w:color w:val="0000FF"/>
                <w:w w:val="84"/>
              </w:rPr>
            </w:pPr>
            <w:hyperlink r:id="rId6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8"/>
              </w:rPr>
            </w:pPr>
            <w:hyperlink r:id="rId67">
              <w:r>
                <w:rPr>
                  <w:rFonts w:ascii="Arial" w:cs="Arial" w:eastAsia="Arial" w:hAnsi="Arial"/>
                  <w:sz w:val="18"/>
                  <w:szCs w:val="18"/>
                  <w:color w:val="0000EE"/>
                  <w:w w:val="98"/>
                </w:rPr>
                <w:t>Security Agreement dated as of August 28, 2020 by and between the Company and U.S. Bank National Association (Incorporated by</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CEEFF"/>
          </w:tcPr>
          <w:p>
            <w:pPr>
              <w:spacing w:after="0" w:line="182"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reference to Exhibit 10.5 filed with our Current Report on Form 10-Q of Daktronics, Inc. filed on August 28, 2020).</w:t>
              </w:r>
            </w:hyperlink>
          </w:p>
        </w:tc>
        <w:tc>
          <w:tcPr>
            <w:tcW w:w="1840" w:type="dxa"/>
            <w:vAlign w:val="bottom"/>
            <w:tcBorders>
              <w:top w:val="single" w:sz="8" w:color="0000EE"/>
              <w:bottom w:val="single" w:sz="8" w:color="CCEEFF"/>
            </w:tcBorders>
            <w:gridSpan w:val="29"/>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2"/>
        </w:trPr>
        <w:tc>
          <w:tcPr>
            <w:tcW w:w="1060" w:type="dxa"/>
            <w:vAlign w:val="bottom"/>
            <w:gridSpan w:val="4"/>
          </w:tcPr>
          <w:p>
            <w:pPr>
              <w:ind w:left="20"/>
              <w:spacing w:after="0" w:line="202" w:lineRule="exact"/>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420" w:type="dxa"/>
            <w:vAlign w:val="bottom"/>
            <w:gridSpan w:val="57"/>
          </w:tcPr>
          <w:p>
            <w:pPr>
              <w:spacing w:after="0" w:line="202" w:lineRule="exact"/>
              <w:rPr>
                <w:rFonts w:ascii="Arial" w:cs="Arial" w:eastAsia="Arial" w:hAnsi="Arial"/>
                <w:sz w:val="18"/>
                <w:szCs w:val="18"/>
                <w:color w:val="0000EE"/>
              </w:rPr>
            </w:pPr>
            <w:hyperlink r:id="rId69">
              <w:r>
                <w:rPr>
                  <w:rFonts w:ascii="Arial" w:cs="Arial" w:eastAsia="Arial" w:hAnsi="Arial"/>
                  <w:sz w:val="18"/>
                  <w:szCs w:val="18"/>
                  <w:color w:val="0000EE"/>
                </w:rPr>
                <w:t>Daktronics, Inc. 2020 Stock Incentive Plan ("2020 Plan") (Incorporated by reference to Exhibit A to the Company's Definitive Proxy</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340" w:type="dxa"/>
            <w:vAlign w:val="bottom"/>
            <w:tcBorders>
              <w:top w:val="single" w:sz="8" w:color="0000EE"/>
            </w:tcBorders>
            <w:gridSpan w:val="53"/>
          </w:tcPr>
          <w:p>
            <w:pPr>
              <w:spacing w:after="0" w:line="182" w:lineRule="exact"/>
              <w:rPr>
                <w:rFonts w:ascii="Arial" w:cs="Arial" w:eastAsia="Arial" w:hAnsi="Arial"/>
                <w:sz w:val="18"/>
                <w:szCs w:val="18"/>
                <w:color w:val="0000EE"/>
              </w:rPr>
            </w:pPr>
            <w:hyperlink r:id="rId69">
              <w:r>
                <w:rPr>
                  <w:rFonts w:ascii="Arial" w:cs="Arial" w:eastAsia="Arial" w:hAnsi="Arial"/>
                  <w:sz w:val="18"/>
                  <w:szCs w:val="18"/>
                  <w:color w:val="0000EE"/>
                </w:rPr>
                <w:t>Statement on Schedule 14A filed on July 16, 2020).*</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3800" w:type="dxa"/>
            <w:vAlign w:val="bottom"/>
            <w:tcBorders>
              <w:top w:val="single" w:sz="8" w:color="0000EE"/>
            </w:tcBorders>
            <w:gridSpan w:val="6"/>
          </w:tcPr>
          <w:p>
            <w:pPr>
              <w:spacing w:after="0"/>
              <w:rPr>
                <w:sz w:val="4"/>
                <w:szCs w:val="4"/>
                <w:color w:val="auto"/>
              </w:rPr>
            </w:pPr>
          </w:p>
        </w:tc>
        <w:tc>
          <w:tcPr>
            <w:tcW w:w="6620" w:type="dxa"/>
            <w:vAlign w:val="bottom"/>
            <w:gridSpan w:val="51"/>
          </w:tcPr>
          <w:p>
            <w:pPr>
              <w:spacing w:after="0"/>
              <w:rPr>
                <w:sz w:val="4"/>
                <w:szCs w:val="4"/>
                <w:color w:val="auto"/>
              </w:rPr>
            </w:pPr>
          </w:p>
        </w:tc>
      </w:tr>
      <w:tr>
        <w:trPr>
          <w:trHeight w:val="202"/>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Arial" w:cs="Arial" w:eastAsia="Arial" w:hAnsi="Arial"/>
                <w:sz w:val="18"/>
                <w:szCs w:val="18"/>
                <w:color w:val="0000FF"/>
              </w:rPr>
            </w:pPr>
            <w:hyperlink r:id="rId70">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4"/>
              </w:rPr>
            </w:pPr>
            <w:hyperlink r:id="rId71">
              <w:r>
                <w:rPr>
                  <w:rFonts w:ascii="Arial" w:cs="Arial" w:eastAsia="Arial" w:hAnsi="Arial"/>
                  <w:sz w:val="18"/>
                  <w:szCs w:val="18"/>
                  <w:color w:val="0000EE"/>
                  <w:w w:val="94"/>
                </w:rPr>
                <w:t>Form of Restricted Stock Award Agreement under the 2020 Plan (Incorporated by reference to Exhibit 10.2 filed with our Current Report on</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520" w:type="dxa"/>
            <w:vAlign w:val="bottom"/>
            <w:tcBorders>
              <w:top w:val="single" w:sz="8" w:color="0000EE"/>
              <w:bottom w:val="single" w:sz="8" w:color="0000EE"/>
            </w:tcBorders>
            <w:gridSpan w:val="4"/>
            <w:shd w:val="clear" w:color="auto" w:fill="CCEEFF"/>
          </w:tcPr>
          <w:p>
            <w:pPr>
              <w:spacing w:after="0" w:line="182"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Form 8-K on September 3, 2020).*</w:t>
              </w:r>
            </w:hyperlink>
          </w:p>
        </w:tc>
        <w:tc>
          <w:tcPr>
            <w:tcW w:w="7820" w:type="dxa"/>
            <w:vAlign w:val="bottom"/>
            <w:tcBorders>
              <w:top w:val="single" w:sz="8" w:color="0000EE"/>
              <w:bottom w:val="single" w:sz="8" w:color="CCEEFF"/>
            </w:tcBorders>
            <w:gridSpan w:val="49"/>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203"/>
        </w:trPr>
        <w:tc>
          <w:tcPr>
            <w:tcW w:w="1060" w:type="dxa"/>
            <w:vAlign w:val="bottom"/>
            <w:gridSpan w:val="4"/>
          </w:tcPr>
          <w:p>
            <w:pPr>
              <w:ind w:left="20"/>
              <w:spacing w:after="0" w:line="202" w:lineRule="exact"/>
              <w:rPr>
                <w:rFonts w:ascii="Arial" w:cs="Arial" w:eastAsia="Arial" w:hAnsi="Arial"/>
                <w:sz w:val="18"/>
                <w:szCs w:val="18"/>
                <w:color w:val="0000FF"/>
              </w:rPr>
            </w:pPr>
            <w:hyperlink r:id="rId72">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420" w:type="dxa"/>
            <w:vAlign w:val="bottom"/>
            <w:gridSpan w:val="57"/>
          </w:tcPr>
          <w:p>
            <w:pPr>
              <w:spacing w:after="0" w:line="202" w:lineRule="exact"/>
              <w:rPr>
                <w:rFonts w:ascii="Arial" w:cs="Arial" w:eastAsia="Arial" w:hAnsi="Arial"/>
                <w:sz w:val="18"/>
                <w:szCs w:val="18"/>
                <w:color w:val="0000EE"/>
                <w:w w:val="94"/>
              </w:rPr>
            </w:pPr>
            <w:hyperlink r:id="rId73">
              <w:r>
                <w:rPr>
                  <w:rFonts w:ascii="Arial" w:cs="Arial" w:eastAsia="Arial" w:hAnsi="Arial"/>
                  <w:sz w:val="18"/>
                  <w:szCs w:val="18"/>
                  <w:color w:val="0000EE"/>
                  <w:w w:val="94"/>
                </w:rPr>
                <w:t>Form of Non-Qualified Stock Option Agreement Terms and Conditions under the 2020 Plan (Incorporated by reference to Exhibit 10.3 filed</w:t>
              </w:r>
            </w:hyperlink>
          </w:p>
        </w:tc>
      </w:tr>
      <w:tr>
        <w:trPr>
          <w:trHeight w:val="183"/>
        </w:trPr>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360" w:type="dxa"/>
            <w:vAlign w:val="bottom"/>
            <w:tcBorders>
              <w:top w:val="single" w:sz="8" w:color="0000EE"/>
            </w:tcBorders>
            <w:gridSpan w:val="54"/>
          </w:tcPr>
          <w:p>
            <w:pPr>
              <w:spacing w:after="0" w:line="182" w:lineRule="exact"/>
              <w:rPr>
                <w:rFonts w:ascii="Arial" w:cs="Arial" w:eastAsia="Arial" w:hAnsi="Arial"/>
                <w:sz w:val="18"/>
                <w:szCs w:val="18"/>
                <w:color w:val="0000EE"/>
              </w:rPr>
            </w:pPr>
            <w:hyperlink r:id="rId73">
              <w:r>
                <w:rPr>
                  <w:rFonts w:ascii="Arial" w:cs="Arial" w:eastAsia="Arial" w:hAnsi="Arial"/>
                  <w:sz w:val="18"/>
                  <w:szCs w:val="18"/>
                  <w:color w:val="0000EE"/>
                </w:rPr>
                <w:t>with our Current Report on Form 8-K on September 3, 2020).*</w:t>
              </w:r>
            </w:hyperlink>
          </w:p>
        </w:tc>
        <w:tc>
          <w:tcPr>
            <w:tcW w:w="60" w:type="dxa"/>
            <w:vAlign w:val="bottom"/>
            <w:gridSpan w:val="3"/>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4520" w:type="dxa"/>
            <w:vAlign w:val="bottom"/>
            <w:tcBorders>
              <w:top w:val="single" w:sz="8" w:color="0000EE"/>
            </w:tcBorders>
            <w:gridSpan w:val="7"/>
          </w:tcPr>
          <w:p>
            <w:pPr>
              <w:spacing w:after="0"/>
              <w:rPr>
                <w:sz w:val="4"/>
                <w:szCs w:val="4"/>
                <w:color w:val="auto"/>
              </w:rPr>
            </w:pPr>
          </w:p>
        </w:tc>
        <w:tc>
          <w:tcPr>
            <w:tcW w:w="5900" w:type="dxa"/>
            <w:vAlign w:val="bottom"/>
            <w:gridSpan w:val="50"/>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4"/>
              </w:rPr>
            </w:pPr>
            <w:hyperlink r:id="rId75">
              <w:r>
                <w:rPr>
                  <w:rFonts w:ascii="Arial" w:cs="Arial" w:eastAsia="Arial" w:hAnsi="Arial"/>
                  <w:sz w:val="18"/>
                  <w:szCs w:val="18"/>
                  <w:color w:val="0000EE"/>
                  <w:w w:val="94"/>
                </w:rPr>
                <w:t>Form of Incentive Stock Option Terms and Conditions under the 2020 Plan (Incorporated by reference to Exhibit 10.4 filed with our Current</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3280" w:type="dxa"/>
            <w:vAlign w:val="bottom"/>
            <w:tcBorders>
              <w:top w:val="single" w:sz="8" w:color="0000EE"/>
              <w:bottom w:val="single" w:sz="8" w:color="0000EE"/>
            </w:tcBorders>
            <w:gridSpan w:val="5"/>
            <w:shd w:val="clear" w:color="auto" w:fill="CCEEFF"/>
          </w:tcPr>
          <w:p>
            <w:pPr>
              <w:spacing w:after="0" w:line="182"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Report on Form 8-K on September 3, 2020).*</w:t>
              </w:r>
            </w:hyperlink>
          </w:p>
        </w:tc>
        <w:tc>
          <w:tcPr>
            <w:tcW w:w="6920" w:type="dxa"/>
            <w:vAlign w:val="bottom"/>
            <w:tcBorders>
              <w:top w:val="single" w:sz="8" w:color="0000EE"/>
              <w:bottom w:val="single" w:sz="8" w:color="CCEEFF"/>
            </w:tcBorders>
            <w:gridSpan w:val="41"/>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gridSpan w:val="9"/>
            <w:shd w:val="clear" w:color="auto" w:fill="CCEEFF"/>
          </w:tcPr>
          <w:p>
            <w:pPr>
              <w:spacing w:after="0"/>
              <w:rPr>
                <w:sz w:val="20"/>
                <w:szCs w:val="20"/>
                <w:color w:val="auto"/>
              </w:rPr>
            </w:pPr>
          </w:p>
        </w:tc>
      </w:tr>
      <w:tr>
        <w:trPr>
          <w:trHeight w:val="223"/>
        </w:trPr>
        <w:tc>
          <w:tcPr>
            <w:tcW w:w="1060" w:type="dxa"/>
            <w:vAlign w:val="bottom"/>
            <w:gridSpan w:val="4"/>
          </w:tcPr>
          <w:p>
            <w:pPr>
              <w:ind w:left="20"/>
              <w:spacing w:after="0" w:line="202" w:lineRule="exact"/>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420" w:type="dxa"/>
            <w:vAlign w:val="bottom"/>
            <w:gridSpan w:val="57"/>
          </w:tcPr>
          <w:p>
            <w:pPr>
              <w:spacing w:after="0" w:line="202" w:lineRule="exact"/>
              <w:rPr>
                <w:rFonts w:ascii="Arial" w:cs="Arial" w:eastAsia="Arial" w:hAnsi="Arial"/>
                <w:sz w:val="18"/>
                <w:szCs w:val="18"/>
                <w:color w:val="0000EE"/>
                <w:w w:val="95"/>
              </w:rPr>
            </w:pPr>
            <w:hyperlink r:id="rId77">
              <w:r>
                <w:rPr>
                  <w:rFonts w:ascii="Arial" w:cs="Arial" w:eastAsia="Arial" w:hAnsi="Arial"/>
                  <w:sz w:val="18"/>
                  <w:szCs w:val="18"/>
                  <w:color w:val="0000EE"/>
                  <w:w w:val="95"/>
                </w:rPr>
                <w:t>Form of Restricted Stock Unit Terms and Conditions under the 2020 Plan (Incorporated by reference to Exhibit 10.5 filed with our Current</w:t>
              </w:r>
            </w:hyperlink>
          </w:p>
        </w:tc>
      </w:tr>
      <w:tr>
        <w:trPr>
          <w:trHeight w:val="163"/>
        </w:trPr>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Pr>
          <w:p>
            <w:pPr>
              <w:spacing w:after="0"/>
              <w:rPr>
                <w:sz w:val="14"/>
                <w:szCs w:val="14"/>
                <w:color w:val="auto"/>
              </w:rPr>
            </w:pPr>
          </w:p>
        </w:tc>
        <w:tc>
          <w:tcPr>
            <w:tcW w:w="10240" w:type="dxa"/>
            <w:vAlign w:val="bottom"/>
            <w:tcBorders>
              <w:top w:val="single" w:sz="8" w:color="0000EE"/>
            </w:tcBorders>
            <w:gridSpan w:val="48"/>
          </w:tcPr>
          <w:p>
            <w:pPr>
              <w:spacing w:after="0" w:line="163" w:lineRule="exact"/>
              <w:rPr>
                <w:rFonts w:ascii="Arial" w:cs="Arial" w:eastAsia="Arial" w:hAnsi="Arial"/>
                <w:sz w:val="18"/>
                <w:szCs w:val="18"/>
                <w:color w:val="0000EE"/>
              </w:rPr>
            </w:pPr>
            <w:hyperlink r:id="rId77">
              <w:r>
                <w:rPr>
                  <w:rFonts w:ascii="Arial" w:cs="Arial" w:eastAsia="Arial" w:hAnsi="Arial"/>
                  <w:sz w:val="18"/>
                  <w:szCs w:val="18"/>
                  <w:color w:val="0000EE"/>
                </w:rPr>
                <w:t>Report on Form 8-K on September 3, 2020).*</w:t>
              </w:r>
            </w:hyperlink>
          </w:p>
        </w:tc>
        <w:tc>
          <w:tcPr>
            <w:tcW w:w="180" w:type="dxa"/>
            <w:vAlign w:val="bottom"/>
            <w:gridSpan w:val="9"/>
          </w:tcPr>
          <w:p>
            <w:pPr>
              <w:spacing w:after="0"/>
              <w:rPr>
                <w:sz w:val="14"/>
                <w:szCs w:val="14"/>
                <w:color w:val="auto"/>
              </w:rPr>
            </w:pPr>
          </w:p>
        </w:tc>
      </w:tr>
      <w:tr>
        <w:trPr>
          <w:trHeight w:val="48"/>
        </w:trPr>
        <w:tc>
          <w:tcPr>
            <w:tcW w:w="1060" w:type="dxa"/>
            <w:vAlign w:val="bottom"/>
            <w:gridSpan w:val="4"/>
          </w:tcPr>
          <w:p>
            <w:pPr>
              <w:spacing w:after="0"/>
              <w:rPr>
                <w:sz w:val="4"/>
                <w:szCs w:val="4"/>
                <w:color w:val="auto"/>
              </w:rPr>
            </w:pPr>
          </w:p>
        </w:tc>
        <w:tc>
          <w:tcPr>
            <w:tcW w:w="3280" w:type="dxa"/>
            <w:vAlign w:val="bottom"/>
            <w:tcBorders>
              <w:top w:val="single" w:sz="8" w:color="0000EE"/>
            </w:tcBorders>
            <w:gridSpan w:val="5"/>
          </w:tcPr>
          <w:p>
            <w:pPr>
              <w:spacing w:after="0"/>
              <w:rPr>
                <w:sz w:val="4"/>
                <w:szCs w:val="4"/>
                <w:color w:val="auto"/>
              </w:rPr>
            </w:pPr>
          </w:p>
        </w:tc>
        <w:tc>
          <w:tcPr>
            <w:tcW w:w="7140" w:type="dxa"/>
            <w:vAlign w:val="bottom"/>
            <w:gridSpan w:val="52"/>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Arial" w:cs="Arial" w:eastAsia="Arial" w:hAnsi="Arial"/>
                <w:sz w:val="18"/>
                <w:szCs w:val="18"/>
                <w:color w:val="0000FF"/>
              </w:rPr>
            </w:pPr>
            <w:hyperlink r:id="rId78">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0420" w:type="dxa"/>
            <w:vAlign w:val="bottom"/>
            <w:gridSpan w:val="57"/>
            <w:shd w:val="clear" w:color="auto" w:fill="CCEEFF"/>
          </w:tcPr>
          <w:p>
            <w:pPr>
              <w:spacing w:after="0" w:line="202" w:lineRule="exact"/>
              <w:rPr>
                <w:rFonts w:ascii="Arial" w:cs="Arial" w:eastAsia="Arial" w:hAnsi="Arial"/>
                <w:sz w:val="18"/>
                <w:szCs w:val="18"/>
                <w:color w:val="0000EE"/>
                <w:w w:val="97"/>
              </w:rPr>
            </w:pPr>
            <w:hyperlink r:id="rId78">
              <w:r>
                <w:rPr>
                  <w:rFonts w:ascii="Arial" w:cs="Arial" w:eastAsia="Arial" w:hAnsi="Arial"/>
                  <w:sz w:val="18"/>
                  <w:szCs w:val="18"/>
                  <w:color w:val="0000EE"/>
                  <w:w w:val="97"/>
                </w:rPr>
                <w:t>Cooperation Agreement dated July 23, 2022 by and between the Company and Prairieland Holdco, LLC (Incorporated by reference to</w:t>
              </w:r>
            </w:hyperlink>
          </w:p>
        </w:tc>
      </w:tr>
      <w:tr>
        <w:trPr>
          <w:trHeight w:val="230"/>
        </w:trPr>
        <w:tc>
          <w:tcPr>
            <w:tcW w:w="26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5360" w:type="dxa"/>
            <w:vAlign w:val="bottom"/>
            <w:tcBorders>
              <w:top w:val="single" w:sz="8" w:color="0000EE"/>
              <w:bottom w:val="single" w:sz="8" w:color="0000EE"/>
            </w:tcBorders>
            <w:gridSpan w:val="8"/>
            <w:shd w:val="clear" w:color="auto" w:fill="CCEEFF"/>
          </w:tcPr>
          <w:p>
            <w:pPr>
              <w:spacing w:after="0" w:line="182"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Exhibit 10.1 filed with our Current Report on Form 8-K on July 27, 2022).</w:t>
              </w:r>
            </w:hyperlink>
          </w:p>
        </w:tc>
        <w:tc>
          <w:tcPr>
            <w:tcW w:w="4860" w:type="dxa"/>
            <w:vAlign w:val="bottom"/>
            <w:tcBorders>
              <w:top w:val="single" w:sz="8" w:color="0000EE"/>
              <w:bottom w:val="single" w:sz="8" w:color="CCEEFF"/>
            </w:tcBorders>
            <w:gridSpan w:val="39"/>
            <w:shd w:val="clear" w:color="auto" w:fill="CCEEFF"/>
          </w:tcPr>
          <w:p>
            <w:pPr>
              <w:spacing w:after="0"/>
              <w:rPr>
                <w:sz w:val="20"/>
                <w:szCs w:val="20"/>
                <w:color w:val="auto"/>
              </w:rPr>
            </w:pPr>
          </w:p>
        </w:tc>
        <w:tc>
          <w:tcPr>
            <w:tcW w:w="200" w:type="dxa"/>
            <w:vAlign w:val="bottom"/>
            <w:tcBorders>
              <w:top w:val="single" w:sz="8" w:color="CCEEFF"/>
              <w:bottom w:val="single" w:sz="8" w:color="CCEEFF"/>
            </w:tcBorders>
            <w:gridSpan w:val="10"/>
            <w:shd w:val="clear" w:color="auto" w:fill="CCEEFF"/>
          </w:tcPr>
          <w:p>
            <w:pPr>
              <w:spacing w:after="0"/>
              <w:rPr>
                <w:sz w:val="20"/>
                <w:szCs w:val="20"/>
                <w:color w:val="auto"/>
              </w:rPr>
            </w:pPr>
          </w:p>
        </w:tc>
      </w:tr>
      <w:tr>
        <w:trPr>
          <w:trHeight w:val="203"/>
        </w:trPr>
        <w:tc>
          <w:tcPr>
            <w:tcW w:w="1060" w:type="dxa"/>
            <w:vAlign w:val="bottom"/>
            <w:gridSpan w:val="4"/>
          </w:tcPr>
          <w:p>
            <w:pPr>
              <w:ind w:left="20"/>
              <w:spacing w:after="0" w:line="202" w:lineRule="exact"/>
              <w:rPr>
                <w:rFonts w:ascii="Arial" w:cs="Arial" w:eastAsia="Arial" w:hAnsi="Arial"/>
                <w:sz w:val="18"/>
                <w:szCs w:val="18"/>
                <w:color w:val="auto"/>
              </w:rPr>
            </w:pPr>
            <w:hyperlink r:id="rId79">
              <w:r>
                <w:rPr>
                  <w:rFonts w:ascii="Arial" w:cs="Arial" w:eastAsia="Arial" w:hAnsi="Arial"/>
                  <w:sz w:val="18"/>
                  <w:szCs w:val="18"/>
                  <w:color w:val="auto"/>
                </w:rPr>
                <w:t>10.</w:t>
              </w:r>
              <w:r>
                <w:rPr>
                  <w:rFonts w:ascii="Arial" w:cs="Arial" w:eastAsia="Arial" w:hAnsi="Arial"/>
                  <w:sz w:val="18"/>
                  <w:szCs w:val="18"/>
                  <w:u w:val="single" w:color="auto"/>
                  <w:color w:val="auto"/>
                </w:rPr>
                <w:t>18</w:t>
              </w:r>
            </w:hyperlink>
          </w:p>
        </w:tc>
        <w:tc>
          <w:tcPr>
            <w:tcW w:w="10420" w:type="dxa"/>
            <w:vAlign w:val="bottom"/>
            <w:gridSpan w:val="57"/>
          </w:tcPr>
          <w:p>
            <w:pPr>
              <w:spacing w:after="0" w:line="202"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Standstill and Voting Agreement dated as of March 19, 2023 by and among Daktronics, Inc., Alta Fox Management, LLC and Connor Haley</w:t>
              </w:r>
            </w:hyperlink>
          </w:p>
        </w:tc>
      </w:tr>
      <w:tr>
        <w:trPr>
          <w:trHeight w:val="183"/>
        </w:trPr>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0160" w:type="dxa"/>
            <w:vAlign w:val="bottom"/>
            <w:tcBorders>
              <w:top w:val="single" w:sz="8" w:color="0000FF"/>
            </w:tcBorders>
            <w:gridSpan w:val="44"/>
          </w:tcPr>
          <w:p>
            <w:pPr>
              <w:spacing w:after="0" w:line="182" w:lineRule="exact"/>
              <w:rPr>
                <w:rFonts w:ascii="Arial" w:cs="Arial" w:eastAsia="Arial" w:hAnsi="Arial"/>
                <w:sz w:val="18"/>
                <w:szCs w:val="18"/>
                <w:color w:val="0000FF"/>
                <w:w w:val="99"/>
              </w:rPr>
            </w:pPr>
            <w:hyperlink r:id="rId79">
              <w:r>
                <w:rPr>
                  <w:rFonts w:ascii="Arial" w:cs="Arial" w:eastAsia="Arial" w:hAnsi="Arial"/>
                  <w:sz w:val="18"/>
                  <w:szCs w:val="18"/>
                  <w:color w:val="0000FF"/>
                  <w:w w:val="99"/>
                </w:rPr>
                <w:t>(Incorporated by reference to Exhibit 10.1 filed with the Current Report on Form 8-K of Daktronics, Inc. filed on March 20, 2023).</w:t>
              </w:r>
            </w:hyperlink>
          </w:p>
        </w:tc>
        <w:tc>
          <w:tcPr>
            <w:tcW w:w="260" w:type="dxa"/>
            <w:vAlign w:val="bottom"/>
            <w:gridSpan w:val="13"/>
          </w:tcPr>
          <w:p>
            <w:pPr>
              <w:spacing w:after="0"/>
              <w:rPr>
                <w:sz w:val="15"/>
                <w:szCs w:val="15"/>
                <w:color w:val="auto"/>
              </w:rPr>
            </w:pPr>
          </w:p>
        </w:tc>
      </w:tr>
      <w:tr>
        <w:trPr>
          <w:trHeight w:val="47"/>
        </w:trPr>
        <w:tc>
          <w:tcPr>
            <w:tcW w:w="1060" w:type="dxa"/>
            <w:vAlign w:val="bottom"/>
            <w:gridSpan w:val="4"/>
          </w:tcPr>
          <w:p>
            <w:pPr>
              <w:spacing w:after="0"/>
              <w:rPr>
                <w:sz w:val="4"/>
                <w:szCs w:val="4"/>
                <w:color w:val="auto"/>
              </w:rPr>
            </w:pPr>
          </w:p>
        </w:tc>
        <w:tc>
          <w:tcPr>
            <w:tcW w:w="9420" w:type="dxa"/>
            <w:vAlign w:val="bottom"/>
            <w:tcBorders>
              <w:top w:val="single" w:sz="8" w:color="0000FF"/>
            </w:tcBorders>
            <w:gridSpan w:val="23"/>
          </w:tcPr>
          <w:p>
            <w:pPr>
              <w:spacing w:after="0"/>
              <w:rPr>
                <w:sz w:val="4"/>
                <w:szCs w:val="4"/>
                <w:color w:val="auto"/>
              </w:rPr>
            </w:pPr>
          </w:p>
        </w:tc>
        <w:tc>
          <w:tcPr>
            <w:tcW w:w="1000" w:type="dxa"/>
            <w:vAlign w:val="bottom"/>
            <w:gridSpan w:val="34"/>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Arial" w:cs="Arial" w:eastAsia="Arial" w:hAnsi="Arial"/>
                <w:sz w:val="18"/>
                <w:szCs w:val="18"/>
                <w:color w:val="auto"/>
              </w:rPr>
            </w:pPr>
            <w:hyperlink r:id="rId80">
              <w:r>
                <w:rPr>
                  <w:rFonts w:ascii="Arial" w:cs="Arial" w:eastAsia="Arial" w:hAnsi="Arial"/>
                  <w:sz w:val="18"/>
                  <w:szCs w:val="18"/>
                  <w:color w:val="auto"/>
                </w:rPr>
                <w:t>10.</w:t>
              </w:r>
              <w:r>
                <w:rPr>
                  <w:rFonts w:ascii="Arial" w:cs="Arial" w:eastAsia="Arial" w:hAnsi="Arial"/>
                  <w:sz w:val="18"/>
                  <w:szCs w:val="18"/>
                  <w:u w:val="single" w:color="auto"/>
                  <w:color w:val="auto"/>
                </w:rPr>
                <w:t>19</w:t>
              </w:r>
            </w:hyperlink>
          </w:p>
        </w:tc>
        <w:tc>
          <w:tcPr>
            <w:tcW w:w="10420" w:type="dxa"/>
            <w:vAlign w:val="bottom"/>
            <w:gridSpan w:val="57"/>
            <w:shd w:val="clear" w:color="auto" w:fill="CCEEFF"/>
          </w:tcPr>
          <w:p>
            <w:pPr>
              <w:spacing w:after="0" w:line="202" w:lineRule="exact"/>
              <w:rPr>
                <w:rFonts w:ascii="Arial" w:cs="Arial" w:eastAsia="Arial" w:hAnsi="Arial"/>
                <w:sz w:val="18"/>
                <w:szCs w:val="18"/>
                <w:color w:val="0000FF"/>
                <w:w w:val="95"/>
              </w:rPr>
            </w:pPr>
            <w:hyperlink r:id="rId80">
              <w:r>
                <w:rPr>
                  <w:rFonts w:ascii="Arial" w:cs="Arial" w:eastAsia="Arial" w:hAnsi="Arial"/>
                  <w:sz w:val="18"/>
                  <w:szCs w:val="18"/>
                  <w:color w:val="0000FF"/>
                  <w:w w:val="95"/>
                </w:rPr>
                <w:t>Credit Agreement dated as of May 11, 2023 by and among Daktronics, Inc. and the other Borrowers; the other Loan Parties to the Credit</w:t>
              </w:r>
            </w:hyperlink>
          </w:p>
        </w:tc>
      </w:tr>
      <w:tr>
        <w:trPr>
          <w:trHeight w:val="183"/>
        </w:trPr>
        <w:tc>
          <w:tcPr>
            <w:tcW w:w="260" w:type="dxa"/>
            <w:vAlign w:val="bottom"/>
            <w:tcBorders>
              <w:top w:val="single" w:sz="8" w:color="auto"/>
              <w:left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9720" w:type="dxa"/>
            <w:vAlign w:val="bottom"/>
            <w:tcBorders>
              <w:top w:val="single" w:sz="8" w:color="0000FF"/>
              <w:bottom w:val="single" w:sz="8" w:color="0000FF"/>
            </w:tcBorders>
            <w:gridSpan w:val="29"/>
            <w:shd w:val="clear" w:color="auto" w:fill="CCEEFF"/>
          </w:tcPr>
          <w:p>
            <w:pPr>
              <w:spacing w:after="0" w:line="182"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Agreement; the Lenders party to the Credit Agreement; and JPMorgan Chase Bank, N.A., in its capacity as administrative agent for the</w:t>
              </w:r>
            </w:hyperlink>
          </w:p>
        </w:tc>
        <w:tc>
          <w:tcPr>
            <w:tcW w:w="10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13"/>
            <w:shd w:val="clear" w:color="auto" w:fill="CCEEFF"/>
          </w:tcPr>
          <w:p>
            <w:pPr>
              <w:spacing w:after="0"/>
              <w:rPr>
                <w:sz w:val="15"/>
                <w:szCs w:val="15"/>
                <w:color w:val="auto"/>
              </w:rPr>
            </w:pPr>
          </w:p>
        </w:tc>
      </w:tr>
      <w:tr>
        <w:trPr>
          <w:trHeight w:val="196"/>
        </w:trPr>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196" w:lineRule="exact"/>
              <w:rPr>
                <w:rFonts w:ascii="Arial" w:cs="Arial" w:eastAsia="Arial" w:hAnsi="Arial"/>
                <w:sz w:val="18"/>
                <w:szCs w:val="18"/>
                <w:color w:val="0000FF"/>
                <w:w w:val="95"/>
              </w:rPr>
            </w:pPr>
            <w:hyperlink r:id="rId80">
              <w:r>
                <w:rPr>
                  <w:rFonts w:ascii="Arial" w:cs="Arial" w:eastAsia="Arial" w:hAnsi="Arial"/>
                  <w:sz w:val="18"/>
                  <w:szCs w:val="18"/>
                  <w:color w:val="0000FF"/>
                  <w:w w:val="95"/>
                </w:rPr>
                <w:t>Lenders (Incorporated by reference to Exhibit 10.1 filed with the Current Report on Form 8-K of Daktronics, Inc. filed on May 12, 2023).**</w:t>
              </w:r>
            </w:hyperlink>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10080" w:type="dxa"/>
            <w:vAlign w:val="bottom"/>
            <w:tcBorders>
              <w:top w:val="single" w:sz="8" w:color="0000FF"/>
            </w:tcBorders>
            <w:gridSpan w:val="40"/>
            <w:shd w:val="clear" w:color="auto" w:fill="CCEEFF"/>
          </w:tcPr>
          <w:p>
            <w:pPr>
              <w:spacing w:after="0"/>
              <w:rPr>
                <w:sz w:val="2"/>
                <w:szCs w:val="2"/>
                <w:color w:val="auto"/>
              </w:rPr>
            </w:pPr>
          </w:p>
        </w:tc>
        <w:tc>
          <w:tcPr>
            <w:tcW w:w="340" w:type="dxa"/>
            <w:vAlign w:val="bottom"/>
            <w:tcBorders>
              <w:top w:val="single" w:sz="8" w:color="CCEEFF"/>
            </w:tcBorders>
            <w:gridSpan w:val="17"/>
            <w:shd w:val="clear" w:color="auto" w:fill="CCEEFF"/>
          </w:tcPr>
          <w:p>
            <w:pPr>
              <w:spacing w:after="0"/>
              <w:rPr>
                <w:sz w:val="2"/>
                <w:szCs w:val="2"/>
                <w:color w:val="auto"/>
              </w:rPr>
            </w:pPr>
          </w:p>
        </w:tc>
      </w:tr>
      <w:tr>
        <w:trPr>
          <w:trHeight w:val="203"/>
        </w:trPr>
        <w:tc>
          <w:tcPr>
            <w:tcW w:w="1060" w:type="dxa"/>
            <w:vAlign w:val="bottom"/>
            <w:gridSpan w:val="4"/>
          </w:tcPr>
          <w:p>
            <w:pPr>
              <w:ind w:left="20"/>
              <w:spacing w:after="0" w:line="202" w:lineRule="exact"/>
              <w:rPr>
                <w:rFonts w:ascii="Arial" w:cs="Arial" w:eastAsia="Arial" w:hAnsi="Arial"/>
                <w:sz w:val="18"/>
                <w:szCs w:val="18"/>
                <w:color w:val="auto"/>
              </w:rPr>
            </w:pPr>
            <w:hyperlink r:id="rId81">
              <w:r>
                <w:rPr>
                  <w:rFonts w:ascii="Arial" w:cs="Arial" w:eastAsia="Arial" w:hAnsi="Arial"/>
                  <w:sz w:val="18"/>
                  <w:szCs w:val="18"/>
                  <w:color w:val="auto"/>
                </w:rPr>
                <w:t>10.</w:t>
              </w:r>
              <w:r>
                <w:rPr>
                  <w:rFonts w:ascii="Arial" w:cs="Arial" w:eastAsia="Arial" w:hAnsi="Arial"/>
                  <w:sz w:val="18"/>
                  <w:szCs w:val="18"/>
                  <w:u w:val="single" w:color="auto"/>
                  <w:color w:val="auto"/>
                </w:rPr>
                <w:t>20</w:t>
              </w:r>
            </w:hyperlink>
          </w:p>
        </w:tc>
        <w:tc>
          <w:tcPr>
            <w:tcW w:w="10420" w:type="dxa"/>
            <w:vAlign w:val="bottom"/>
            <w:gridSpan w:val="57"/>
          </w:tcPr>
          <w:p>
            <w:pPr>
              <w:spacing w:after="0" w:line="202"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Pledge and Security Agreement dated as of May 11, 2023 by and among Daktronics, Inc., Daktronics Installation, Inc., and JPMorgan Chase</w:t>
              </w:r>
            </w:hyperlink>
          </w:p>
        </w:tc>
      </w:tr>
      <w:tr>
        <w:trPr>
          <w:trHeight w:val="183"/>
        </w:trPr>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0140" w:type="dxa"/>
            <w:vAlign w:val="bottom"/>
            <w:tcBorders>
              <w:top w:val="single" w:sz="8" w:color="0000FF"/>
            </w:tcBorders>
            <w:gridSpan w:val="43"/>
          </w:tcPr>
          <w:p>
            <w:pPr>
              <w:spacing w:after="0" w:line="182"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Bank, N.A. (Incorporated by reference to Exhibit 10.2 filed with the Current Report on Form 8-K of Daktronics, Inc. filed on May 12, 2023)</w:t>
              </w:r>
            </w:hyperlink>
          </w:p>
        </w:tc>
        <w:tc>
          <w:tcPr>
            <w:tcW w:w="280" w:type="dxa"/>
            <w:vAlign w:val="bottom"/>
            <w:gridSpan w:val="14"/>
          </w:tcPr>
          <w:p>
            <w:pPr>
              <w:jc w:val="right"/>
              <w:ind w:right="280"/>
              <w:spacing w:after="0"/>
              <w:rPr>
                <w:rFonts w:ascii="Arial" w:cs="Arial" w:eastAsia="Arial" w:hAnsi="Arial"/>
                <w:sz w:val="10"/>
                <w:szCs w:val="10"/>
                <w:color w:val="0000FF"/>
                <w:w w:val="70"/>
              </w:rPr>
            </w:pPr>
            <w:hyperlink r:id="rId81">
              <w:r>
                <w:rPr>
                  <w:rFonts w:ascii="Arial" w:cs="Arial" w:eastAsia="Arial" w:hAnsi="Arial"/>
                  <w:sz w:val="10"/>
                  <w:szCs w:val="10"/>
                  <w:color w:val="0000FF"/>
                  <w:w w:val="70"/>
                </w:rPr>
                <w:t>.</w:t>
              </w:r>
            </w:hyperlink>
          </w:p>
        </w:tc>
      </w:tr>
      <w:tr>
        <w:trPr>
          <w:trHeight w:val="47"/>
        </w:trPr>
        <w:tc>
          <w:tcPr>
            <w:tcW w:w="1060" w:type="dxa"/>
            <w:vAlign w:val="bottom"/>
            <w:gridSpan w:val="4"/>
          </w:tcPr>
          <w:p>
            <w:pPr>
              <w:spacing w:after="0"/>
              <w:rPr>
                <w:sz w:val="4"/>
                <w:szCs w:val="4"/>
                <w:color w:val="auto"/>
              </w:rPr>
            </w:pPr>
          </w:p>
        </w:tc>
        <w:tc>
          <w:tcPr>
            <w:tcW w:w="10180" w:type="dxa"/>
            <w:vAlign w:val="bottom"/>
            <w:tcBorders>
              <w:top w:val="single" w:sz="8" w:color="0000FF"/>
            </w:tcBorders>
            <w:gridSpan w:val="45"/>
          </w:tcPr>
          <w:p>
            <w:pPr>
              <w:spacing w:after="0"/>
              <w:rPr>
                <w:sz w:val="4"/>
                <w:szCs w:val="4"/>
                <w:color w:val="auto"/>
              </w:rPr>
            </w:pPr>
          </w:p>
        </w:tc>
        <w:tc>
          <w:tcPr>
            <w:tcW w:w="240" w:type="dxa"/>
            <w:vAlign w:val="bottom"/>
            <w:gridSpan w:val="12"/>
          </w:tcPr>
          <w:p>
            <w:pPr>
              <w:spacing w:after="0"/>
              <w:rPr>
                <w:sz w:val="4"/>
                <w:szCs w:val="4"/>
                <w:color w:val="auto"/>
              </w:rPr>
            </w:pPr>
          </w:p>
        </w:tc>
      </w:tr>
      <w:tr>
        <w:trPr>
          <w:trHeight w:val="22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Arial" w:cs="Arial" w:eastAsia="Arial" w:hAnsi="Arial"/>
                <w:sz w:val="18"/>
                <w:szCs w:val="18"/>
                <w:color w:val="auto"/>
              </w:rPr>
            </w:pPr>
            <w:hyperlink r:id="rId82">
              <w:r>
                <w:rPr>
                  <w:rFonts w:ascii="Arial" w:cs="Arial" w:eastAsia="Arial" w:hAnsi="Arial"/>
                  <w:sz w:val="18"/>
                  <w:szCs w:val="18"/>
                  <w:color w:val="auto"/>
                </w:rPr>
                <w:t>10.</w:t>
              </w:r>
              <w:r>
                <w:rPr>
                  <w:rFonts w:ascii="Arial" w:cs="Arial" w:eastAsia="Arial" w:hAnsi="Arial"/>
                  <w:sz w:val="18"/>
                  <w:szCs w:val="18"/>
                  <w:u w:val="single" w:color="auto"/>
                  <w:color w:val="auto"/>
                </w:rPr>
                <w:t>21</w:t>
              </w:r>
            </w:hyperlink>
          </w:p>
        </w:tc>
        <w:tc>
          <w:tcPr>
            <w:tcW w:w="10420" w:type="dxa"/>
            <w:vAlign w:val="bottom"/>
            <w:gridSpan w:val="57"/>
            <w:shd w:val="clear" w:color="auto" w:fill="CCEEFF"/>
          </w:tcPr>
          <w:p>
            <w:pPr>
              <w:spacing w:after="0" w:line="202" w:lineRule="exact"/>
              <w:rPr>
                <w:rFonts w:ascii="Arial" w:cs="Arial" w:eastAsia="Arial" w:hAnsi="Arial"/>
                <w:sz w:val="18"/>
                <w:szCs w:val="18"/>
                <w:color w:val="0000FF"/>
              </w:rPr>
            </w:pPr>
            <w:hyperlink r:id="rId82">
              <w:r>
                <w:rPr>
                  <w:rFonts w:ascii="Arial" w:cs="Arial" w:eastAsia="Arial" w:hAnsi="Arial"/>
                  <w:sz w:val="18"/>
                  <w:szCs w:val="18"/>
                  <w:color w:val="0000FF"/>
                </w:rPr>
                <w:t>Securities Purchase Agreement dated as of May 11, 2023 by and between Daktronics, Inc. and Alta Fox Opportunities Fund, LP</w:t>
              </w:r>
            </w:hyperlink>
          </w:p>
        </w:tc>
      </w:tr>
      <w:tr>
        <w:trPr>
          <w:trHeight w:val="162"/>
        </w:trPr>
        <w:tc>
          <w:tcPr>
            <w:tcW w:w="260" w:type="dxa"/>
            <w:vAlign w:val="bottom"/>
            <w:tcBorders>
              <w:top w:val="single" w:sz="8" w:color="auto"/>
              <w:lef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right w:val="single" w:sz="8" w:color="CCEEFF"/>
            </w:tcBorders>
            <w:shd w:val="clear" w:color="auto" w:fill="CCEEFF"/>
          </w:tcPr>
          <w:p>
            <w:pPr>
              <w:spacing w:after="0"/>
              <w:rPr>
                <w:sz w:val="14"/>
                <w:szCs w:val="14"/>
                <w:color w:val="auto"/>
              </w:rPr>
            </w:pPr>
          </w:p>
        </w:tc>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9220" w:type="dxa"/>
            <w:vAlign w:val="bottom"/>
            <w:tcBorders>
              <w:top w:val="single" w:sz="8" w:color="0000FF"/>
            </w:tcBorders>
            <w:gridSpan w:val="21"/>
            <w:shd w:val="clear" w:color="auto" w:fill="CCEEFF"/>
          </w:tcPr>
          <w:p>
            <w:pPr>
              <w:spacing w:after="0" w:line="163"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(Incorporated by reference to Exhibit 10.3 filed with the Current Report on Form 8-K of Daktronics, Inc. filed on May 12, 2023)</w:t>
              </w:r>
            </w:hyperlink>
          </w:p>
        </w:tc>
        <w:tc>
          <w:tcPr>
            <w:tcW w:w="300" w:type="dxa"/>
            <w:vAlign w:val="bottom"/>
            <w:tcBorders>
              <w:top w:val="single" w:sz="8" w:color="CCEEFF"/>
            </w:tcBorders>
            <w:gridSpan w:val="4"/>
            <w:shd w:val="clear" w:color="auto" w:fill="CCEEFF"/>
          </w:tcPr>
          <w:p>
            <w:pPr>
              <w:ind w:left="20"/>
              <w:spacing w:after="0" w:line="163" w:lineRule="exact"/>
              <w:rPr>
                <w:rFonts w:ascii="Arial" w:cs="Arial" w:eastAsia="Arial" w:hAnsi="Arial"/>
                <w:sz w:val="18"/>
                <w:szCs w:val="18"/>
                <w:color w:val="0000FF"/>
              </w:rPr>
            </w:pPr>
            <w:hyperlink r:id="rId82">
              <w:r>
                <w:rPr>
                  <w:rFonts w:ascii="Arial" w:cs="Arial" w:eastAsia="Arial" w:hAnsi="Arial"/>
                  <w:sz w:val="18"/>
                  <w:szCs w:val="18"/>
                  <w:color w:val="0000FF"/>
                </w:rPr>
                <w:t>.**</w:t>
              </w:r>
            </w:hyperlink>
          </w:p>
        </w:tc>
        <w:tc>
          <w:tcPr>
            <w:tcW w:w="360" w:type="dxa"/>
            <w:vAlign w:val="bottom"/>
            <w:tcBorders>
              <w:top w:val="single" w:sz="8" w:color="CCEEFF"/>
            </w:tcBorders>
            <w:gridSpan w:val="9"/>
            <w:shd w:val="clear" w:color="auto" w:fill="CCEEFF"/>
          </w:tcPr>
          <w:p>
            <w:pPr>
              <w:spacing w:after="0"/>
              <w:rPr>
                <w:sz w:val="14"/>
                <w:szCs w:val="14"/>
                <w:color w:val="auto"/>
              </w:rPr>
            </w:pPr>
          </w:p>
        </w:tc>
        <w:tc>
          <w:tcPr>
            <w:tcW w:w="12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320" w:type="dxa"/>
            <w:vAlign w:val="bottom"/>
            <w:tcBorders>
              <w:top w:val="single" w:sz="8" w:color="CCEEFF"/>
            </w:tcBorders>
            <w:gridSpan w:val="16"/>
            <w:shd w:val="clear" w:color="auto" w:fill="CCEEFF"/>
          </w:tcPr>
          <w:p>
            <w:pPr>
              <w:spacing w:after="0"/>
              <w:rPr>
                <w:sz w:val="14"/>
                <w:szCs w:val="14"/>
                <w:color w:val="auto"/>
              </w:rPr>
            </w:pPr>
          </w:p>
        </w:tc>
      </w:tr>
      <w:tr>
        <w:trPr>
          <w:trHeight w:val="48"/>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4"/>
                <w:szCs w:val="4"/>
                <w:color w:val="auto"/>
              </w:rPr>
            </w:pPr>
          </w:p>
        </w:tc>
        <w:tc>
          <w:tcPr>
            <w:tcW w:w="620" w:type="dxa"/>
            <w:vAlign w:val="bottom"/>
            <w:tcBorders>
              <w:top w:val="single" w:sz="8" w:color="CCEEFF"/>
              <w:right w:val="single" w:sz="8" w:color="CCEEFF"/>
            </w:tcBorders>
            <w:shd w:val="clear" w:color="auto" w:fill="CCEEFF"/>
          </w:tcPr>
          <w:p>
            <w:pPr>
              <w:spacing w:after="0"/>
              <w:rPr>
                <w:sz w:val="4"/>
                <w:szCs w:val="4"/>
                <w:color w:val="auto"/>
              </w:rPr>
            </w:pPr>
          </w:p>
        </w:tc>
        <w:tc>
          <w:tcPr>
            <w:tcW w:w="9460" w:type="dxa"/>
            <w:vAlign w:val="bottom"/>
            <w:tcBorders>
              <w:top w:val="single" w:sz="8" w:color="0000FF"/>
            </w:tcBorders>
            <w:gridSpan w:val="24"/>
            <w:shd w:val="clear" w:color="auto" w:fill="CCEEFF"/>
          </w:tcPr>
          <w:p>
            <w:pPr>
              <w:spacing w:after="0"/>
              <w:rPr>
                <w:sz w:val="4"/>
                <w:szCs w:val="4"/>
                <w:color w:val="auto"/>
              </w:rPr>
            </w:pPr>
          </w:p>
        </w:tc>
        <w:tc>
          <w:tcPr>
            <w:tcW w:w="960" w:type="dxa"/>
            <w:vAlign w:val="bottom"/>
            <w:tcBorders>
              <w:top w:val="single" w:sz="8" w:color="CCEEFF"/>
            </w:tcBorders>
            <w:gridSpan w:val="33"/>
            <w:shd w:val="clear" w:color="auto" w:fill="CCEEFF"/>
          </w:tcPr>
          <w:p>
            <w:pPr>
              <w:spacing w:after="0"/>
              <w:rPr>
                <w:sz w:val="4"/>
                <w:szCs w:val="4"/>
                <w:color w:val="auto"/>
              </w:rPr>
            </w:pPr>
          </w:p>
        </w:tc>
      </w:tr>
      <w:tr>
        <w:trPr>
          <w:trHeight w:val="203"/>
        </w:trPr>
        <w:tc>
          <w:tcPr>
            <w:tcW w:w="1060" w:type="dxa"/>
            <w:vAlign w:val="bottom"/>
            <w:gridSpan w:val="4"/>
          </w:tcPr>
          <w:p>
            <w:pPr>
              <w:ind w:left="20"/>
              <w:spacing w:after="0" w:line="202" w:lineRule="exact"/>
              <w:rPr>
                <w:rFonts w:ascii="Arial" w:cs="Arial" w:eastAsia="Arial" w:hAnsi="Arial"/>
                <w:sz w:val="18"/>
                <w:szCs w:val="18"/>
                <w:color w:val="auto"/>
              </w:rPr>
            </w:pPr>
            <w:hyperlink r:id="rId83">
              <w:r>
                <w:rPr>
                  <w:rFonts w:ascii="Arial" w:cs="Arial" w:eastAsia="Arial" w:hAnsi="Arial"/>
                  <w:sz w:val="18"/>
                  <w:szCs w:val="18"/>
                  <w:color w:val="auto"/>
                </w:rPr>
                <w:t>10.</w:t>
              </w:r>
              <w:r>
                <w:rPr>
                  <w:rFonts w:ascii="Arial" w:cs="Arial" w:eastAsia="Arial" w:hAnsi="Arial"/>
                  <w:sz w:val="18"/>
                  <w:szCs w:val="18"/>
                  <w:u w:val="single" w:color="auto"/>
                  <w:color w:val="auto"/>
                </w:rPr>
                <w:t>22</w:t>
              </w:r>
            </w:hyperlink>
          </w:p>
        </w:tc>
        <w:tc>
          <w:tcPr>
            <w:tcW w:w="10420" w:type="dxa"/>
            <w:vAlign w:val="bottom"/>
            <w:gridSpan w:val="57"/>
          </w:tcPr>
          <w:p>
            <w:pPr>
              <w:spacing w:after="0" w:line="202"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Senior Secured Convertible Note dated as of May 11, 2023 issued by Daktronics, Inc. to Alta Fox Opportunities Fund, LP (Incorporated by</w:t>
              </w:r>
            </w:hyperlink>
          </w:p>
        </w:tc>
      </w:tr>
      <w:tr>
        <w:trPr>
          <w:trHeight w:val="183"/>
        </w:trPr>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0020" w:type="dxa"/>
            <w:vAlign w:val="bottom"/>
            <w:tcBorders>
              <w:top w:val="single" w:sz="8" w:color="0000FF"/>
            </w:tcBorders>
            <w:gridSpan w:val="39"/>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reference to Exhibit 10.4 filed with the Current Report on Form 8-K of Daktronics, Inc. filed on May 12, 2023).</w:t>
              </w:r>
            </w:hyperlink>
          </w:p>
        </w:tc>
        <w:tc>
          <w:tcPr>
            <w:tcW w:w="80" w:type="dxa"/>
            <w:vAlign w:val="bottom"/>
            <w:gridSpan w:val="2"/>
          </w:tcPr>
          <w:p>
            <w:pPr>
              <w:spacing w:after="0"/>
              <w:rPr>
                <w:sz w:val="15"/>
                <w:szCs w:val="15"/>
                <w:color w:val="auto"/>
              </w:rPr>
            </w:pPr>
          </w:p>
        </w:tc>
        <w:tc>
          <w:tcPr>
            <w:tcW w:w="320" w:type="dxa"/>
            <w:vAlign w:val="bottom"/>
            <w:gridSpan w:val="16"/>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8040" w:type="dxa"/>
            <w:vAlign w:val="bottom"/>
            <w:tcBorders>
              <w:top w:val="single" w:sz="8" w:color="0000FF"/>
            </w:tcBorders>
            <w:gridSpan w:val="12"/>
          </w:tcPr>
          <w:p>
            <w:pPr>
              <w:spacing w:after="0"/>
              <w:rPr>
                <w:sz w:val="4"/>
                <w:szCs w:val="4"/>
                <w:color w:val="auto"/>
              </w:rPr>
            </w:pPr>
          </w:p>
        </w:tc>
        <w:tc>
          <w:tcPr>
            <w:tcW w:w="2380" w:type="dxa"/>
            <w:vAlign w:val="bottom"/>
            <w:gridSpan w:val="45"/>
          </w:tcPr>
          <w:p>
            <w:pPr>
              <w:spacing w:after="0"/>
              <w:rPr>
                <w:sz w:val="4"/>
                <w:szCs w:val="4"/>
                <w:color w:val="auto"/>
              </w:rPr>
            </w:pPr>
          </w:p>
        </w:tc>
      </w:tr>
      <w:tr>
        <w:trPr>
          <w:trHeight w:val="203"/>
        </w:trPr>
        <w:tc>
          <w:tcPr>
            <w:tcW w:w="440" w:type="dxa"/>
            <w:vAlign w:val="bottom"/>
            <w:tcBorders>
              <w:left w:val="single" w:sz="8" w:color="CCEEFF"/>
              <w:right w:val="single" w:sz="8" w:color="CCEEFF"/>
            </w:tcBorders>
            <w:gridSpan w:val="3"/>
            <w:shd w:val="clear" w:color="auto" w:fill="CCEEFF"/>
          </w:tcPr>
          <w:p>
            <w:pPr>
              <w:ind w:left="20"/>
              <w:spacing w:after="0" w:line="202" w:lineRule="exact"/>
              <w:rPr>
                <w:rFonts w:ascii="Arial" w:cs="Arial" w:eastAsia="Arial" w:hAnsi="Arial"/>
                <w:sz w:val="18"/>
                <w:szCs w:val="18"/>
                <w:color w:val="auto"/>
                <w:w w:val="84"/>
              </w:rPr>
            </w:pPr>
            <w:hyperlink r:id="rId84">
              <w:r>
                <w:rPr>
                  <w:rFonts w:ascii="Arial" w:cs="Arial" w:eastAsia="Arial" w:hAnsi="Arial"/>
                  <w:sz w:val="18"/>
                  <w:szCs w:val="18"/>
                  <w:color w:val="auto"/>
                  <w:w w:val="84"/>
                </w:rPr>
                <w:t>10.</w:t>
              </w:r>
              <w:r>
                <w:rPr>
                  <w:rFonts w:ascii="Arial" w:cs="Arial" w:eastAsia="Arial" w:hAnsi="Arial"/>
                  <w:sz w:val="18"/>
                  <w:szCs w:val="18"/>
                  <w:u w:val="single" w:color="auto"/>
                  <w:color w:val="auto"/>
                  <w:w w:val="84"/>
                </w:rPr>
                <w:t>23</w:t>
              </w:r>
            </w:hyperlink>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20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Pledge and Security Agreement dated as of May 11, 2023 by and among Daktronics, Inc., Daktronics Installation, Inc., and Alta Fox</w:t>
              </w:r>
            </w:hyperlink>
          </w:p>
        </w:tc>
      </w:tr>
      <w:tr>
        <w:trPr>
          <w:trHeight w:val="20"/>
        </w:trPr>
        <w:tc>
          <w:tcPr>
            <w:tcW w:w="26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120" w:type="dxa"/>
            <w:vAlign w:val="bottom"/>
            <w:gridSpan w:val="18"/>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60" w:type="dxa"/>
            <w:vAlign w:val="bottom"/>
            <w:gridSpan w:val="9"/>
            <w:shd w:val="clear" w:color="auto" w:fill="CCEEFF"/>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320" w:type="dxa"/>
            <w:vAlign w:val="bottom"/>
            <w:gridSpan w:val="16"/>
            <w:shd w:val="clear" w:color="auto" w:fill="CCEEFF"/>
          </w:tcPr>
          <w:p>
            <w:pPr>
              <w:spacing w:after="0" w:line="20" w:lineRule="exact"/>
              <w:rPr>
                <w:sz w:val="1"/>
                <w:szCs w:val="1"/>
                <w:color w:val="auto"/>
              </w:rPr>
            </w:pPr>
          </w:p>
        </w:tc>
      </w:tr>
      <w:tr>
        <w:trPr>
          <w:trHeight w:val="183"/>
        </w:trPr>
        <w:tc>
          <w:tcPr>
            <w:tcW w:w="260" w:type="dxa"/>
            <w:vAlign w:val="bottom"/>
            <w:tcBorders>
              <w:left w:val="single" w:sz="8" w:color="CCEEFF"/>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620" w:type="dxa"/>
            <w:vAlign w:val="bottom"/>
            <w:tcBorders>
              <w:bottom w:val="single" w:sz="8" w:color="CCEEFF"/>
              <w:right w:val="single" w:sz="8" w:color="CCEEFF"/>
            </w:tcBorders>
            <w:shd w:val="clear" w:color="auto" w:fill="CCEEFF"/>
          </w:tcPr>
          <w:p>
            <w:pPr>
              <w:spacing w:after="0"/>
              <w:rPr>
                <w:sz w:val="15"/>
                <w:szCs w:val="15"/>
                <w:color w:val="auto"/>
              </w:rPr>
            </w:pPr>
          </w:p>
        </w:tc>
        <w:tc>
          <w:tcPr>
            <w:tcW w:w="9880" w:type="dxa"/>
            <w:vAlign w:val="bottom"/>
            <w:tcBorders>
              <w:bottom w:val="single" w:sz="8" w:color="0000FF"/>
            </w:tcBorders>
            <w:gridSpan w:val="34"/>
            <w:shd w:val="clear" w:color="auto" w:fill="CCEEFF"/>
          </w:tcPr>
          <w:p>
            <w:pPr>
              <w:spacing w:after="0" w:line="182"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Opportunities Fund, LP (Incorporated by reference to Exhibit 10.5 filed with the Current Report on Form 8-K of Daktronics, Inc. filed on</w:t>
              </w:r>
            </w:hyperlink>
          </w:p>
        </w:tc>
        <w:tc>
          <w:tcPr>
            <w:tcW w:w="540" w:type="dxa"/>
            <w:vAlign w:val="bottom"/>
            <w:tcBorders>
              <w:bottom w:val="single" w:sz="8" w:color="CCEEFF"/>
            </w:tcBorders>
            <w:gridSpan w:val="23"/>
            <w:shd w:val="clear" w:color="auto" w:fill="CCEEFF"/>
          </w:tcPr>
          <w:p>
            <w:pPr>
              <w:spacing w:after="0"/>
              <w:rPr>
                <w:sz w:val="15"/>
                <w:szCs w:val="15"/>
                <w:color w:val="auto"/>
              </w:rPr>
            </w:pPr>
          </w:p>
        </w:tc>
      </w:tr>
      <w:tr>
        <w:trPr>
          <w:trHeight w:val="196"/>
        </w:trPr>
        <w:tc>
          <w:tcPr>
            <w:tcW w:w="2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420" w:type="dxa"/>
            <w:vAlign w:val="bottom"/>
            <w:gridSpan w:val="57"/>
            <w:shd w:val="clear" w:color="auto" w:fill="CCEEFF"/>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May 12, 2023).</w:t>
              </w:r>
            </w:hyperlink>
          </w:p>
        </w:tc>
      </w:tr>
      <w:tr>
        <w:trPr>
          <w:trHeight w:val="34"/>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1080" w:type="dxa"/>
            <w:vAlign w:val="bottom"/>
            <w:tcBorders>
              <w:top w:val="single" w:sz="8" w:color="0000FF"/>
            </w:tcBorders>
            <w:gridSpan w:val="2"/>
            <w:shd w:val="clear" w:color="auto" w:fill="CCEEFF"/>
          </w:tcPr>
          <w:p>
            <w:pPr>
              <w:spacing w:after="0"/>
              <w:rPr>
                <w:sz w:val="2"/>
                <w:szCs w:val="2"/>
                <w:color w:val="auto"/>
              </w:rPr>
            </w:pPr>
          </w:p>
        </w:tc>
        <w:tc>
          <w:tcPr>
            <w:tcW w:w="9340" w:type="dxa"/>
            <w:vAlign w:val="bottom"/>
            <w:tcBorders>
              <w:top w:val="single" w:sz="8" w:color="CCEEFF"/>
            </w:tcBorders>
            <w:gridSpan w:val="55"/>
            <w:shd w:val="clear" w:color="auto" w:fill="CCEEFF"/>
          </w:tcPr>
          <w:p>
            <w:pPr>
              <w:spacing w:after="0"/>
              <w:rPr>
                <w:sz w:val="2"/>
                <w:szCs w:val="2"/>
                <w:color w:val="auto"/>
              </w:rPr>
            </w:pPr>
          </w:p>
        </w:tc>
      </w:tr>
      <w:tr>
        <w:trPr>
          <w:trHeight w:val="202"/>
        </w:trPr>
        <w:tc>
          <w:tcPr>
            <w:tcW w:w="1060" w:type="dxa"/>
            <w:vAlign w:val="bottom"/>
            <w:gridSpan w:val="4"/>
          </w:tcPr>
          <w:p>
            <w:pPr>
              <w:ind w:left="20"/>
              <w:spacing w:after="0" w:line="202" w:lineRule="exact"/>
              <w:rPr>
                <w:rFonts w:ascii="Arial" w:cs="Arial" w:eastAsia="Arial" w:hAnsi="Arial"/>
                <w:sz w:val="18"/>
                <w:szCs w:val="18"/>
                <w:color w:val="auto"/>
              </w:rPr>
            </w:pPr>
            <w:hyperlink r:id="rId85">
              <w:r>
                <w:rPr>
                  <w:rFonts w:ascii="Arial" w:cs="Arial" w:eastAsia="Arial" w:hAnsi="Arial"/>
                  <w:sz w:val="18"/>
                  <w:szCs w:val="18"/>
                  <w:color w:val="auto"/>
                </w:rPr>
                <w:t>10.</w:t>
              </w:r>
              <w:r>
                <w:rPr>
                  <w:rFonts w:ascii="Arial" w:cs="Arial" w:eastAsia="Arial" w:hAnsi="Arial"/>
                  <w:sz w:val="18"/>
                  <w:szCs w:val="18"/>
                  <w:u w:val="single" w:color="auto"/>
                  <w:color w:val="auto"/>
                </w:rPr>
                <w:t>24</w:t>
              </w:r>
            </w:hyperlink>
          </w:p>
        </w:tc>
        <w:tc>
          <w:tcPr>
            <w:tcW w:w="10420" w:type="dxa"/>
            <w:vAlign w:val="bottom"/>
            <w:gridSpan w:val="57"/>
          </w:tcPr>
          <w:p>
            <w:pPr>
              <w:spacing w:after="0" w:line="202" w:lineRule="exact"/>
              <w:rPr>
                <w:rFonts w:ascii="Arial" w:cs="Arial" w:eastAsia="Arial" w:hAnsi="Arial"/>
                <w:sz w:val="18"/>
                <w:szCs w:val="18"/>
                <w:color w:val="0000FF"/>
              </w:rPr>
            </w:pPr>
            <w:hyperlink r:id="rId85">
              <w:r>
                <w:rPr>
                  <w:rFonts w:ascii="Arial" w:cs="Arial" w:eastAsia="Arial" w:hAnsi="Arial"/>
                  <w:sz w:val="18"/>
                  <w:szCs w:val="18"/>
                  <w:color w:val="0000FF"/>
                </w:rPr>
                <w:t>Registration Rights Agreement dated as of May 11, 2023 by and between Daktronics, Inc. and Alta Fox Opportunities Fund, LP</w:t>
              </w:r>
            </w:hyperlink>
          </w:p>
        </w:tc>
      </w:tr>
      <w:tr>
        <w:trPr>
          <w:trHeight w:val="183"/>
        </w:trPr>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Borders>
              <w:top w:val="single" w:sz="8" w:color="0000FF"/>
            </w:tcBorders>
            <w:gridSpan w:val="20"/>
          </w:tcPr>
          <w:p>
            <w:pPr>
              <w:spacing w:after="0" w:line="182"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(Incorporated by reference to Exhibit 10.6 filed with the Current Report on Form 8-K of Daktronics, Inc. filed on May 12, 2023)</w:t>
              </w:r>
            </w:hyperlink>
          </w:p>
        </w:tc>
        <w:tc>
          <w:tcPr>
            <w:tcW w:w="800" w:type="dxa"/>
            <w:vAlign w:val="bottom"/>
            <w:gridSpan w:val="18"/>
          </w:tcPr>
          <w:p>
            <w:pPr>
              <w:ind w:left="40"/>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w:t>
              </w:r>
            </w:hyperlink>
          </w:p>
        </w:tc>
        <w:tc>
          <w:tcPr>
            <w:tcW w:w="100" w:type="dxa"/>
            <w:vAlign w:val="bottom"/>
            <w:gridSpan w:val="3"/>
          </w:tcPr>
          <w:p>
            <w:pPr>
              <w:spacing w:after="0"/>
              <w:rPr>
                <w:sz w:val="15"/>
                <w:szCs w:val="15"/>
                <w:color w:val="auto"/>
              </w:rPr>
            </w:pPr>
          </w:p>
        </w:tc>
        <w:tc>
          <w:tcPr>
            <w:tcW w:w="320" w:type="dxa"/>
            <w:vAlign w:val="bottom"/>
            <w:gridSpan w:val="16"/>
          </w:tcPr>
          <w:p>
            <w:pPr>
              <w:spacing w:after="0"/>
              <w:rPr>
                <w:sz w:val="15"/>
                <w:szCs w:val="15"/>
                <w:color w:val="auto"/>
              </w:rPr>
            </w:pPr>
          </w:p>
        </w:tc>
      </w:tr>
      <w:tr>
        <w:trPr>
          <w:trHeight w:val="48"/>
        </w:trPr>
        <w:tc>
          <w:tcPr>
            <w:tcW w:w="1060" w:type="dxa"/>
            <w:vAlign w:val="bottom"/>
            <w:gridSpan w:val="4"/>
          </w:tcPr>
          <w:p>
            <w:pPr>
              <w:spacing w:after="0"/>
              <w:rPr>
                <w:sz w:val="4"/>
                <w:szCs w:val="4"/>
                <w:color w:val="auto"/>
              </w:rPr>
            </w:pPr>
          </w:p>
        </w:tc>
        <w:tc>
          <w:tcPr>
            <w:tcW w:w="9280" w:type="dxa"/>
            <w:vAlign w:val="bottom"/>
            <w:tcBorders>
              <w:top w:val="single" w:sz="8" w:color="0000FF"/>
            </w:tcBorders>
            <w:gridSpan w:val="22"/>
          </w:tcPr>
          <w:p>
            <w:pPr>
              <w:spacing w:after="0"/>
              <w:rPr>
                <w:sz w:val="4"/>
                <w:szCs w:val="4"/>
                <w:color w:val="auto"/>
              </w:rPr>
            </w:pPr>
          </w:p>
        </w:tc>
        <w:tc>
          <w:tcPr>
            <w:tcW w:w="1140" w:type="dxa"/>
            <w:vAlign w:val="bottom"/>
            <w:gridSpan w:val="35"/>
          </w:tcPr>
          <w:p>
            <w:pPr>
              <w:spacing w:after="0"/>
              <w:rPr>
                <w:sz w:val="4"/>
                <w:szCs w:val="4"/>
                <w:color w:val="auto"/>
              </w:rPr>
            </w:pPr>
          </w:p>
        </w:tc>
      </w:tr>
      <w:tr>
        <w:trPr>
          <w:trHeight w:val="203"/>
        </w:trPr>
        <w:tc>
          <w:tcPr>
            <w:tcW w:w="1060" w:type="dxa"/>
            <w:vAlign w:val="bottom"/>
            <w:tcBorders>
              <w:left w:val="single" w:sz="8" w:color="CCEEFF"/>
              <w:right w:val="single" w:sz="8" w:color="CCEEFF"/>
            </w:tcBorders>
            <w:gridSpan w:val="4"/>
            <w:shd w:val="clear" w:color="auto" w:fill="CCEEFF"/>
          </w:tcPr>
          <w:p>
            <w:pPr>
              <w:ind w:left="20"/>
              <w:spacing w:after="0" w:line="202" w:lineRule="exact"/>
              <w:rPr>
                <w:rFonts w:ascii="Arial" w:cs="Arial" w:eastAsia="Arial" w:hAnsi="Arial"/>
                <w:sz w:val="18"/>
                <w:szCs w:val="18"/>
                <w:color w:val="auto"/>
              </w:rPr>
            </w:pPr>
            <w:hyperlink r:id="rId86">
              <w:r>
                <w:rPr>
                  <w:rFonts w:ascii="Arial" w:cs="Arial" w:eastAsia="Arial" w:hAnsi="Arial"/>
                  <w:sz w:val="18"/>
                  <w:szCs w:val="18"/>
                  <w:color w:val="auto"/>
                </w:rPr>
                <w:t>10.</w:t>
              </w:r>
              <w:r>
                <w:rPr>
                  <w:rFonts w:ascii="Arial" w:cs="Arial" w:eastAsia="Arial" w:hAnsi="Arial"/>
                  <w:sz w:val="18"/>
                  <w:szCs w:val="18"/>
                  <w:u w:val="single" w:color="auto"/>
                  <w:color w:val="auto"/>
                </w:rPr>
                <w:t>25</w:t>
              </w:r>
            </w:hyperlink>
          </w:p>
        </w:tc>
        <w:tc>
          <w:tcPr>
            <w:tcW w:w="10420" w:type="dxa"/>
            <w:vAlign w:val="bottom"/>
            <w:gridSpan w:val="57"/>
            <w:shd w:val="clear" w:color="auto" w:fill="CCEEFF"/>
          </w:tcPr>
          <w:p>
            <w:pPr>
              <w:spacing w:after="0" w:line="202" w:lineRule="exact"/>
              <w:rPr>
                <w:rFonts w:ascii="Arial" w:cs="Arial" w:eastAsia="Arial" w:hAnsi="Arial"/>
                <w:sz w:val="18"/>
                <w:szCs w:val="18"/>
                <w:color w:val="0000FF"/>
                <w:w w:val="93"/>
              </w:rPr>
            </w:pPr>
            <w:hyperlink r:id="rId86">
              <w:r>
                <w:rPr>
                  <w:rFonts w:ascii="Arial" w:cs="Arial" w:eastAsia="Arial" w:hAnsi="Arial"/>
                  <w:sz w:val="18"/>
                  <w:szCs w:val="18"/>
                  <w:color w:val="0000FF"/>
                  <w:w w:val="93"/>
                </w:rPr>
                <w:t>Intercreditor Agreement dated as of May 11, 2023 by and among Daktronics, Inc., JPMorgan Chase Bank, N.A., and Alta Fox Opportunities</w:t>
              </w:r>
            </w:hyperlink>
          </w:p>
        </w:tc>
      </w:tr>
      <w:tr>
        <w:trPr>
          <w:trHeight w:val="183"/>
        </w:trPr>
        <w:tc>
          <w:tcPr>
            <w:tcW w:w="260" w:type="dxa"/>
            <w:vAlign w:val="bottom"/>
            <w:tcBorders>
              <w:top w:val="single" w:sz="8" w:color="auto"/>
              <w:lef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10100" w:type="dxa"/>
            <w:vAlign w:val="bottom"/>
            <w:tcBorders>
              <w:top w:val="single" w:sz="8" w:color="0000FF"/>
            </w:tcBorders>
            <w:gridSpan w:val="41"/>
            <w:shd w:val="clear" w:color="auto" w:fill="CCEEFF"/>
          </w:tcPr>
          <w:p>
            <w:pPr>
              <w:spacing w:after="0" w:line="182" w:lineRule="exact"/>
              <w:rPr>
                <w:rFonts w:ascii="Arial" w:cs="Arial" w:eastAsia="Arial" w:hAnsi="Arial"/>
                <w:sz w:val="18"/>
                <w:szCs w:val="18"/>
                <w:color w:val="0000FF"/>
                <w:w w:val="93"/>
              </w:rPr>
            </w:pPr>
            <w:hyperlink r:id="rId86">
              <w:r>
                <w:rPr>
                  <w:rFonts w:ascii="Arial" w:cs="Arial" w:eastAsia="Arial" w:hAnsi="Arial"/>
                  <w:sz w:val="18"/>
                  <w:szCs w:val="18"/>
                  <w:color w:val="0000FF"/>
                  <w:w w:val="93"/>
                </w:rPr>
                <w:t>Fund, LP (Incorporated by reference to Exhibit 10.7 filed with the Current Report on Form 8-K of Daktronics, Inc. filed on May 12, 2023).</w:t>
              </w:r>
            </w:hyperlink>
          </w:p>
        </w:tc>
        <w:tc>
          <w:tcPr>
            <w:tcW w:w="320" w:type="dxa"/>
            <w:vAlign w:val="bottom"/>
            <w:tcBorders>
              <w:top w:val="single" w:sz="8" w:color="CCEEFF"/>
            </w:tcBorders>
            <w:gridSpan w:val="16"/>
            <w:shd w:val="clear" w:color="auto" w:fill="CCEEFF"/>
          </w:tcPr>
          <w:p>
            <w:pPr>
              <w:spacing w:after="0"/>
              <w:rPr>
                <w:sz w:val="15"/>
                <w:szCs w:val="15"/>
                <w:color w:val="auto"/>
              </w:rPr>
            </w:pPr>
          </w:p>
        </w:tc>
      </w:tr>
      <w:tr>
        <w:trPr>
          <w:trHeight w:val="47"/>
        </w:trPr>
        <w:tc>
          <w:tcPr>
            <w:tcW w:w="440" w:type="dxa"/>
            <w:vAlign w:val="bottom"/>
            <w:tcBorders>
              <w:top w:val="single" w:sz="8" w:color="CCEEFF"/>
              <w:left w:val="single" w:sz="8" w:color="CCEEFF"/>
              <w:right w:val="single" w:sz="8" w:color="CCEEFF"/>
            </w:tcBorders>
            <w:gridSpan w:val="3"/>
            <w:shd w:val="clear" w:color="auto" w:fill="CCEEFF"/>
          </w:tcPr>
          <w:p>
            <w:pPr>
              <w:spacing w:after="0"/>
              <w:rPr>
                <w:sz w:val="4"/>
                <w:szCs w:val="4"/>
                <w:color w:val="auto"/>
              </w:rPr>
            </w:pPr>
          </w:p>
        </w:tc>
        <w:tc>
          <w:tcPr>
            <w:tcW w:w="620" w:type="dxa"/>
            <w:vAlign w:val="bottom"/>
            <w:tcBorders>
              <w:top w:val="single" w:sz="8" w:color="CCEEFF"/>
              <w:right w:val="single" w:sz="8" w:color="CCEEFF"/>
            </w:tcBorders>
            <w:shd w:val="clear" w:color="auto" w:fill="CCEEFF"/>
          </w:tcPr>
          <w:p>
            <w:pPr>
              <w:spacing w:after="0"/>
              <w:rPr>
                <w:sz w:val="4"/>
                <w:szCs w:val="4"/>
                <w:color w:val="auto"/>
              </w:rPr>
            </w:pPr>
          </w:p>
        </w:tc>
        <w:tc>
          <w:tcPr>
            <w:tcW w:w="10000" w:type="dxa"/>
            <w:vAlign w:val="bottom"/>
            <w:tcBorders>
              <w:top w:val="single" w:sz="8" w:color="0000FF"/>
            </w:tcBorders>
            <w:gridSpan w:val="38"/>
            <w:shd w:val="clear" w:color="auto" w:fill="CCEEFF"/>
          </w:tcPr>
          <w:p>
            <w:pPr>
              <w:spacing w:after="0"/>
              <w:rPr>
                <w:sz w:val="4"/>
                <w:szCs w:val="4"/>
                <w:color w:val="auto"/>
              </w:rPr>
            </w:pPr>
          </w:p>
        </w:tc>
        <w:tc>
          <w:tcPr>
            <w:tcW w:w="420" w:type="dxa"/>
            <w:vAlign w:val="bottom"/>
            <w:tcBorders>
              <w:top w:val="single" w:sz="8" w:color="CCEEFF"/>
            </w:tcBorders>
            <w:gridSpan w:val="19"/>
            <w:shd w:val="clear" w:color="auto" w:fill="CCEEFF"/>
          </w:tcPr>
          <w:p>
            <w:pPr>
              <w:spacing w:after="0"/>
              <w:rPr>
                <w:sz w:val="4"/>
                <w:szCs w:val="4"/>
                <w:color w:val="auto"/>
              </w:rPr>
            </w:pPr>
          </w:p>
        </w:tc>
      </w:tr>
    </w:tbl>
    <w:p>
      <w:pPr>
        <w:sectPr>
          <w:pgSz w:w="11900" w:h="16838" w:orient="portrait"/>
          <w:cols w:equalWidth="0" w:num="1">
            <w:col w:w="11240"/>
          </w:cols>
          <w:pgMar w:left="320" w:top="125" w:right="3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40" w:type="dxa"/>
            <w:vAlign w:val="bottom"/>
            <w:gridSpan w:val="3"/>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10200" w:type="dxa"/>
            <w:vAlign w:val="bottom"/>
            <w:gridSpan w:val="5"/>
          </w:tcPr>
          <w:p>
            <w:pPr>
              <w:spacing w:after="0"/>
              <w:rPr>
                <w:sz w:val="20"/>
                <w:szCs w:val="20"/>
                <w:color w:val="auto"/>
              </w:rPr>
            </w:pPr>
            <w:r>
              <w:rPr>
                <w:rFonts w:ascii="Arial" w:cs="Arial" w:eastAsia="Arial" w:hAnsi="Arial"/>
                <w:sz w:val="18"/>
                <w:szCs w:val="18"/>
                <w:u w:val="single" w:color="auto"/>
                <w:color w:val="0000EE"/>
                <w:w w:val="94"/>
              </w:rPr>
              <w:t>Certification of the Chief Executive Officer required by Rule 13a-14(a) or Rule 15d-14(a) under the Securities Exchange Act of 1934, as</w:t>
            </w:r>
          </w:p>
        </w:tc>
      </w:tr>
      <w:tr>
        <w:trPr>
          <w:trHeight w:val="189"/>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700" w:type="dxa"/>
            <w:vAlign w:val="bottom"/>
          </w:tcPr>
          <w:p>
            <w:pPr>
              <w:spacing w:after="0"/>
              <w:rPr>
                <w:sz w:val="16"/>
                <w:szCs w:val="16"/>
                <w:color w:val="auto"/>
              </w:rPr>
            </w:pPr>
          </w:p>
        </w:tc>
        <w:tc>
          <w:tcPr>
            <w:tcW w:w="10180" w:type="dxa"/>
            <w:vAlign w:val="bottom"/>
            <w:gridSpan w:val="4"/>
          </w:tcPr>
          <w:p>
            <w:pPr>
              <w:spacing w:after="0" w:line="189" w:lineRule="exact"/>
              <w:rPr>
                <w:sz w:val="20"/>
                <w:szCs w:val="20"/>
                <w:color w:val="auto"/>
              </w:rPr>
            </w:pPr>
            <w:r>
              <w:rPr>
                <w:rFonts w:ascii="Arial" w:cs="Arial" w:eastAsia="Arial" w:hAnsi="Arial"/>
                <w:sz w:val="17"/>
                <w:szCs w:val="17"/>
                <w:color w:val="0000EE"/>
              </w:rPr>
              <w:t>adopted pursuant to Section 302 of the Sarbanes-Oxley Act of 2002. (1)</w:t>
            </w:r>
            <w:r>
              <w:rPr>
                <w:rFonts w:ascii="Arial" w:cs="Arial" w:eastAsia="Arial" w:hAnsi="Arial"/>
                <w:sz w:val="21"/>
                <w:szCs w:val="21"/>
                <w:u w:val="single" w:color="auto"/>
                <w:color w:val="0000EE"/>
                <w:vertAlign w:val="superscript"/>
              </w:rPr>
              <w:t>1</w:t>
            </w:r>
          </w:p>
        </w:tc>
        <w:tc>
          <w:tcPr>
            <w:tcW w:w="2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180" w:type="dxa"/>
            <w:vAlign w:val="bottom"/>
            <w:tcBorders>
              <w:top w:val="single" w:sz="8" w:color="0000EE"/>
            </w:tcBorders>
          </w:tcPr>
          <w:p>
            <w:pPr>
              <w:spacing w:after="0"/>
              <w:rPr>
                <w:sz w:val="4"/>
                <w:szCs w:val="4"/>
                <w:color w:val="auto"/>
              </w:rPr>
            </w:pPr>
          </w:p>
        </w:tc>
        <w:tc>
          <w:tcPr>
            <w:tcW w:w="43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0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102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EE"/>
                <w:w w:val="95"/>
              </w:rPr>
              <w:t>Certification of the Chief Financial Officer required by Rule 13a-14(a) or Rule 15d-14(a) under the Securities Exchange Act of 1934, as</w:t>
            </w: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5180" w:type="dxa"/>
            <w:vAlign w:val="bottom"/>
            <w:tcBorders>
              <w:top w:val="single" w:sz="8" w:color="0000EE"/>
              <w:bottom w:val="single" w:sz="8" w:color="0000EE"/>
            </w:tcBorders>
            <w:shd w:val="clear" w:color="auto" w:fill="CCEEFF"/>
          </w:tcPr>
          <w:p>
            <w:pPr>
              <w:spacing w:after="0" w:line="182" w:lineRule="exact"/>
              <w:rPr>
                <w:sz w:val="20"/>
                <w:szCs w:val="20"/>
                <w:color w:val="auto"/>
              </w:rPr>
            </w:pPr>
            <w:r>
              <w:rPr>
                <w:rFonts w:ascii="Arial" w:cs="Arial" w:eastAsia="Arial" w:hAnsi="Arial"/>
                <w:sz w:val="18"/>
                <w:szCs w:val="18"/>
                <w:color w:val="0000EE"/>
                <w:w w:val="90"/>
              </w:rPr>
              <w:t>adopted pursuant to Section 302 of the Sarbanes-Oxley Act of 2002. (1)</w:t>
            </w:r>
          </w:p>
        </w:tc>
        <w:tc>
          <w:tcPr>
            <w:tcW w:w="5000" w:type="dxa"/>
            <w:vAlign w:val="bottom"/>
            <w:tcBorders>
              <w:top w:val="single" w:sz="8" w:color="0000EE"/>
              <w:bottom w:val="single" w:sz="8" w:color="CCEEFF"/>
            </w:tcBorders>
            <w:gridSpan w:val="3"/>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2"/>
        </w:trPr>
        <w:tc>
          <w:tcPr>
            <w:tcW w:w="1040" w:type="dxa"/>
            <w:vAlign w:val="bottom"/>
            <w:gridSpan w:val="3"/>
          </w:tcPr>
          <w:p>
            <w:pPr>
              <w:ind w:left="20"/>
              <w:spacing w:after="0" w:line="202"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200" w:type="dxa"/>
            <w:vAlign w:val="bottom"/>
            <w:gridSpan w:val="5"/>
          </w:tcPr>
          <w:p>
            <w:pPr>
              <w:spacing w:after="0" w:line="202" w:lineRule="exact"/>
              <w:rPr>
                <w:sz w:val="20"/>
                <w:szCs w:val="20"/>
                <w:color w:val="auto"/>
              </w:rPr>
            </w:pPr>
            <w:r>
              <w:rPr>
                <w:rFonts w:ascii="Arial" w:cs="Arial" w:eastAsia="Arial" w:hAnsi="Arial"/>
                <w:sz w:val="18"/>
                <w:szCs w:val="18"/>
                <w:color w:val="0000EE"/>
                <w:w w:val="97"/>
              </w:rPr>
              <w:t>Certification of the Chief Executive Officer pursuant to Section 906 of the Sarbanes-Oxley Act of 2002 (18 U.S.C. Section 1350). (1)</w:t>
            </w:r>
          </w:p>
        </w:tc>
      </w:tr>
      <w:tr>
        <w:trPr>
          <w:trHeight w:val="34"/>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5180" w:type="dxa"/>
            <w:vAlign w:val="bottom"/>
            <w:tcBorders>
              <w:top w:val="single" w:sz="8" w:color="0000EE"/>
            </w:tcBorders>
          </w:tcPr>
          <w:p>
            <w:pPr>
              <w:spacing w:after="0"/>
              <w:rPr>
                <w:sz w:val="2"/>
                <w:szCs w:val="2"/>
                <w:color w:val="auto"/>
              </w:rPr>
            </w:pPr>
          </w:p>
        </w:tc>
        <w:tc>
          <w:tcPr>
            <w:tcW w:w="4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102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EE"/>
                <w:w w:val="97"/>
              </w:rPr>
              <w:t>Certification of the Chief Financial Officer pursuant to Section 906 of the Sarbanes-Oxley Act of 2002 (18 U.S.C. Section 1350). (1)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0000EE"/>
            </w:tcBorders>
            <w:shd w:val="clear" w:color="auto" w:fill="CCEEFF"/>
          </w:tcPr>
          <w:p>
            <w:pPr>
              <w:spacing w:after="0"/>
              <w:rPr>
                <w:sz w:val="2"/>
                <w:szCs w:val="2"/>
                <w:color w:val="auto"/>
              </w:rPr>
            </w:pPr>
          </w:p>
        </w:tc>
        <w:tc>
          <w:tcPr>
            <w:tcW w:w="4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15"/>
        </w:trPr>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5"/>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 XBRL tags are embedded</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257"/>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 w:lineRule="exact"/>
        <w:rPr>
          <w:sz w:val="20"/>
          <w:szCs w:val="20"/>
          <w:color w:val="auto"/>
        </w:rPr>
      </w:pPr>
    </w:p>
    <w:p>
      <w:pPr>
        <w:ind w:left="1040" w:hanging="101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49" w:lineRule="exact"/>
        <w:rPr>
          <w:rFonts w:ascii="Arial" w:cs="Arial" w:eastAsia="Arial" w:hAnsi="Arial"/>
          <w:sz w:val="18"/>
          <w:szCs w:val="18"/>
          <w:color w:val="auto"/>
        </w:rPr>
      </w:pPr>
    </w:p>
    <w:p>
      <w:pPr>
        <w:ind w:left="1360" w:hanging="322"/>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714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7740"/>
        <w:spacing w:after="0"/>
        <w:rPr>
          <w:sz w:val="20"/>
          <w:szCs w:val="20"/>
          <w:color w:val="auto"/>
        </w:rPr>
      </w:pPr>
      <w:r>
        <w:rPr>
          <w:rFonts w:ascii="Arial" w:cs="Arial" w:eastAsia="Arial" w:hAnsi="Arial"/>
          <w:sz w:val="18"/>
          <w:szCs w:val="18"/>
          <w:u w:val="single" w:color="auto"/>
          <w:color w:val="auto"/>
        </w:rPr>
        <w:t>/s/ Sheila M. Anderson</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Daktronics, Inc.</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Sheila M. Anderson</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Accounting Officer)</w:t>
      </w:r>
    </w:p>
    <w:p>
      <w:pPr>
        <w:spacing w:after="0" w:line="320"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Date: September 8,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29, 2023 of Daktronics,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7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7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6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8, 2023</w:t>
      </w:r>
    </w:p>
    <w:p>
      <w:pPr>
        <w:sectPr>
          <w:pgSz w:w="11900" w:h="16838" w:orient="portrait"/>
          <w:cols w:equalWidth="0" w:num="1">
            <w:col w:w="11240"/>
          </w:cols>
          <w:pgMar w:left="320" w:top="93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29, 2023 of Daktronics,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7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7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6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8, 2023</w:t>
      </w:r>
    </w:p>
    <w:p>
      <w:pPr>
        <w:sectPr>
          <w:pgSz w:w="11900" w:h="16838" w:orient="portrait"/>
          <w:cols w:equalWidth="0" w:num="1">
            <w:col w:w="11240"/>
          </w:cols>
          <w:pgMar w:left="320" w:top="93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140"/>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29, 2023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8, 2023</w:t>
      </w:r>
    </w:p>
    <w:p>
      <w:pPr>
        <w:sectPr>
          <w:pgSz w:w="11900" w:h="16838" w:orient="portrait"/>
          <w:cols w:equalWidth="0" w:num="1">
            <w:col w:w="11240"/>
          </w:cols>
          <w:pgMar w:left="320" w:top="93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29, 2023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8, 2023</w:t>
      </w:r>
    </w:p>
    <w:sectPr>
      <w:pgSz w:w="11900" w:h="16838" w:orient="portrait"/>
      <w:cols w:equalWidth="0" w:num="1">
        <w:col w:w="11240"/>
      </w:cols>
      <w:pgMar w:left="320" w:top="11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04"/>
    </w:lvl>
    <w:lvl w:ilvl="1">
      <w:lvlJc w:val="left"/>
      <w:lvlText w:val="(%2)"/>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87" Type="http://schemas.openxmlformats.org/officeDocument/2006/relationships/image" Target="media/image37.png"/><Relationship Id="rId88" Type="http://schemas.openxmlformats.org/officeDocument/2006/relationships/image" Target="media/image38.png"/><Relationship Id="rId89" Type="http://schemas.openxmlformats.org/officeDocument/2006/relationships/image" Target="media/image39.png"/><Relationship Id="rId44" Type="http://schemas.openxmlformats.org/officeDocument/2006/relationships/hyperlink" Target="https://www.sec.gov/Archives/edgar/data/915779/000091577918000119/exhibit31.htm" TargetMode="External"/><Relationship Id="rId45" Type="http://schemas.openxmlformats.org/officeDocument/2006/relationships/hyperlink" Target="http://www.sec.gov/Archives/edgar/data/915779/000091577918000119/exhibit31.htm" TargetMode="External"/><Relationship Id="rId46" Type="http://schemas.openxmlformats.org/officeDocument/2006/relationships/hyperlink" Target="https://www.sec.gov/Archives/edgar/data/915779/000091577923000007/exhibit31.htm" TargetMode="External"/><Relationship Id="rId47" Type="http://schemas.openxmlformats.org/officeDocument/2006/relationships/hyperlink" Target="https://www.sec.gov/Archives/edgar/data/915779/000091577918000089/dakt_20181116x8-kxex41.htm" TargetMode="External"/><Relationship Id="rId48" Type="http://schemas.openxmlformats.org/officeDocument/2006/relationships/hyperlink" Target="http://www.sec.gov/Archives/edgar/data/915779/000091577918000089/dakt_20181116x8-kxex41.htm" TargetMode="External"/><Relationship Id="rId49" Type="http://schemas.openxmlformats.org/officeDocument/2006/relationships/hyperlink" Target="https://www.sec.gov/Archives/edgar/data/915779/000143774921027158/ex_309612.htm" TargetMode="External"/><Relationship Id="rId50" Type="http://schemas.openxmlformats.org/officeDocument/2006/relationships/hyperlink" Target="http://www.sec.gov/Archives/edgar/data/915779/000143774921027158/ex_309612.htm" TargetMode="External"/><Relationship Id="rId51" Type="http://schemas.openxmlformats.org/officeDocument/2006/relationships/hyperlink" Target="https://www.sec.gov/Archives/edgar/data/915779/000091577916000233/dakt_20161115xex101.htm" TargetMode="External"/><Relationship Id="rId52" Type="http://schemas.openxmlformats.org/officeDocument/2006/relationships/hyperlink" Target="http://www.sec.gov/Archives/edgar/data/915779/000091577916000233/dakt_20161115xex101.htm" TargetMode="External"/><Relationship Id="rId53" Type="http://schemas.openxmlformats.org/officeDocument/2006/relationships/hyperlink" Target="https://www.sec.gov/Archives/edgar/data/915779/000091577916000233/dakt_20161115xex102.htm" TargetMode="External"/><Relationship Id="rId54" Type="http://schemas.openxmlformats.org/officeDocument/2006/relationships/hyperlink" Target="http://www.sec.gov/Archives/edgar/data/915779/000091577916000233/dakt_20161115xex102.htm" TargetMode="External"/><Relationship Id="rId55" Type="http://schemas.openxmlformats.org/officeDocument/2006/relationships/hyperlink" Target="https://www.sec.gov/Archives/edgar/data/915779/000091577919000079/dakt_20191115xex101.htm" TargetMode="External"/><Relationship Id="rId56" Type="http://schemas.openxmlformats.org/officeDocument/2006/relationships/hyperlink" Target="http://www.sec.gov/Archives/edgar/data/915779/000091577919000079/dakt_20191115xex101.htm" TargetMode="External"/><Relationship Id="rId57" Type="http://schemas.openxmlformats.org/officeDocument/2006/relationships/hyperlink" Target="https://www.sec.gov/Archives/edgar/data/915779/000091577920000052/dakt20200801q1ex104.htm" TargetMode="External"/><Relationship Id="rId58" Type="http://schemas.openxmlformats.org/officeDocument/2006/relationships/hyperlink" Target="http://www.sec.gov/Archives/edgar/data/915779/000091577920000052/dakt20200801q1ex104.htm" TargetMode="External"/><Relationship Id="rId59" Type="http://schemas.openxmlformats.org/officeDocument/2006/relationships/hyperlink" Target="https://www.sec.gov/Archives/edgar/data/915779/000143774921014600/ex_246991.htm" TargetMode="External"/><Relationship Id="rId60" Type="http://schemas.openxmlformats.org/officeDocument/2006/relationships/hyperlink" Target="http://www.sec.gov/Archives/edgar/data/915779/000143774921014600/ex_246991.htm" TargetMode="External"/><Relationship Id="rId61" Type="http://schemas.openxmlformats.org/officeDocument/2006/relationships/hyperlink" Target="https://www.sec.gov/Archives/edgar/data/915779/000143774922010278/ex_367356.htm" TargetMode="External"/><Relationship Id="rId62" Type="http://schemas.openxmlformats.org/officeDocument/2006/relationships/hyperlink" Target="https://www.sec.gov/Archives/edgar/data/915779/000091577922000023/exhibit101_08152022credita.htm" TargetMode="External"/><Relationship Id="rId63" Type="http://schemas.openxmlformats.org/officeDocument/2006/relationships/hyperlink" Target="https://www.sec.gov/Archives/edgar/data/915779/000091577922000092/a101amendmenttocreditagree.htm" TargetMode="External"/><Relationship Id="rId64" Type="http://schemas.openxmlformats.org/officeDocument/2006/relationships/hyperlink" Target="https://www.sec.gov/Archives/edgar/data/915779/000091577922000115/a101sixthamendmenttocredit.htm" TargetMode="External"/><Relationship Id="rId65" Type="http://schemas.openxmlformats.org/officeDocument/2006/relationships/hyperlink" Target="https://www.sec.gov/Archives/edgar/data/915779/000091577923000003/exhibit101_seventhamendment.htm" TargetMode="External"/><Relationship Id="rId66" Type="http://schemas.openxmlformats.org/officeDocument/2006/relationships/hyperlink" Target="https://www.sec.gov/Archives/edgar/data/915779/000091577920000052/dakt20200801q1ex105.htm" TargetMode="External"/><Relationship Id="rId67" Type="http://schemas.openxmlformats.org/officeDocument/2006/relationships/hyperlink" Target="http://www.sec.gov/Archives/edgar/data/915779/000091577920000052/dakt20200801q1ex105.htm" TargetMode="External"/><Relationship Id="rId68" Type="http://schemas.openxmlformats.org/officeDocument/2006/relationships/hyperlink" Target="https://www.sec.gov/Archives/edgar/data/915779/000091577920000033/dakt-20200502_defx14a.htm" TargetMode="External"/><Relationship Id="rId69" Type="http://schemas.openxmlformats.org/officeDocument/2006/relationships/hyperlink" Target="http://www.sec.gov/Archives/edgar/data/915779/000091577920000033/dakt-20200502_defx14a.htm" TargetMode="External"/><Relationship Id="rId70" Type="http://schemas.openxmlformats.org/officeDocument/2006/relationships/hyperlink" Target="https://www.sec.gov/Archives/edgar/data/915779/000091577920000054/daktex1028-ksom2020.htm" TargetMode="External"/><Relationship Id="rId71" Type="http://schemas.openxmlformats.org/officeDocument/2006/relationships/hyperlink" Target="http://www.sec.gov/Archives/edgar/data/915779/000091577920000054/daktex1028-ksom2020.htm" TargetMode="External"/><Relationship Id="rId72" Type="http://schemas.openxmlformats.org/officeDocument/2006/relationships/hyperlink" Target="https://www.sec.gov/Archives/edgar/data/915779/000091577920000054/daktex1038-ksom2020.htm" TargetMode="External"/><Relationship Id="rId73" Type="http://schemas.openxmlformats.org/officeDocument/2006/relationships/hyperlink" Target="http://www.sec.gov/Archives/edgar/data/915779/000091577920000054/daktex1038-ksom2020.htm" TargetMode="External"/><Relationship Id="rId74" Type="http://schemas.openxmlformats.org/officeDocument/2006/relationships/hyperlink" Target="https://www.sec.gov/Archives/edgar/data/915779/000091577920000054/daktex1048-ksom2020.htm" TargetMode="External"/><Relationship Id="rId75" Type="http://schemas.openxmlformats.org/officeDocument/2006/relationships/hyperlink" Target="http://www.sec.gov/Archives/edgar/data/915779/000091577920000054/daktex1048-ksom2020.htm" TargetMode="External"/><Relationship Id="rId76" Type="http://schemas.openxmlformats.org/officeDocument/2006/relationships/hyperlink" Target="https://www.sec.gov/Archives/edgar/data/915779/000091577920000054/daktex1058-ksom2020.htm" TargetMode="External"/><Relationship Id="rId77" Type="http://schemas.openxmlformats.org/officeDocument/2006/relationships/hyperlink" Target="http://www.sec.gov/Archives/edgar/data/915779/000091577920000054/daktex1058-ksom2020.htm" TargetMode="External"/><Relationship Id="rId78" Type="http://schemas.openxmlformats.org/officeDocument/2006/relationships/hyperlink" Target="https://www.sec.gov/Archives/edgar/data/915779/000091577922000010/exhibit101_071822.htm" TargetMode="External"/><Relationship Id="rId79" Type="http://schemas.openxmlformats.org/officeDocument/2006/relationships/hyperlink" Target="https://www.sec.gov/Archives/edgar/data/915779/000091577923000022/seniorsecondliensecuredcon.htm" TargetMode="External"/><Relationship Id="rId80" Type="http://schemas.openxmlformats.org/officeDocument/2006/relationships/hyperlink" Target="https://www.sec.gov/Archives/edgar/data/915779/000091577923000029/exhibit101toformexecuted.htm" TargetMode="External"/><Relationship Id="rId81" Type="http://schemas.openxmlformats.org/officeDocument/2006/relationships/hyperlink" Target="https://www.sec.gov/Archives/edgar/data/915779/000091577923000029/exhibit102toformexecuted.htm" TargetMode="External"/><Relationship Id="rId82" Type="http://schemas.openxmlformats.org/officeDocument/2006/relationships/hyperlink" Target="https://www.sec.gov/Archives/edgar/data/915779/000091577923000029/exhibit103toform_execute.htm" TargetMode="External"/><Relationship Id="rId83" Type="http://schemas.openxmlformats.org/officeDocument/2006/relationships/hyperlink" Target="https://www.sec.gov/Archives/edgar/data/915779/000091577923000029/exhibit104toform_execute.htm" TargetMode="External"/><Relationship Id="rId84" Type="http://schemas.openxmlformats.org/officeDocument/2006/relationships/hyperlink" Target="https://www.sec.gov/Archives/edgar/data/915779/000091577923000029/exhibit105toform_execute.htm" TargetMode="External"/><Relationship Id="rId85" Type="http://schemas.openxmlformats.org/officeDocument/2006/relationships/hyperlink" Target="https://www.sec.gov/Archives/edgar/data/915779/000091577923000029/exhibit106toform_execute.htm" TargetMode="External"/><Relationship Id="rId86" Type="http://schemas.openxmlformats.org/officeDocument/2006/relationships/hyperlink" Target="https://www.sec.gov/Archives/edgar/data/915779/000091577923000029/exhibit107toform_execu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2023-09-08T16:41:52Z</dcterms:created>
  <dcterms:modified xsi:type="dcterms:W3CDTF">2023-09-08T16:41:52Z</dcterms:modified>
</cp:coreProperties>
</file>