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346075</wp:posOffset>
            </wp:positionH>
            <wp:positionV relativeFrom="page">
              <wp:posOffset>492125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397510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258445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January 30, 2016</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jc w:val="center"/>
        <w:ind w:left="4740" w:right="2480" w:hanging="2250"/>
        <w:spacing w:after="0" w:line="258" w:lineRule="auto"/>
        <w:tabs>
          <w:tab w:leader="none" w:pos="2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tabs>
          <w:tab w:leader="none" w:pos="100" w:val="left"/>
        </w:tabs>
        <w:rPr>
          <w:sz w:val="20"/>
          <w:szCs w:val="20"/>
          <w:color w:val="auto"/>
        </w:rPr>
      </w:pPr>
      <w:r>
        <w:rPr>
          <w:rFonts w:ascii="Arial" w:cs="Arial" w:eastAsia="Arial" w:hAnsi="Arial"/>
          <w:sz w:val="16"/>
          <w:szCs w:val="16"/>
          <w:b w:val="1"/>
          <w:bCs w:val="1"/>
          <w:i w:val="1"/>
          <w:iCs w:val="1"/>
          <w:color w:val="auto"/>
        </w:rPr>
        <w:t>For the Transition Period From</w:t>
      </w:r>
      <w:r>
        <w:rPr>
          <w:sz w:val="20"/>
          <w:szCs w:val="20"/>
          <w:color w:val="auto"/>
        </w:rPr>
        <w:tab/>
      </w:r>
      <w:r>
        <w:rPr>
          <w:rFonts w:ascii="Arial" w:cs="Arial" w:eastAsia="Arial" w:hAnsi="Arial"/>
          <w:sz w:val="15"/>
          <w:szCs w:val="15"/>
          <w:b w:val="1"/>
          <w:bCs w:val="1"/>
          <w:i w:val="1"/>
          <w:iCs w:val="1"/>
          <w:color w:val="auto"/>
        </w:rPr>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86360</wp:posOffset>
            </wp:positionV>
            <wp:extent cx="6869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-15875</wp:posOffset>
            </wp:positionV>
            <wp:extent cx="26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132080</wp:posOffset>
            </wp:positionV>
            <wp:extent cx="1097915"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2340" w:type="dxa"/>
        <w:tblCellMar>
          <w:top w:w="0" w:type="dxa"/>
          <w:left w:w="0" w:type="dxa"/>
          <w:bottom w:w="0" w:type="dxa"/>
          <w:right w:w="0" w:type="dxa"/>
        </w:tblCellMar>
      </w:tblPr>
      <w:tr>
        <w:trPr>
          <w:trHeight w:val="207"/>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South Dakota</w:t>
            </w:r>
          </w:p>
        </w:tc>
        <w:tc>
          <w:tcPr>
            <w:tcW w:w="2680" w:type="dxa"/>
            <w:vAlign w:val="bottom"/>
            <w:vMerge w:val="restart"/>
          </w:tcPr>
          <w:p>
            <w:pPr>
              <w:jc w:val="right"/>
              <w:ind w:right="859"/>
              <w:spacing w:after="0"/>
              <w:rPr>
                <w:sz w:val="20"/>
                <w:szCs w:val="20"/>
                <w:color w:val="auto"/>
              </w:rPr>
            </w:pPr>
            <w:r>
              <w:rPr>
                <w:rFonts w:ascii="Arial" w:cs="Arial" w:eastAsia="Arial" w:hAnsi="Arial"/>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(State or other jurisdiction of incorporation or</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jc w:val="center"/>
              <w:ind w:right="859"/>
              <w:spacing w:after="0"/>
              <w:rPr>
                <w:sz w:val="20"/>
                <w:szCs w:val="20"/>
                <w:color w:val="auto"/>
              </w:rPr>
            </w:pPr>
            <w:r>
              <w:rPr>
                <w:rFonts w:ascii="Arial" w:cs="Arial" w:eastAsia="Arial" w:hAnsi="Arial"/>
                <w:sz w:val="16"/>
                <w:szCs w:val="16"/>
                <w:color w:val="auto"/>
                <w:w w:val="92"/>
              </w:rPr>
              <w:t>organization)</w:t>
            </w:r>
          </w:p>
        </w:tc>
        <w:tc>
          <w:tcPr>
            <w:tcW w:w="26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Number)</w:t>
            </w:r>
          </w:p>
        </w:tc>
        <w:tc>
          <w:tcPr>
            <w:tcW w:w="0" w:type="dxa"/>
            <w:vAlign w:val="bottom"/>
          </w:tcPr>
          <w:p>
            <w:pPr>
              <w:spacing w:after="0"/>
              <w:rPr>
                <w:sz w:val="1"/>
                <w:szCs w:val="1"/>
                <w:color w:val="auto"/>
              </w:rPr>
            </w:pPr>
          </w:p>
        </w:tc>
      </w:tr>
      <w:tr>
        <w:trPr>
          <w:trHeight w:val="492"/>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201 Daktronics Drive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0"/>
              </w:rPr>
              <w:t>Brookings SD</w:t>
            </w:r>
          </w:p>
        </w:tc>
        <w:tc>
          <w:tcPr>
            <w:tcW w:w="2680" w:type="dxa"/>
            <w:vAlign w:val="bottom"/>
          </w:tcPr>
          <w:p>
            <w:pPr>
              <w:jc w:val="right"/>
              <w:ind w:right="1039"/>
              <w:spacing w:after="0"/>
              <w:rPr>
                <w:sz w:val="20"/>
                <w:szCs w:val="20"/>
                <w:color w:val="auto"/>
              </w:rPr>
            </w:pPr>
            <w:r>
              <w:rPr>
                <w:rFonts w:ascii="Arial" w:cs="Arial" w:eastAsia="Arial" w:hAnsi="Arial"/>
                <w:sz w:val="16"/>
                <w:szCs w:val="16"/>
                <w:b w:val="1"/>
                <w:bCs w:val="1"/>
                <w:color w:val="auto"/>
              </w:rPr>
              <w:t>57006</w:t>
            </w:r>
          </w:p>
        </w:tc>
        <w:tc>
          <w:tcPr>
            <w:tcW w:w="0" w:type="dxa"/>
            <w:vAlign w:val="bottom"/>
          </w:tcPr>
          <w:p>
            <w:pPr>
              <w:spacing w:after="0"/>
              <w:rPr>
                <w:sz w:val="1"/>
                <w:szCs w:val="1"/>
                <w:color w:val="auto"/>
              </w:rPr>
            </w:pPr>
          </w:p>
        </w:tc>
      </w:tr>
      <w:tr>
        <w:trPr>
          <w:trHeight w:val="257"/>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(Address of principal executive offices)</w:t>
            </w:r>
          </w:p>
        </w:tc>
        <w:tc>
          <w:tcPr>
            <w:tcW w:w="2680" w:type="dxa"/>
            <w:vAlign w:val="bottom"/>
          </w:tcPr>
          <w:p>
            <w:pPr>
              <w:jc w:val="center"/>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226"/>
        </w:trPr>
        <w:tc>
          <w:tcPr>
            <w:tcW w:w="3920" w:type="dxa"/>
            <w:vAlign w:val="bottom"/>
          </w:tcPr>
          <w:p>
            <w:pPr>
              <w:jc w:val="right"/>
              <w:spacing w:after="0"/>
              <w:rPr>
                <w:sz w:val="20"/>
                <w:szCs w:val="20"/>
                <w:color w:val="auto"/>
              </w:rPr>
            </w:pPr>
            <w:r>
              <w:rPr>
                <w:rFonts w:ascii="Arial" w:cs="Arial" w:eastAsia="Arial" w:hAnsi="Arial"/>
                <w:sz w:val="16"/>
                <w:szCs w:val="16"/>
                <w:b w:val="1"/>
                <w:bCs w:val="1"/>
                <w:color w:val="auto"/>
              </w:rPr>
              <w:t>(605) 692-0200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ind w:right="140"/>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660"/>
        <w:spacing w:after="0"/>
        <w:rPr>
          <w:sz w:val="20"/>
          <w:szCs w:val="20"/>
          <w:color w:val="auto"/>
        </w:rPr>
      </w:pPr>
      <w:r>
        <w:rPr>
          <w:rFonts w:ascii="Arial" w:cs="Arial" w:eastAsia="Arial" w:hAnsi="Arial"/>
          <w:sz w:val="15"/>
          <w:szCs w:val="15"/>
          <w:color w:val="auto"/>
        </w:rPr>
        <w:t>Yes x No o</w:t>
      </w:r>
    </w:p>
    <w:p>
      <w:pPr>
        <w:spacing w:after="0" w:line="19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ind w:left="10600"/>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90"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720" w:space="720"/>
            <w:col w:w="3840" w:space="720"/>
            <w:col w:w="1680" w:space="720"/>
            <w:col w:w="2020"/>
          </w:cols>
          <w:pgMar w:left="240" w:top="99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4">
            <w:col w:w="1720" w:space="720"/>
            <w:col w:w="3840" w:space="720"/>
            <w:col w:w="1780" w:space="620"/>
            <w:col w:w="2020"/>
          </w:cols>
          <w:pgMar w:left="240" w:top="990" w:right="239" w:bottom="1440" w:gutter="0" w:footer="0" w:header="0"/>
          <w:type w:val="continuous"/>
        </w:sectPr>
      </w:pP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3" w:lineRule="exact"/>
        <w:rPr>
          <w:sz w:val="24"/>
          <w:szCs w:val="24"/>
          <w:color w:val="auto"/>
        </w:rPr>
      </w:pPr>
    </w:p>
    <w:p>
      <w:pPr>
        <w:ind w:left="105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February 29, 2016 was 43,978,169.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 the Quarter Ended January 30, 2016</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gridSpan w:val="4"/>
          </w:tcPr>
          <w:p>
            <w:pPr>
              <w:ind w:left="90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2">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6"/>
          </w:tcPr>
          <w:p>
            <w:pPr>
              <w:spacing w:after="0"/>
              <w:rPr>
                <w:rFonts w:ascii="Arial" w:cs="Arial" w:eastAsia="Arial" w:hAnsi="Arial"/>
                <w:sz w:val="18"/>
                <w:szCs w:val="18"/>
                <w:b w:val="1"/>
                <w:bCs w:val="1"/>
                <w:color w:val="0000FF"/>
                <w:w w:val="92"/>
              </w:rPr>
            </w:pPr>
            <w:hyperlink w:anchor="page2">
              <w:r>
                <w:rPr>
                  <w:rFonts w:ascii="Arial" w:cs="Arial" w:eastAsia="Arial" w:hAnsi="Arial"/>
                  <w:sz w:val="18"/>
                  <w:szCs w:val="18"/>
                  <w:b w:val="1"/>
                  <w:bCs w:val="1"/>
                  <w:color w:val="0000FF"/>
                  <w:w w:val="92"/>
                </w:rPr>
                <w:t>Financial Information</w:t>
              </w:r>
            </w:hyperlink>
          </w:p>
        </w:tc>
        <w:tc>
          <w:tcPr>
            <w:tcW w:w="6940" w:type="dxa"/>
            <w:vAlign w:val="bottom"/>
            <w:gridSpan w:val="13"/>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4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100" w:type="dxa"/>
            <w:vAlign w:val="bottom"/>
            <w:gridSpan w:val="3"/>
          </w:tcPr>
          <w:p>
            <w:pPr>
              <w:ind w:left="9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January 30, 2016 (unaudited) and May 2, 2015</w:t>
              </w:r>
            </w:hyperlink>
          </w:p>
        </w:tc>
        <w:tc>
          <w:tcPr>
            <w:tcW w:w="2180" w:type="dxa"/>
            <w:vAlign w:val="bottom"/>
            <w:gridSpan w:val="4"/>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and Nine Months Ended January 30, 2016 and</w:t>
              </w:r>
            </w:hyperlink>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6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January 31, 2015 (unaudited)</w:t>
              </w:r>
            </w:hyperlink>
          </w:p>
        </w:tc>
        <w:tc>
          <w:tcPr>
            <w:tcW w:w="1100" w:type="dxa"/>
            <w:vAlign w:val="bottom"/>
            <w:gridSpan w:val="3"/>
          </w:tcPr>
          <w:p>
            <w:pPr>
              <w:ind w:left="9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for the Three and Nine Months Ended January</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30, 2016 and January 31, 2015 (unaudited)</w:t>
              </w:r>
            </w:hyperlink>
          </w:p>
        </w:tc>
        <w:tc>
          <w:tcPr>
            <w:tcW w:w="960" w:type="dxa"/>
            <w:vAlign w:val="bottom"/>
            <w:gridSpan w:val="2"/>
          </w:tcPr>
          <w:p>
            <w:pPr>
              <w:spacing w:after="0"/>
              <w:rPr>
                <w:sz w:val="17"/>
                <w:szCs w:val="17"/>
                <w:color w:val="auto"/>
              </w:rPr>
            </w:pPr>
          </w:p>
        </w:tc>
        <w:tc>
          <w:tcPr>
            <w:tcW w:w="1100" w:type="dxa"/>
            <w:vAlign w:val="bottom"/>
            <w:gridSpan w:val="3"/>
          </w:tcPr>
          <w:p>
            <w:pPr>
              <w:ind w:left="92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Nine Months Ended January 30, 2016 and January</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31, 2015 (unaudited)</w:t>
              </w:r>
            </w:hyperlink>
          </w:p>
        </w:tc>
        <w:tc>
          <w:tcPr>
            <w:tcW w:w="5560" w:type="dxa"/>
            <w:vAlign w:val="bottom"/>
            <w:tcBorders>
              <w:top w:val="single" w:sz="8" w:color="0000EE"/>
            </w:tcBorders>
            <w:gridSpan w:val="8"/>
          </w:tcPr>
          <w:p>
            <w:pPr>
              <w:spacing w:after="0"/>
              <w:rPr>
                <w:sz w:val="17"/>
                <w:szCs w:val="17"/>
                <w:color w:val="auto"/>
              </w:rPr>
            </w:pPr>
          </w:p>
        </w:tc>
        <w:tc>
          <w:tcPr>
            <w:tcW w:w="10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Consolidated Financial Statements</w:t>
              </w:r>
            </w:hyperlink>
          </w:p>
        </w:tc>
        <w:tc>
          <w:tcPr>
            <w:tcW w:w="1100" w:type="dxa"/>
            <w:vAlign w:val="bottom"/>
            <w:gridSpan w:val="3"/>
          </w:tcPr>
          <w:p>
            <w:pPr>
              <w:ind w:left="9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Item 2.</w:t>
              </w:r>
            </w:hyperlink>
          </w:p>
        </w:tc>
        <w:tc>
          <w:tcPr>
            <w:tcW w:w="8640" w:type="dxa"/>
            <w:vAlign w:val="bottom"/>
            <w:gridSpan w:val="19"/>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1260" w:type="dxa"/>
            <w:vAlign w:val="bottom"/>
            <w:gridSpan w:val="4"/>
          </w:tcPr>
          <w:p>
            <w:pPr>
              <w:ind w:left="920"/>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3.</w:t>
              </w:r>
            </w:hyperlink>
          </w:p>
        </w:tc>
        <w:tc>
          <w:tcPr>
            <w:tcW w:w="8640" w:type="dxa"/>
            <w:vAlign w:val="bottom"/>
            <w:gridSpan w:val="1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Quantitative and Qualitative Disclosures About Market Risk</w:t>
              </w:r>
            </w:hyperlink>
          </w:p>
        </w:tc>
        <w:tc>
          <w:tcPr>
            <w:tcW w:w="1260" w:type="dxa"/>
            <w:vAlign w:val="bottom"/>
            <w:gridSpan w:val="4"/>
          </w:tcPr>
          <w:p>
            <w:pPr>
              <w:ind w:left="92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4.</w:t>
              </w:r>
            </w:hyperlink>
          </w:p>
        </w:tc>
        <w:tc>
          <w:tcPr>
            <w:tcW w:w="864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Controls and Procedures</w:t>
              </w:r>
            </w:hyperlink>
          </w:p>
        </w:tc>
        <w:tc>
          <w:tcPr>
            <w:tcW w:w="1260" w:type="dxa"/>
            <w:vAlign w:val="bottom"/>
            <w:gridSpan w:val="4"/>
          </w:tcPr>
          <w:p>
            <w:pPr>
              <w:ind w:left="92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w:t>
              </w:r>
            </w:hyperlink>
          </w:p>
        </w:tc>
        <w:tc>
          <w:tcPr>
            <w:tcW w:w="8640" w:type="dxa"/>
            <w:vAlign w:val="bottom"/>
            <w:gridSpan w:val="1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Other Information</w:t>
              </w:r>
            </w:hyperlink>
          </w:p>
        </w:tc>
        <w:tc>
          <w:tcPr>
            <w:tcW w:w="1260" w:type="dxa"/>
            <w:vAlign w:val="bottom"/>
            <w:gridSpan w:val="4"/>
          </w:tcPr>
          <w:p>
            <w:pPr>
              <w:ind w:left="92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31">
              <w:r>
                <w:rPr>
                  <w:rFonts w:ascii="Arial" w:cs="Arial" w:eastAsia="Arial" w:hAnsi="Arial"/>
                  <w:sz w:val="18"/>
                  <w:szCs w:val="18"/>
                  <w:color w:val="0000FF"/>
                  <w:w w:val="98"/>
                </w:rPr>
                <w:t>Item 1.</w:t>
              </w:r>
            </w:hyperlink>
          </w:p>
        </w:tc>
        <w:tc>
          <w:tcPr>
            <w:tcW w:w="260" w:type="dxa"/>
            <w:vAlign w:val="bottom"/>
            <w:gridSpan w:val="2"/>
          </w:tcPr>
          <w:p>
            <w:pPr>
              <w:spacing w:after="0"/>
              <w:rPr>
                <w:sz w:val="21"/>
                <w:szCs w:val="21"/>
                <w:color w:val="auto"/>
              </w:rPr>
            </w:pPr>
          </w:p>
        </w:tc>
        <w:tc>
          <w:tcPr>
            <w:tcW w:w="1440" w:type="dxa"/>
            <w:vAlign w:val="bottom"/>
            <w:gridSpan w:val="5"/>
          </w:tcPr>
          <w:p>
            <w:pPr>
              <w:spacing w:after="0"/>
              <w:rPr>
                <w:rFonts w:ascii="Arial" w:cs="Arial" w:eastAsia="Arial" w:hAnsi="Arial"/>
                <w:sz w:val="18"/>
                <w:szCs w:val="18"/>
                <w:color w:val="0000FF"/>
                <w:w w:val="93"/>
              </w:rPr>
            </w:pPr>
            <w:hyperlink w:anchor="page31">
              <w:r>
                <w:rPr>
                  <w:rFonts w:ascii="Arial" w:cs="Arial" w:eastAsia="Arial" w:hAnsi="Arial"/>
                  <w:sz w:val="18"/>
                  <w:szCs w:val="18"/>
                  <w:color w:val="0000FF"/>
                  <w:w w:val="93"/>
                </w:rPr>
                <w:t>Legal Proceedings</w:t>
              </w:r>
            </w:hyperlink>
          </w:p>
        </w:tc>
        <w:tc>
          <w:tcPr>
            <w:tcW w:w="7200" w:type="dxa"/>
            <w:vAlign w:val="bottom"/>
            <w:gridSpan w:val="14"/>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Risk Factors</w:t>
              </w:r>
            </w:hyperlink>
          </w:p>
        </w:tc>
        <w:tc>
          <w:tcPr>
            <w:tcW w:w="7740" w:type="dxa"/>
            <w:vAlign w:val="bottom"/>
            <w:gridSpan w:val="16"/>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tcBorders>
              <w:bottom w:val="single" w:sz="8" w:color="0000FF"/>
            </w:tcBorders>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2.</w:t>
              </w:r>
            </w:hyperlink>
          </w:p>
        </w:tc>
        <w:tc>
          <w:tcPr>
            <w:tcW w:w="180" w:type="dxa"/>
            <w:vAlign w:val="bottom"/>
            <w:tcBorders>
              <w:bottom w:val="single" w:sz="8" w:color="0000FF"/>
            </w:tcBorders>
          </w:tcPr>
          <w:p>
            <w:pPr>
              <w:spacing w:after="0"/>
              <w:rPr>
                <w:sz w:val="21"/>
                <w:szCs w:val="21"/>
                <w:color w:val="auto"/>
              </w:rPr>
            </w:pP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Unregistered Sales of Equity Securities and Use of Proceeds</w:t>
              </w:r>
            </w:hyperlink>
          </w:p>
        </w:tc>
        <w:tc>
          <w:tcPr>
            <w:tcW w:w="4280" w:type="dxa"/>
            <w:vAlign w:val="bottom"/>
            <w:gridSpan w:val="6"/>
          </w:tcPr>
          <w:p>
            <w:pPr>
              <w:spacing w:after="0"/>
              <w:rPr>
                <w:sz w:val="21"/>
                <w:szCs w:val="21"/>
                <w:color w:val="auto"/>
              </w:rPr>
            </w:pPr>
          </w:p>
        </w:tc>
        <w:tc>
          <w:tcPr>
            <w:tcW w:w="1260" w:type="dxa"/>
            <w:vAlign w:val="bottom"/>
            <w:gridSpan w:val="4"/>
          </w:tcPr>
          <w:p>
            <w:pPr>
              <w:ind w:left="92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3.</w:t>
              </w:r>
            </w:hyperlink>
          </w:p>
        </w:tc>
        <w:tc>
          <w:tcPr>
            <w:tcW w:w="8640" w:type="dxa"/>
            <w:vAlign w:val="bottom"/>
            <w:gridSpan w:val="1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Defaults Upon Senior Securities</w:t>
              </w:r>
            </w:hyperlink>
          </w:p>
        </w:tc>
        <w:tc>
          <w:tcPr>
            <w:tcW w:w="1260" w:type="dxa"/>
            <w:vAlign w:val="bottom"/>
            <w:gridSpan w:val="4"/>
          </w:tcPr>
          <w:p>
            <w:pPr>
              <w:ind w:left="92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tcBorders>
              <w:bottom w:val="single" w:sz="8" w:color="0000FF"/>
            </w:tcBorders>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4.</w:t>
              </w:r>
            </w:hyperlink>
          </w:p>
        </w:tc>
        <w:tc>
          <w:tcPr>
            <w:tcW w:w="1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Mine Safety Disclosures</w:t>
              </w:r>
            </w:hyperlink>
          </w:p>
        </w:tc>
        <w:tc>
          <w:tcPr>
            <w:tcW w:w="6880" w:type="dxa"/>
            <w:vAlign w:val="bottom"/>
            <w:gridSpan w:val="12"/>
          </w:tcPr>
          <w:p>
            <w:pPr>
              <w:spacing w:after="0"/>
              <w:rPr>
                <w:sz w:val="21"/>
                <w:szCs w:val="21"/>
                <w:color w:val="auto"/>
              </w:rPr>
            </w:pPr>
          </w:p>
        </w:tc>
        <w:tc>
          <w:tcPr>
            <w:tcW w:w="1260" w:type="dxa"/>
            <w:vAlign w:val="bottom"/>
            <w:gridSpan w:val="4"/>
          </w:tcPr>
          <w:p>
            <w:pPr>
              <w:ind w:left="9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5.</w:t>
              </w:r>
            </w:hyperlink>
          </w:p>
        </w:tc>
        <w:tc>
          <w:tcPr>
            <w:tcW w:w="864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Other Information</w:t>
              </w:r>
            </w:hyperlink>
          </w:p>
        </w:tc>
        <w:tc>
          <w:tcPr>
            <w:tcW w:w="1260" w:type="dxa"/>
            <w:vAlign w:val="bottom"/>
            <w:gridSpan w:val="4"/>
          </w:tcPr>
          <w:p>
            <w:pPr>
              <w:ind w:left="92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40" w:type="dxa"/>
            <w:vAlign w:val="bottom"/>
            <w:gridSpan w:val="1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6.</w:t>
              </w:r>
            </w:hyperlink>
          </w:p>
        </w:tc>
        <w:tc>
          <w:tcPr>
            <w:tcW w:w="864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Exhibits</w:t>
              </w:r>
            </w:hyperlink>
          </w:p>
        </w:tc>
        <w:tc>
          <w:tcPr>
            <w:tcW w:w="1260" w:type="dxa"/>
            <w:vAlign w:val="bottom"/>
            <w:gridSpan w:val="4"/>
          </w:tcPr>
          <w:p>
            <w:pPr>
              <w:ind w:left="92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60" w:type="dxa"/>
            <w:vAlign w:val="bottom"/>
            <w:gridSpan w:val="1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33">
              <w:r>
                <w:rPr>
                  <w:rFonts w:ascii="Arial" w:cs="Arial" w:eastAsia="Arial" w:hAnsi="Arial"/>
                  <w:sz w:val="18"/>
                  <w:szCs w:val="18"/>
                  <w:b w:val="1"/>
                  <w:bCs w:val="1"/>
                  <w:color w:val="0000FF"/>
                  <w:w w:val="83"/>
                </w:rPr>
                <w:t>Signatures</w:t>
              </w:r>
            </w:hyperlink>
          </w:p>
        </w:tc>
        <w:tc>
          <w:tcPr>
            <w:tcW w:w="8640" w:type="dxa"/>
            <w:vAlign w:val="bottom"/>
            <w:gridSpan w:val="19"/>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34">
              <w:r>
                <w:rPr>
                  <w:rFonts w:ascii="Arial" w:cs="Arial" w:eastAsia="Arial" w:hAnsi="Arial"/>
                  <w:sz w:val="18"/>
                  <w:szCs w:val="18"/>
                  <w:b w:val="1"/>
                  <w:bCs w:val="1"/>
                  <w:color w:val="0000FF"/>
                  <w:w w:val="90"/>
                </w:rPr>
                <w:t>Index to Exhibits</w:t>
              </w:r>
            </w:hyperlink>
          </w:p>
        </w:tc>
        <w:tc>
          <w:tcPr>
            <w:tcW w:w="8140" w:type="dxa"/>
            <w:vAlign w:val="bottom"/>
            <w:gridSpan w:val="18"/>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w:t>
            </w:r>
          </w:p>
        </w:tc>
        <w:tc>
          <w:tcPr>
            <w:tcW w:w="24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2,</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57,284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73,430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80,857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64,389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30,815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35,068</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6,663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10,640</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Income tax receivables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5,543</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259,803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290,070</w:t>
            </w:r>
          </w:p>
        </w:tc>
      </w:tr>
      <w:tr>
        <w:trPr>
          <w:trHeight w:val="277"/>
        </w:trPr>
        <w:tc>
          <w:tcPr>
            <w:tcW w:w="8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6,090</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5,269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2,680</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r>
      <w:tr>
        <w:trPr>
          <w:trHeight w:val="237"/>
        </w:trPr>
        <w:tc>
          <w:tcPr>
            <w:tcW w:w="8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16,565</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2,147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Buildings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64,186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86,104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80,664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Computer software and hardware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53,784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51,083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Equipment held for rental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Demonstration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7,299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6,012</w:t>
            </w:r>
          </w:p>
        </w:tc>
      </w:tr>
      <w:tr>
        <w:trPr>
          <w:trHeight w:val="237"/>
        </w:trPr>
        <w:tc>
          <w:tcPr>
            <w:tcW w:w="8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237,809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228,017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155,173</w:t>
            </w:r>
          </w:p>
        </w:tc>
      </w:tr>
      <w:tr>
        <w:trPr>
          <w:trHeight w:val="237"/>
        </w:trPr>
        <w:tc>
          <w:tcPr>
            <w:tcW w:w="8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73,378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72,844</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348,138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379,479</w:t>
            </w: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48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121" w:right="4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January 30,</w:t>
            </w:r>
          </w:p>
        </w:tc>
        <w:tc>
          <w:tcPr>
            <w:tcW w:w="24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2,</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37,903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52,747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26,063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14,171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11,838</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23,797</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Customer deposits (billed or collected)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15,645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16,828</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 (billed or collected)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115,504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142,020</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8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14,929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14,643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Other long-term obligations, less current maturities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3,190</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income tax payable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939</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25,420</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142,167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167,440</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8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no par value, authorized 120,000,000 shares; 43,998,635 and 43,643,801</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shares issued and outstanding at January 30, 2016 and May 2, 2015,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50,498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48,960</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34,637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32,693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132,771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Treasury Stock, at cost, 19,680 shares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205,971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212,039</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348,138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379,479</w:t>
            </w: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486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240" w:top="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122" w:right="41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ind w:left="6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9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w:t>
            </w:r>
          </w:p>
        </w:tc>
        <w:tc>
          <w:tcPr>
            <w:tcW w:w="20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31,</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w:t>
            </w:r>
          </w:p>
        </w:tc>
        <w:tc>
          <w:tcPr>
            <w:tcW w:w="2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January 31,</w:t>
            </w:r>
          </w:p>
        </w:tc>
      </w:tr>
      <w:tr>
        <w:trPr>
          <w:trHeight w:val="234"/>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123,816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118,123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431,705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457,856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101,787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93,061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338,662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348,514</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22,029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25,062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93,043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109,342</w:t>
            </w:r>
          </w:p>
        </w:tc>
      </w:tr>
      <w:tr>
        <w:trPr>
          <w:trHeight w:val="284"/>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13,784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13,694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42,873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43,405</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24,194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22,890</w:t>
            </w: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5,883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19,826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18,773</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27,575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26,647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86,893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85,068</w:t>
            </w: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b w:val="1"/>
                <w:bCs w:val="1"/>
                <w:color w:val="auto"/>
              </w:rPr>
              <w:t>Operating (loss) income</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6,150</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24,274</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77"/>
        </w:trPr>
        <w:tc>
          <w:tcPr>
            <w:tcW w:w="4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(Loss) 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24,698</w:t>
            </w: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1,083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7,655</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4,991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17,043</w:t>
            </w: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44,021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43,612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43,933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43,435</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44,021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43,991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44,357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44,204</w:t>
            </w:r>
          </w:p>
        </w:tc>
      </w:tr>
      <w:tr>
        <w:trPr>
          <w:trHeight w:val="284"/>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0.39</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r>
      <w:tr>
        <w:trPr>
          <w:trHeight w:val="277"/>
        </w:trPr>
        <w:tc>
          <w:tcPr>
            <w:tcW w:w="4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 declared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84"/>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459"/>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31,</w:t>
            </w:r>
          </w:p>
        </w:tc>
      </w:tr>
      <w:tr>
        <w:trPr>
          <w:trHeight w:val="234"/>
        </w:trPr>
        <w:tc>
          <w:tcPr>
            <w:tcW w:w="52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rPr>
              <w:t>January 30, 2016</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5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5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17,043</w:t>
            </w:r>
          </w:p>
        </w:tc>
      </w:tr>
      <w:tr>
        <w:trPr>
          <w:trHeight w:val="284"/>
        </w:trPr>
        <w:tc>
          <w:tcPr>
            <w:tcW w:w="5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(2,501)</w:t>
            </w: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Unrealized income (loss) on available-for-sale securities, net of</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w:t>
            </w: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Total other comprehensive loss, net of tax</w:t>
            </w: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(2,504)</w:t>
            </w:r>
          </w:p>
        </w:tc>
      </w:tr>
      <w:tr>
        <w:trPr>
          <w:trHeight w:val="27"/>
        </w:trPr>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14,539</w:t>
            </w:r>
          </w:p>
        </w:tc>
      </w:tr>
      <w:tr>
        <w:trPr>
          <w:trHeight w:val="20"/>
        </w:trPr>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21" w:right="29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w:t>
            </w:r>
          </w:p>
        </w:tc>
        <w:tc>
          <w:tcPr>
            <w:tcW w:w="1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31,</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17,043</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12,381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11,056</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premium/discount on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Gain on sale of property, equipment and other assets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Gain on sale of equity investee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(18,181)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2,193</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27,317</w:t>
            </w:r>
          </w:p>
        </w:tc>
        <w:tc>
          <w:tcPr>
            <w:tcW w:w="0" w:type="dxa"/>
            <w:vAlign w:val="bottom"/>
          </w:tcPr>
          <w:p>
            <w:pPr>
              <w:spacing w:after="0"/>
              <w:rPr>
                <w:sz w:val="1"/>
                <w:szCs w:val="1"/>
                <w:color w:val="auto"/>
              </w:rPr>
            </w:pPr>
          </w:p>
        </w:tc>
      </w:tr>
      <w:tr>
        <w:trPr>
          <w:trHeight w:val="183"/>
        </w:trPr>
        <w:tc>
          <w:tcPr>
            <w:tcW w:w="84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(13,389)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(15,328)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 of property, equipment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(18,273)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(10,647)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19,069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10,256</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(6,223)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 of equity method investment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(14,288)</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(13,158)</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(13,016)</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(12,592)</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(25,607)</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183"/>
        </w:trPr>
        <w:tc>
          <w:tcPr>
            <w:tcW w:w="84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57,284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45,054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31,677</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41,751</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Cash payments for:</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Income taxes, net of refunds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5,466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Purchase of property and equipment included in accounts payable</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of common stock under the employee stock purchase plan</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7"/>
        </w:trPr>
        <w:tc>
          <w:tcPr>
            <w:tcW w:w="8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121" w:right="259" w:bottom="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1" w:right="259" w:bottom="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U.S. generally accepted accounting principles ("GAAP") requires management to make estimates and assumptions affecting the reported amounts therein. Due to the inherent uncertainty involved in making estimates, actual results in future periods may differ from those estimates.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The balance sheet at May 2, 2015 has been derived from the audited financial statements at that date, but it does not include all of the information and footnotes required by GAAP for complete financial statements. These financial statements should be read in conjunction with our financial statements and notes thereto for the year ended May 2, 2015,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Daktronics, Inc. operates on a 52 to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and each of the last three quarters is comprised of a 13 week period. Fiscal 2015 was a 53-week year; therefore, the nine months ended January 30, 2016 contained operating results for 39 weeks while the nine months ended January 31, 2015 contained operating results for 40 weeks.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reclassifications in the Consolidated Balance Sheets' categories of prepaid expenses and other assets and investment in affiliates and other assets have been made to conform fiscal 2015 to the fiscal 2016 classifications for comparative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provides new guidance related to accounting for leases and supercedes existing U.S. GAAP on lease accounting. The main difference between the existing guidance on accounting for leases and the new standard is that operating leases will not be recorded in the statement of financial position as assets and liabilities. The new guidance is effective for interim and annual periods beginning after December 15, 2018, with early adoption permitted. We are currently evaluating the effect that adopting this new accounting guidance will have on our consolidated results of operations, cash flows, and financial position.</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w:t>
      </w:r>
      <w:r>
        <w:rPr>
          <w:rFonts w:ascii="Arial" w:cs="Arial" w:eastAsia="Arial" w:hAnsi="Arial"/>
          <w:sz w:val="17"/>
          <w:szCs w:val="17"/>
          <w:color w:val="auto"/>
        </w:rPr>
        <w:t>, which affects accounting for equity investments and financial liabilities where the fair value option has been elected. The new guidance is</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for interim and annual periods beginning after December 15, 2017, which early adoption permitted. We are currently evaluating the effect that adopting this new accounting guidance will have on our consolidated results of operations, cash flows, and financial position.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which simplifies the presentation of deferred income taxes. Under the new accounting standard, deferred tax assets and liabilities are required to be classified as noncurrent, eliminating the prior requirement to separate deferred tax assets and liabilities into current and noncurrent. The new guidance is effective for interim and annual periods beginning after December 15, 2016, with early adoption permitted. The standard may be adopted prospectively to all deferred tax liabilities and assets or retrospectively to all periods presented. We are currently evaluating the effect that adopting ASU 2015-17 will have on our consolidated results of operations, cash flows, and financial position.</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which changes the measurement principle of inventory from the lower of cost or market to the lower of cost and net realizable value. The guidance will require prospective application at the beginning of our first quarter of fiscal 2018, but it permits adoption in an earlier period. We have evaluated the effect of adopting ASU 2015-11 and will adopt the standard at the beginning of fiscal year 2017. There will be no material impact to our consolidated results of operations, cash flows, and financial position.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was issued as a new topic, Accounting Standards Codification ("ASC") 606. The new revenue recognition standard provides a five-step analysis of transactions to determine when and how revenue is recognized. The core principle of the guidance is that a company should recognize revenue to depict the transfer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promised goods or services to customers in an amount that reflects the consideration to which the entity expects to be entitled in exchange for those goods or services. This standard will also result in enhanced disclosures about revenue, providing guidance for transactions that were not previously addressed comprehensively and improving guidance for multiple-element arrangements. The FASB recently announced plans to defer the effective adoption date for one year. ASU 2014-09 is effective for us beginning in fiscal 2019 and can be adopted by the Company either retrospectively or as a cumulative-effect adjustment as of the date of adoption. We are currently evaluating the effect that adopting ASU 2014-09 will have on our consolidated results of operations, cash flows, and financial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income and common share amounts used in the calculation of basic and diluted EPS for the three and nine months ended January 30, 2016 and January 31,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Net income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(loss)</w:t>
            </w: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January 30, 2016</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44,021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44,021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January 31, 2015</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43,612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43,991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nine months ended January 30, 2016</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43,933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4,991</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44,357</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nine months ended January 31, 2015</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17,043</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43,435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769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17,043</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44,204</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Options outstanding to purchase 2,166 shares of common stock with a weighted average exercise price of $14.63 for the three months ended January 30, 2016 and 1,457 shares of common stock with a weighted average exercise price of $18.39 for the three months ended January 31, 2015 were not included in the computation of diluted earnings per share because the effects would be anti-dilutive and because of the loss recorded for the 2016 period.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2,180 shares of common stock with a weighted average exercise price of $15.01 for the nine months ended January 30, 2016 and 1,479 shares of common stock with a weighted average exercise price of $18.38 for the nine months ended January 31, 2015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High School Park and Recreation, Transportation, and International. These segments are based on the type of customer or geography and are the same as our business units.</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Commercial business unit primarily consists of sales of our video display systems, digital billboards, and Galaxy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Fuelight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lines to resellers (primarily sign companies), out-of-home ("OOH") companies,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displays and video display systems to primary and secondary education facilities. Our Transportation business unit primarily consists of sales of our Vanguard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Galaxy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lines to governmental transportation departments, airlines and other transportation related customers. Our International business unit consists of sales of all product lines outside the United States and Canada. We focus</w:t>
      </w:r>
    </w:p>
    <w:p>
      <w:pPr>
        <w:sectPr>
          <w:pgSz w:w="11900" w:h="16838" w:orient="portrait"/>
          <w:cols w:equalWidth="0" w:num="1">
            <w:col w:w="11420"/>
          </w:cols>
          <w:pgMar w:left="240" w:top="121"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product lines that relate to integrated scoring and video display systems for sports and commercial applications, out-of-home advertising products, and European transportation related products.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are allocated to each segment based on various financial measures; however, some depreciation and amortization are corporate in nature and remain unallocated. In general, our segments follow the same accounting policies as those described in Note 1 of our Annual Report on Form 10-K for the fiscal year ended May 2, 2015. Unabsorbed costs of domestic field sales and services infrastructure, including most field administrative staff, are allocated to the Commercial, Live Events, Transportation, and High School Park and Recreation business units based on cost of sales. Shared manufacturing, buildings and utilities, and procurement costs are allocated based on payroll dollars, square footage and various other financial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31,</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29,385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121,472</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51,067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33,496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149,750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171,811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54,152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55,125</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11,698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38,759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34,807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20,726</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76,383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74,641</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123,816</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118,123</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431,705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457,856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21,822</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4,046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2,072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17,031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20,629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9,616</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2,694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1,317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9,057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6,843</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8,245</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11,368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50,170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65,937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22,890</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5,883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19,826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18,773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24,274</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(expense)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b w:val="1"/>
                <w:bCs w:val="1"/>
                <w:color w:val="auto"/>
              </w:rPr>
              <w:t>(Loss) income before income taxes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6,074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24,698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7,655</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4,991</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17,043</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1,258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3,676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Unallocated corporate depreciation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1,996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4,229</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0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80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6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31,</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370,168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27,996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84,427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87,688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118,123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457,856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62"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January 30,</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right"/>
        <w:ind w:right="3380"/>
        <w:spacing w:after="0"/>
        <w:rPr>
          <w:sz w:val="20"/>
          <w:szCs w:val="20"/>
          <w:color w:val="auto"/>
        </w:rPr>
      </w:pPr>
      <w:r>
        <w:rPr>
          <w:rFonts w:ascii="Arial" w:cs="Arial" w:eastAsia="Arial" w:hAnsi="Arial"/>
          <w:sz w:val="17"/>
          <w:szCs w:val="17"/>
          <w:b w:val="1"/>
          <w:bCs w:val="1"/>
          <w:color w:val="auto"/>
        </w:rPr>
        <w:t>May 2,</w:t>
      </w:r>
    </w:p>
    <w:p>
      <w:pPr>
        <w:spacing w:after="0" w:line="39" w:lineRule="exact"/>
        <w:rPr>
          <w:sz w:val="20"/>
          <w:szCs w:val="20"/>
          <w:color w:val="auto"/>
        </w:rPr>
      </w:pPr>
    </w:p>
    <w:p>
      <w:pPr>
        <w:jc w:val="right"/>
        <w:ind w:right="3440"/>
        <w:spacing w:after="0"/>
        <w:rPr>
          <w:sz w:val="20"/>
          <w:szCs w:val="20"/>
          <w:color w:val="auto"/>
        </w:rPr>
      </w:pP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22860</wp:posOffset>
            </wp:positionV>
            <wp:extent cx="866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80" w:space="720"/>
            <w:col w:w="392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67,882</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4,962</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73,378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72,844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therefore, we are not economically dependent on a limited number of customers for the sale of our products and services except with respect to our dependence on two major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loss. As it relates to fixed income marketable securities, we do not intend to sell any of these investments, and it is not likely we will be required to sell any of these investments before recovery of the entire amortized cost basis. In addition, as of January 30, 2016,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2016 and May 2, 2015,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rPr>
              <w:t>Unrealized Gains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Losses</w:t>
            </w:r>
          </w:p>
        </w:tc>
        <w:tc>
          <w:tcPr>
            <w:tcW w:w="24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January 30, 2016</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15,420</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15,420</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6,574</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2,480</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24,474</w:t>
            </w:r>
          </w:p>
        </w:tc>
        <w:tc>
          <w:tcPr>
            <w:tcW w:w="2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24,471</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11,409</w:t>
            </w:r>
          </w:p>
        </w:tc>
        <w:tc>
          <w:tcPr>
            <w:tcW w:w="2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7,951</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4,989</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25,349</w:t>
            </w:r>
          </w:p>
        </w:tc>
        <w:tc>
          <w:tcPr>
            <w:tcW w:w="2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25,346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income (expense), net. Upon the sale of a security classified as available-for-sale, the security’s specific unrealized gain (loss) is reclassified out of "accumulated other comprehensive loss” into earnings based on the specific identification method. In the nine months ended January 30, 2016 and January 31, 2015, the reclassifications from accumulated other comprehensive loss to earnings were immaterial.</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January 30, 2016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sponsored agencies</w:t>
            </w:r>
          </w:p>
        </w:tc>
        <w:tc>
          <w:tcPr>
            <w:tcW w:w="20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6,569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6,569</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w:t>
            </w:r>
          </w:p>
        </w:tc>
      </w:tr>
      <w:tr>
        <w:trPr>
          <w:trHeight w:val="237"/>
        </w:trPr>
        <w:tc>
          <w:tcPr>
            <w:tcW w:w="58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7,815</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16,656</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24,471</w:t>
            </w:r>
          </w:p>
        </w:tc>
      </w:tr>
      <w:tr>
        <w:trPr>
          <w:trHeight w:val="27"/>
        </w:trPr>
        <w:tc>
          <w:tcPr>
            <w:tcW w:w="5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100 percent ownership in Data Display, a European transportation display company, on August 11, 2014 for an undisclosed amount. The results of its operations have been included in our consolidated financial statements since the date of acquisition. We have not made pro forma disclosures because the results of its operations are not material to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Data Display is a European based company focused on the design and manufacture of transportation displays. This acquisition allows our organization to better service transportation customers world-wide and broaden our leadership position on a global scale. This acquisition included a manufacturing plant in Ireland to manufacture transportation displays. This acquisition was funded with cash on hand.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fiscal 2015, we prepared the preliminary fair value measurements of assets acquired and liabilities assumed as of the acquisition date using independent appraisals and other analysis. A final measurement was completed during the first quarter of fiscal 2016, and the fair values of the consideration paid and contingent consideration were finalized.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adjustments that were made to the original purchase price allocation:</w:t>
      </w:r>
    </w:p>
    <w:p>
      <w:pPr>
        <w:spacing w:after="0" w:line="38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w w:val="89"/>
              </w:rPr>
              <w:t>Purchase price allocation as</w:t>
            </w: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00" w:type="dxa"/>
            <w:vAlign w:val="bottom"/>
            <w:gridSpan w:val="2"/>
          </w:tcPr>
          <w:p>
            <w:pPr>
              <w:ind w:left="40"/>
              <w:spacing w:after="0"/>
              <w:rPr>
                <w:sz w:val="20"/>
                <w:szCs w:val="20"/>
                <w:color w:val="auto"/>
              </w:rPr>
            </w:pPr>
            <w:r>
              <w:rPr>
                <w:rFonts w:ascii="Arial" w:cs="Arial" w:eastAsia="Arial" w:hAnsi="Arial"/>
                <w:sz w:val="18"/>
                <w:szCs w:val="18"/>
                <w:color w:val="auto"/>
                <w:w w:val="91"/>
              </w:rPr>
              <w:t>Reconciliation of assets and</w:t>
            </w:r>
          </w:p>
        </w:tc>
      </w:tr>
      <w:tr>
        <w:trPr>
          <w:trHeight w:val="230"/>
        </w:trPr>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originally reported</w:t>
            </w:r>
          </w:p>
        </w:tc>
        <w:tc>
          <w:tcPr>
            <w:tcW w:w="380" w:type="dxa"/>
            <w:vAlign w:val="bottom"/>
          </w:tcPr>
          <w:p>
            <w:pPr>
              <w:spacing w:after="0"/>
              <w:rPr>
                <w:sz w:val="20"/>
                <w:szCs w:val="20"/>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color w:val="auto"/>
                <w:w w:val="97"/>
              </w:rPr>
              <w:t>liabilities transferred</w:t>
            </w:r>
          </w:p>
        </w:tc>
      </w:tr>
      <w:tr>
        <w:trPr>
          <w:trHeight w:val="27"/>
        </w:trPr>
        <w:tc>
          <w:tcPr>
            <w:tcW w:w="2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Trademarks and Technology</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480</w:t>
            </w:r>
          </w:p>
        </w:tc>
        <w:tc>
          <w:tcPr>
            <w:tcW w:w="3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1,433</w:t>
            </w:r>
          </w:p>
        </w:tc>
        <w:tc>
          <w:tcPr>
            <w:tcW w:w="3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for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2,773</w:t>
            </w:r>
          </w:p>
        </w:tc>
        <w:tc>
          <w:tcPr>
            <w:tcW w:w="3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2,624</w:t>
            </w: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1,869</w:t>
            </w:r>
          </w:p>
        </w:tc>
        <w:tc>
          <w:tcPr>
            <w:tcW w:w="3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1,892</w:t>
            </w: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Long-term Obligations</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950</w:t>
            </w:r>
          </w:p>
        </w:tc>
        <w:tc>
          <w:tcPr>
            <w:tcW w:w="3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950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Sale of Theatre Rigging Manufacturing</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July 2014, we sold our automated rigging systems business for theatre applications. Related to the sale, we recorded a $1,261 gain, which is included in cost of goods sold in the High School Park and Recreation business unit.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part of the transaction, we sold assets of $2,817 that primarily consisted of accounts receivable, patents, inventory, and manufacturing equipment, net of $355 of accounts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related to each reportable segment for the nine months ended January 30, 2016 were as follows: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5,269</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Acquisition, net of cash required</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as of January 30, 2016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5,316</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perform an analysis of goodwill on an annual basis. We performed our annual analysis based on the goodwill amount as of the first business day of our third quarter in fiscal 2016, which was November 1, 2015. The result of the analysis indicated no goodwill impairment existed as of that 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8. Inventories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w:t>
            </w:r>
          </w:p>
        </w:tc>
        <w:tc>
          <w:tcPr>
            <w:tcW w:w="28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May 2,</w:t>
            </w:r>
          </w:p>
        </w:tc>
      </w:tr>
      <w:tr>
        <w:trPr>
          <w:trHeight w:val="234"/>
        </w:trPr>
        <w:tc>
          <w:tcPr>
            <w:tcW w:w="7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29,486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8,480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7,512</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30,747</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28,552</w:t>
            </w:r>
          </w:p>
        </w:tc>
      </w:tr>
      <w:tr>
        <w:trPr>
          <w:trHeight w:val="237"/>
        </w:trPr>
        <w:tc>
          <w:tcPr>
            <w:tcW w:w="7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68,713</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64,389</w:t>
            </w:r>
          </w:p>
        </w:tc>
      </w:tr>
      <w:tr>
        <w:trPr>
          <w:trHeight w:val="27"/>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are reported net of an allowance for doubtful accounts of $2,206 and $2,316 at January 30, 2016 and May 2, 2015, respectively.</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U.S.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$8,726 and $9,874 as of January 30, 2016 and May 2, 2015, respectively. Contract and lease receivables bearing annual interest rates of 4.8 to 10.0 percent are due in varying annual installments through August 2024. The face amount of long-term receivables was $9,148 as of January 30, 2016 and $10,976 as of May 2, 2015. Included in accounts receivable as of January 30, 2016 and May 2, 2015 was $836 and $385, respectively, of retainage on construction-type contracts, all of which is expected to be collected within one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Contingencies - Loss Contingencies</w:t>
      </w:r>
      <w:r>
        <w:rPr>
          <w:rFonts w:ascii="Arial" w:cs="Arial" w:eastAsia="Arial" w:hAnsi="Arial"/>
          <w:sz w:val="17"/>
          <w:szCs w:val="17"/>
          <w:color w:val="auto"/>
        </w:rPr>
        <w:t>. Our assessment of whether a loss is reasonably possible or probable is based on our assessment and consultation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legal counsel regarding the ultimate outcome of the matter following all appeals.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30, 2016 and May 2, 2015, we did not believe there was a reasonable probability any material loss for these various claims or legal actions, including reviews, inspections or other legal proceedings, if any, will be incurred. Accordingly, no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offer a standard parts coverage warranty for periods varying from one to five years for most of our products. We also offer additional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which may be incurred under the warranty obligations and record a liability in the amount of such estimated costs at the time the revenue is recognized. Factors affecting our estimate of the cost of our warranty obligations</w:t>
      </w:r>
    </w:p>
    <w:p>
      <w:pPr>
        <w:sectPr>
          <w:pgSz w:w="11900" w:h="16838" w:orient="portrait"/>
          <w:cols w:equalWidth="0" w:num="1">
            <w:col w:w="11420"/>
          </w:cols>
          <w:pgMar w:left="240" w:top="122"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 historical experience and expectations of future conditions. We continually assess the adequacy of our recorded accrued warranty obligations and, to the extent we experience any changes in warranty claim activity or costs associated with servicing those claims, our warranty obligations are adjusted accordingly.</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fiscal 2016, we discovered a warranty issue caused by a mechanical device failure within a module for displays primarily in our out-of-home applications built prior to fiscal 2013. The device failure causes a visual defect in the display. We are deploying preventative maintenance to sites impacted and can repair the device in our repair center. When certain site locations have exceeded an acceptable failure rate, we have refurbished the display to meet customers’ expectations under contractual obligations. We have increased our accrued warranty obligations by $5.6 million during fiscal 2016 and $1.2 million during fiscal 2015 for probable and reasonably estimable costs to remediate this issue. As of January 30, 2016, we had $3.5 million remaining in accrued warranty obligations for the estimate of probable future claims related to this issue. Because failure rates are unpredictable, the final outcome of this matter is dependent on many factors that are difficult to predict. Accordingly, it is possible that the ultimate cost to resolve this matter may increase and materially different than the amount of the current estimate and accrual.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obligation for the nine months ended January 30, 2016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26,481</w:t>
            </w:r>
          </w:p>
        </w:tc>
      </w:tr>
      <w:tr>
        <w:trPr>
          <w:trHeight w:val="243"/>
        </w:trPr>
        <w:tc>
          <w:tcPr>
            <w:tcW w:w="7020" w:type="dxa"/>
            <w:vAlign w:val="bottom"/>
          </w:tcPr>
          <w:p>
            <w:pPr>
              <w:ind w:left="660"/>
              <w:spacing w:after="0"/>
              <w:rPr>
                <w:sz w:val="20"/>
                <w:szCs w:val="20"/>
                <w:color w:val="auto"/>
              </w:rPr>
            </w:pPr>
            <w:r>
              <w:rPr>
                <w:rFonts w:ascii="Arial" w:cs="Arial" w:eastAsia="Arial" w:hAnsi="Arial"/>
                <w:sz w:val="18"/>
                <w:szCs w:val="18"/>
                <w:color w:val="auto"/>
              </w:rPr>
              <w:t>Warranties issued during the period</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8,696</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(13,769)</w:t>
            </w:r>
          </w:p>
        </w:tc>
      </w:tr>
      <w:tr>
        <w:trPr>
          <w:trHeight w:val="229"/>
        </w:trPr>
        <w:tc>
          <w:tcPr>
            <w:tcW w:w="7020" w:type="dxa"/>
            <w:vAlign w:val="bottom"/>
          </w:tcPr>
          <w:p>
            <w:pPr>
              <w:ind w:left="680"/>
              <w:spacing w:after="0"/>
              <w:rPr>
                <w:sz w:val="20"/>
                <w:szCs w:val="20"/>
                <w:color w:val="auto"/>
              </w:rPr>
            </w:pPr>
            <w:r>
              <w:rPr>
                <w:rFonts w:ascii="Arial" w:cs="Arial" w:eastAsia="Arial" w:hAnsi="Arial"/>
                <w:sz w:val="18"/>
                <w:szCs w:val="18"/>
                <w:color w:val="auto"/>
              </w:rPr>
              <w:t>Changes in accrued warranty obligations for pre-existing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warranties during the period, including expirations</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7,692</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29,100</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 type contracts. As of January 30, 2016, we had outstanding letters of credit and surety bonds in the amount of $8,183 and $64,302, respectively. Performance guarantees are issued to certain customers to guarantee the operation and installation of the equipment and our ability to complete a contract. These performance guarantees have various terms, which are generally one year.</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vehicles, office space and equipment for various global sales and service locations, including manufacturing space in the United States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China. Some of these leases, including the lease for manufacturing facilities in Sioux Falls, South Dakota, include provisions for extensions or purchase. The lease for the facilities in Sioux Falls, South Dakota can be extended for an additional three years past its current term, which ends December 31, 2016, and it contains an option to purchase the property subject to the lease from January 1, 2015 to December 31, 2016 for $8,400, which approximates fair value. If the lease is extended, the purchase option increases to $8,600 for the year ending December 31, 2017 and $8,800 for the year ending December 31, 2018. Rental expense for operating leases was $2,023 and $2,048 for the nine months ended January 30, 2016 and January 31, 2015,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January 30,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1,859</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information technology maintenance and support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other products and services over periods that extend beyond one year. As of January 30, 2016, we were obligated under the following conditional and unconditional purchase commitments, which included $600 in conditional purchase commitments: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income taxes of multiple state jurisdictions. As a result of the completion of examinations by the Internal Revenue Service on prior years and the expiration of statutes of limitations, our fiscal years 2013, 2014, and 2015 are the remaining years open under statutes of limitations. Certain subsidiaries are also subject to income tax in several foreign jurisdictions which have open tax years varying by jurisdiction beginning in fiscal 2005.</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2016, we had $2,986 of unrecognized tax benefits which would reduce our effective tax rate if recognized.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18, 2015, the President signed into law The Protecting Americans from Tax Hikes Act of 2015 (“PATH Act”). Under prior law, a taxpayer was not entitled to a research tax credit for qualifying amounts paid or incurred after December 31, 2014. However, under the PATH Act, a taxpayer is now entitled to a research tax credit for qualifying amounts paid or incurred after December 31, 2014 with no expiration. As a result of the retroactive reinstatement and permanent extension, we recognized in the third quarter of fiscal 2016 approximately $2.0 million in tax benefits for the credit.</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19, 2014, the President signed into law The Tax Increase Prevention Act of 2014. Under prior law, a taxpayer was entitled to a research tax credit for qualifying amounts paid or incurred on or before December 31, 2013. The 2014 Tax Increase Prevention Act extended the research credit for one year to December 31, 2014. The extension of the research credit was retroactive and included amounts paid or incurred after December 31, 2013. As a result of the retroactive extension, we recognized in the third quarter of fiscal 2015 approximately $1.3 million in tax benefits for the credit.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for fixed-rate contracts receivable are estimated using a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consolidated balance sheets within other long-term obligations approximates fair value and has been categorized as a Level 2 fair value measurement.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January 30, 2016 and May 2, 2015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1"/>
              </w:rPr>
              <w:t>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January 30, 2016</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31,677</w:t>
            </w:r>
          </w:p>
        </w:tc>
        <w:tc>
          <w:tcPr>
            <w:tcW w:w="5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31,677</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15,420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15,420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2,482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31,871</w:t>
            </w:r>
          </w:p>
        </w:tc>
        <w:tc>
          <w:tcPr>
            <w:tcW w:w="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24,658</w:t>
            </w:r>
          </w:p>
        </w:tc>
        <w:tc>
          <w:tcPr>
            <w:tcW w:w="2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56,529</w:t>
            </w:r>
          </w:p>
        </w:tc>
        <w:tc>
          <w:tcPr>
            <w:tcW w:w="0" w:type="dxa"/>
            <w:vAlign w:val="bottom"/>
          </w:tcPr>
          <w:p>
            <w:pPr>
              <w:spacing w:after="0"/>
              <w:rPr>
                <w:sz w:val="1"/>
                <w:szCs w:val="1"/>
                <w:color w:val="auto"/>
              </w:rPr>
            </w:pPr>
          </w:p>
        </w:tc>
      </w:tr>
      <w:tr>
        <w:trPr>
          <w:trHeight w:val="67"/>
        </w:trPr>
        <w:tc>
          <w:tcPr>
            <w:tcW w:w="61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57,284</w:t>
            </w:r>
          </w:p>
        </w:tc>
        <w:tc>
          <w:tcPr>
            <w:tcW w:w="5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57,284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11,409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4,994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58,781</w:t>
            </w:r>
          </w:p>
        </w:tc>
        <w:tc>
          <w:tcPr>
            <w:tcW w:w="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24,062</w:t>
            </w:r>
          </w:p>
        </w:tc>
        <w:tc>
          <w:tcPr>
            <w:tcW w:w="2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82,843</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Consists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 of investment grade municipal bonds trading with sufficient frequency and volume to enable us to obtain pricing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an ongoing basis. The contractual maturities of these investments vary from two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a valuation from a third-party bank. See Note 13. Derivative Financial Instruments for more information regarding our derivatives.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measurement standard also applies to certain non-financial assets and liabilities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value. We utilized the fair value measurement standard, using primarily Level 3 inputs, to value the assets and liabilities for the business combination involving Data Display and the determination of goodwill associated with the sale of our automated rigging systems business for theatre applications. See Note 5. Business Combinations and Note 6. Sale of Theatre Rigging Manufacturing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accounts receivable or accounts payable measured at fair value, and changes in fair values are recognized in earnings unless specific hedge accounting criteria are met for cash flow or net investment hedges. As of January 30, 2016 and May 2, 2015, we had not designated any of our derivative instruments as accounting hedges, and thus we recorded the changes in fair value in other income (expense), net.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January 30, 2016 and May 2, 2015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760"/>
              <w:spacing w:after="0"/>
              <w:rPr>
                <w:sz w:val="20"/>
                <w:szCs w:val="20"/>
                <w:color w:val="auto"/>
              </w:rPr>
            </w:pPr>
            <w:r>
              <w:rPr>
                <w:rFonts w:ascii="Arial" w:cs="Arial" w:eastAsia="Arial" w:hAnsi="Arial"/>
                <w:sz w:val="18"/>
                <w:szCs w:val="18"/>
                <w:b w:val="1"/>
                <w:bCs w:val="1"/>
                <w:color w:val="auto"/>
              </w:rPr>
              <w:t>January 30, 2016</w:t>
            </w:r>
          </w:p>
        </w:tc>
        <w:tc>
          <w:tcPr>
            <w:tcW w:w="27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May 2, 2015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Dollars/Japanese Yen</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91,282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1,799</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1,679</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Dollars/Singapore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Dollars/New Zealand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Dollars/Euros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Dollars/Swiss Franc</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5,662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January 30, 2016 and May 2, 2015, there was a net asset and liability of $187 and $283, respectively, representing the fair value of foreign currency exchange forward contracts, which were determined using Level 2 inputs from a third-party bank.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February 29, 2016, our Board of Directors declared a quarterly dividend of $0.10 per share payable on March 22, 2016 to shareholders of record of our common stock on March 11,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parts shortages and lead times; (viii.) fluctuations in margins; (ix.) the seasonality of our business; (x.) the introduction of new products and technology; and (xi.) the timing and magnitude of any acquisitions or dispositions.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May 2, 2015 in the section entitled “Item 1A. Risk Factors” and "Item 7. Management's Discussion and Analysis of Financial Condition and Results of Operations," and those factors discussed in detail in our other filings with the Securities and Exchange Commission.</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highlights the principal factors impacting our financial condition and further describes our results of operations. This discussion should be read in conjunction with the accompanying Consolidated Financial Statements and Notes to the Consolidated Financial Statements included in this Report.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discussion and analysis of financial condition and results of operations are based upon our consolidated financial statements, which have been prepared in accordance with U.S. generally accepted accounting principles ("GAAP").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(formerly known as Schools and Theatres), and Transportation, all of which include the geographic territories of the United States and Canada. Disclosures related to our business segments are provided in Note 3. Segment Disclosure of the Notes to the Consolidated Financial Statements included elsewhere in this Report.</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net sales and profitability historically have fluctuated due to the impact of large project orders, such as display systems for professional sports facilities, colleges and universities, and spectacular projects in the commercial area, as well as the seasonality of the sports market. Large project orders can include a number of displays, controllers, and subcontracted structure builds, each of which can occur on varied schedules according to the customer's needs. Net sales and gross profit percentages also have fluctuated due to other seasonal factors, including the impact of holidays, which primarily affects our third quarter. Our gross margins on large custom and large standard orders 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are booked and included in backlog only upon receipt of an executed contract and any required deposits.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summary of recently issued accounting pronouncements and the effects of those pronouncements on our financial results, refer to Note 1. Basis of Presentation and Summary of Critical Accounting Policies of the Notes to the Consolidated Financial Statements included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especially the large video display business in all of our business units, is very competitive, and generally our margins on these large video display contracts are similar across the business units over the long-term. There are, however, differences in the short term among the business units, which are discussed in the following analysis.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 growth is driven by the market demand for large format electronic displays with the depth and quality of our products, including related control systems, the depth of our service offerings and our technology serving these market demands. This growth, however, is partially offset by declines in product prices caused by increasing competition. Each business unit also has its own unique key growth drivers and challenges.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7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impact our success in this business unit. We utilize a reseller network to distribute our standard products.</w:t>
      </w:r>
    </w:p>
    <w:p>
      <w:pPr>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National accounts standard display market opportunities due to their desire to communicate their message, advertising and content consistently across the country. Increased demand is possible from retailers, quick serve restaurants, petroleum businesses, and other nationwide organizations.</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amusement parks and Times Square type locations.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continued deployment of digital billboards as out-of-home ("OOH") companies continue developing new sites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OOH companies.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demand for different types of displays, such as message centers at schools to communicate to students, parents and the broader community.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more sophisticated displays in athletic facilities, such as aquatic venues in schools.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funding, primarily by the federal government, along with the continuing acceptance of private/public partnerships as an alternative funding source.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are broadening our product offerings into the transportation segment in Europe and the Middle East. We currently focus on third-party advertising market opportunities and the factors listed in each of the other business units to the extent they apply outside the United States and Canada.</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severely impacted. Our Commercial and International business units are highly dependent on economic conditions in general.</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and selling prices of our products have decreased over time and are expected to continue to decrease in the future. As a result, each year we must sell more product to generate the same or greater level of net sales as in previous fiscal years. This price decline has been significant as a result of increased competition across all business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Daktronics, Inc. operates on a 52 to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and each of the last three quarters is comprised of a 13 week period. Fiscal 2015 was a 53-week year; therefore, the nine months ended January 30, 2016 contain operating results for 39 weeks while the nine months ended January 31, 2015 contained operating results for 40 weeks.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JANUARY 30, 2016 AND JANUARY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Dollar Change</w:t>
            </w:r>
          </w:p>
        </w:tc>
        <w:tc>
          <w:tcPr>
            <w:tcW w:w="1480" w:type="dxa"/>
            <w:vAlign w:val="bottom"/>
          </w:tcPr>
          <w:p>
            <w:pPr>
              <w:jc w:val="right"/>
              <w:ind w:right="3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37,762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(8,377)</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51,067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33,496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17,571</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11,698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9,479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2,219</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26,615</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123,816</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118,123</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5,693</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0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29,922</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39,327</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(9,405)</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43,075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46,158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11,480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3,651</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16,368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116,897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125,713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Commercial: </w:t>
      </w:r>
      <w:r>
        <w:rPr>
          <w:rFonts w:ascii="Arial" w:cs="Arial" w:eastAsia="Arial" w:hAnsi="Arial"/>
          <w:sz w:val="16"/>
          <w:szCs w:val="16"/>
          <w:color w:val="auto"/>
        </w:rPr>
        <w:t>The decrease in net sales for the three months ended January 30, 2016 compared to the same period one year ago was the result of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in our billboard niche due to volatility of order timing and general market delay in placing orders as compared to prior periods partially due to customer capital allocation decisions and due to high overall satisfaction with our product lifetime, leading to increased product replacement cycles. Sales in our spectacular niche were also down compared to last year due to the timing of projects. Sales in our on-premise account niche were down due to order timing.</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orders for the three months ended January 30, 2016 compared to the same period one year ago was the result of order timing variability and general project decision delays in our billboard and spectacular niches. Orders increased in our on-premise account niches.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three months ended January 30, 2016 compared to the same period one year ago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of some orders originally delayed to take advantage of newly-released product enhancements.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Orders decreased for the three months ended January 30, 2016 compared to the same period one year ago due to order timing variability of large projects.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High School Park and Recreation: </w:t>
      </w:r>
      <w:r>
        <w:rPr>
          <w:rFonts w:ascii="Arial" w:cs="Arial" w:eastAsia="Arial" w:hAnsi="Arial"/>
          <w:sz w:val="16"/>
          <w:szCs w:val="16"/>
          <w:color w:val="auto"/>
        </w:rPr>
        <w:t>Net sales for the three months ended January 30, 2016 compared to the same period one year ago remained relatively flat.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Orders increased for the three months ended January 30, 2016 compared to the same period one year ago due to winning a number of sports video projects.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Net sales for the three months ended January 30, 2016 compared to the same period one year ago increased because of a strong order backlog</w:t>
      </w:r>
      <w:r>
        <w:rPr>
          <w:rFonts w:ascii="Arial" w:cs="Arial" w:eastAsia="Arial" w:hAnsi="Arial"/>
          <w:sz w:val="18"/>
          <w:szCs w:val="18"/>
          <w:i w:val="1"/>
          <w:iCs w:val="1"/>
          <w:color w:val="auto"/>
        </w:rPr>
        <w:t xml:space="preserve"> </w:t>
      </w:r>
      <w:r>
        <w:rPr>
          <w:rFonts w:ascii="Arial" w:cs="Arial" w:eastAsia="Arial" w:hAnsi="Arial"/>
          <w:sz w:val="18"/>
          <w:szCs w:val="18"/>
          <w:color w:val="auto"/>
        </w:rPr>
        <w:t>coming into third quarter of fiscal 2016.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Orders for the three months ended January 30, 2016 compared to the same period one year ago decreased primarily due to the timing of orders received.</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for the three months ended January 30, 2016 compared to the same period one year ago decreased due to lower volume of orders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during the second quarter of fiscal 2016.</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Orders increased for the three months ended January 30, 2016 compared to the same period one year ago was primarily due to order timing variability of large projects; a major portion of the orders were in commercial and sports video projects.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product order backlog as of January 30, 2016 was $176.3 million as compared to $150.2 million as of January 31, 2015 and $184.2 million at the end of the second quarter of fiscal 2016. Historically, our backlog varies due to the seasonality of our business, the timing of large projects, and customer delivery schedules for these orders. The backlog as of January 30, 2016 increased from January 31, 2015 in our Live Events, High School Park and Recreation, and Transportation business units and decreased in our Commercial and International business units. As of January 30, 2016, Live Events backlog included approximately $43 million that we expect to realize after fiscal 2016 because of the timing of new stadium builds.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January 30, 2016</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4,235</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14.4%</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9,236</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24.5%</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7,374</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14.4</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5,657</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16.9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2,579</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23.6</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21.7</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3,710</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31.7</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2,326</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24.5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4,131</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19.9</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5,509</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20.7</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22,029</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17.8%</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25,062</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21.2%</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our gross profit percentage for the three months ended January 30, 2016 compared to the same period one year ago was primarily due to an additional warranty charge in the third quarter of fiscal 2016, an increase in sales mix to larger projects with lower gross margins as compared to other quarters. The following describes the overall impact by business unit: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 for the three months ended January 30, 2016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 $2.3 million warranty charge in our OOH product application, which decreased our gross profit percentage by 7.9% during the quarter. This warranty charge relates to the costs of refurbishing displays. Gross profit also declined due to the product mix of sales, decrease in utilization of the fixed infrastructure due to lower sales, and overall competitive pressures in the marketplace.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decrease for the three months ended January 30, 2016 compared to the same period one year ago was the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mix of larger custom contracts with lower margins and increased warranty costs as a percent of sales, offset by improved manufacturing utilization because of improved throughput.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increase for the three months ended January 30, 2016 as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was primarily due to improved manufacturing utilization because of improved throughput.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Transportation: </w:t>
      </w:r>
      <w:r>
        <w:rPr>
          <w:rFonts w:ascii="Arial" w:cs="Arial" w:eastAsia="Arial" w:hAnsi="Arial"/>
          <w:sz w:val="17"/>
          <w:szCs w:val="17"/>
          <w:color w:val="auto"/>
        </w:rPr>
        <w:t>The gross profit percent increase for the three months ended January 30, 2016 compared to the same period one year ago was primarily due</w:t>
      </w:r>
      <w:r>
        <w:rPr>
          <w:rFonts w:ascii="Arial" w:cs="Arial" w:eastAsia="Arial" w:hAnsi="Arial"/>
          <w:sz w:val="17"/>
          <w:szCs w:val="17"/>
          <w:i w:val="1"/>
          <w:iCs w:val="1"/>
          <w:color w:val="auto"/>
        </w:rPr>
        <w:t xml:space="preserve"> </w:t>
      </w:r>
      <w:r>
        <w:rPr>
          <w:rFonts w:ascii="Arial" w:cs="Arial" w:eastAsia="Arial" w:hAnsi="Arial"/>
          <w:sz w:val="17"/>
          <w:szCs w:val="17"/>
          <w:color w:val="auto"/>
        </w:rPr>
        <w:t>to improved gross margins on contracts and standard orders and improved manufacturing utilization because of improved throughput.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for the three months ended January 30, 2016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 decrease in warranty costs as a percent of sales.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30, 2016</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January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3,328</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6.5</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3,585</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10.7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2,436</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22.3</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2,307</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21.4</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1,015</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8.7</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10.7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3,466</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16.7</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3,258</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12.2</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13,784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13,694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expense in our High School Park and Recreation and International business units increased in the third quarter of fiscal 2016 compared to the same quarter a year ago, which was mainly related to increases in bad debt expense, marketing expenses, and third-party commissions, partially offset by decreases in personnel expenses.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expenses in our Live Events business unit decreased in the three months ended January 30, 2016 compared to the same period one year ago primarily due to lower travel and entertainment expenses and marketing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expenses in our Commercial and Transportation units remained relatively flat in the three months ended January 30, 2016 compared to the same period one year ago.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30, 2016</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8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7,133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5,883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560"/>
              <w:spacing w:after="0"/>
              <w:rPr>
                <w:sz w:val="20"/>
                <w:szCs w:val="20"/>
                <w:color w:val="auto"/>
              </w:rPr>
            </w:pPr>
            <w:r>
              <w:rPr>
                <w:rFonts w:ascii="Arial" w:cs="Arial" w:eastAsia="Arial" w:hAnsi="Arial"/>
                <w:sz w:val="18"/>
                <w:szCs w:val="18"/>
                <w:color w:val="auto"/>
              </w:rPr>
              <w:t>5,820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costs of supplies.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in the third quarter of fiscal 2016 increased as compared to the same period one year ago primarily due to increases in information technology and personnel expenses.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Product design and development expenses </w:t>
      </w:r>
      <w:r>
        <w:rPr>
          <w:rFonts w:ascii="Arial" w:cs="Arial" w:eastAsia="Arial" w:hAnsi="Arial"/>
          <w:sz w:val="16"/>
          <w:szCs w:val="16"/>
          <w:color w:val="auto"/>
        </w:rPr>
        <w:t>consist primarily of salaries, other employee-related costs, facilities cost and equipment-related costs and supplies.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development investments in the near term are focused on developing video technology with a range of pixel pitches for outdoor applications using LED surface mount technology, which offers improved performance at a lower cost point as compared to our current offerings. In addition, we continue to focus on various other products to standardize display components and control systems for both single site and network displays.</w:t>
      </w:r>
    </w:p>
    <w:p>
      <w:pPr>
        <w:sectPr>
          <w:pgSz w:w="11900" w:h="16838" w:orient="portrait"/>
          <w:cols w:equalWidth="0" w:num="1">
            <w:col w:w="11420"/>
          </w:cols>
          <w:pgMar w:left="240" w:top="121"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costs for product development represent an allocated amount of costs based on time charges, materials costs and the overhead of our engineering departments. Generally, a significant portion of our engineering time is spent on product development while the rest is allocated to large contract work and included in cost of goods sold. Product development expenses in the third quarter of fiscal 2016 as compared to the same period one year ago were relatively flat.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jc w:val="center"/>
              <w:ind w:left="1090"/>
              <w:spacing w:after="0"/>
              <w:rPr>
                <w:sz w:val="20"/>
                <w:szCs w:val="20"/>
                <w:color w:val="auto"/>
              </w:rPr>
            </w:pPr>
            <w:r>
              <w:rPr>
                <w:rFonts w:ascii="Arial" w:cs="Arial" w:eastAsia="Arial" w:hAnsi="Arial"/>
                <w:sz w:val="18"/>
                <w:szCs w:val="18"/>
                <w:b w:val="1"/>
                <w:bCs w:val="1"/>
                <w:color w:val="auto"/>
                <w:w w:val="90"/>
              </w:rPr>
              <w:t>Three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4"/>
          </w:tcPr>
          <w:p>
            <w:pPr>
              <w:ind w:left="480"/>
              <w:spacing w:after="0"/>
              <w:rPr>
                <w:sz w:val="20"/>
                <w:szCs w:val="20"/>
                <w:color w:val="auto"/>
              </w:rPr>
            </w:pPr>
            <w:r>
              <w:rPr>
                <w:rFonts w:ascii="Arial" w:cs="Arial" w:eastAsia="Arial" w:hAnsi="Arial"/>
                <w:sz w:val="18"/>
                <w:szCs w:val="18"/>
                <w:b w:val="1"/>
                <w:bCs w:val="1"/>
                <w:color w:val="auto"/>
              </w:rPr>
              <w:t>January 30, 2016</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January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41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46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8"/>
              </w:rPr>
              <w:t>Net Sales</w:t>
            </w:r>
          </w:p>
        </w:tc>
        <w:tc>
          <w:tcPr>
            <w:tcW w:w="13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30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and product sales on an installment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or in 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(expense), net in the third quarter of fiscal 2016 compared to the same period one year ago decreased as a result of increased interest expense from an interest accrual for an on-going sales tax audit.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The change in other income and expense, net for the third quarter of fiscal 2016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foreign currency gains from the volatility of the Euro, Australian dollar, and Canadian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benefit was 64.0 percent for the third quarter of fiscal 2016 as compared to an effective tax rate benefit of 146.2 percent for the third quarter of fiscal 2015. The substantial factors which decreased our effective tax rate were the retrospective reinstatement of the U.S. research and development credit back to January 1, 2015, allowing us an additional credit recognition related to the prior fiscal year and the impact of the net operating loss incurred during the third quarter of fiscal 2016.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gridSpan w:val="9"/>
          </w:tcPr>
          <w:p>
            <w:pPr>
              <w:spacing w:after="0"/>
              <w:rPr>
                <w:sz w:val="20"/>
                <w:szCs w:val="20"/>
                <w:color w:val="auto"/>
              </w:rPr>
            </w:pPr>
            <w:r>
              <w:rPr>
                <w:rFonts w:ascii="Arial" w:cs="Arial" w:eastAsia="Arial" w:hAnsi="Arial"/>
                <w:sz w:val="18"/>
                <w:szCs w:val="18"/>
                <w:b w:val="1"/>
                <w:bCs w:val="1"/>
                <w:color w:val="auto"/>
              </w:rPr>
              <w:t>COMPARISON OF THE NINE MONTHS ENDED JANUARY 30, 2016 AND JANUARY 31, 2015</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5"/>
          </w:tcPr>
          <w:p>
            <w:pPr>
              <w:ind w:left="540"/>
              <w:spacing w:after="0"/>
              <w:rPr>
                <w:sz w:val="20"/>
                <w:szCs w:val="20"/>
                <w:color w:val="auto"/>
              </w:rPr>
            </w:pPr>
            <w:r>
              <w:rPr>
                <w:rFonts w:ascii="Arial" w:cs="Arial" w:eastAsia="Arial" w:hAnsi="Arial"/>
                <w:sz w:val="18"/>
                <w:szCs w:val="18"/>
                <w:b w:val="1"/>
                <w:bCs w:val="1"/>
                <w:color w:val="auto"/>
              </w:rPr>
              <w:t>Nine Months Ended</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January 30,</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6"/>
                <w:szCs w:val="16"/>
                <w:color w:val="auto"/>
              </w:rPr>
            </w:pPr>
          </w:p>
        </w:tc>
        <w:tc>
          <w:tcPr>
            <w:tcW w:w="146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Dollar Change</w:t>
            </w:r>
          </w:p>
        </w:tc>
        <w:tc>
          <w:tcPr>
            <w:tcW w:w="138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6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112,661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121,472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149,750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171,811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(22,061)</w:t>
            </w:r>
          </w:p>
        </w:tc>
        <w:tc>
          <w:tcPr>
            <w:tcW w:w="2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54,152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55,125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38,759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34,807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3,952</w:t>
            </w:r>
          </w:p>
        </w:tc>
        <w:tc>
          <w:tcPr>
            <w:tcW w:w="2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76,383</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74,641</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431,705</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457,856</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(26,151)</w:t>
            </w:r>
          </w:p>
        </w:tc>
        <w:tc>
          <w:tcPr>
            <w:tcW w:w="2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95,082</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125,603</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(30,521)</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168,082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149,579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18,503</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55,560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54,694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42,735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56,105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68,633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(12,528)</w:t>
            </w:r>
          </w:p>
        </w:tc>
        <w:tc>
          <w:tcPr>
            <w:tcW w:w="2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417,564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435,494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Sales and orders in all business units were impacted as a result of the nine months ended January 30, 2016 including 39 weeks compared to the nine months ended January 31, 2015, which contained results for 40 weeks.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Net sales for the nine months ended January 30, 2016 compared to the same period one year ago decreased as a result of a decrease of sales in</w:t>
      </w:r>
      <w:r>
        <w:rPr>
          <w:rFonts w:ascii="Arial" w:cs="Arial" w:eastAsia="Arial" w:hAnsi="Arial"/>
          <w:sz w:val="17"/>
          <w:szCs w:val="17"/>
          <w:i w:val="1"/>
          <w:iCs w:val="1"/>
          <w:color w:val="auto"/>
        </w:rPr>
        <w:t xml:space="preserve"> </w:t>
      </w:r>
      <w:r>
        <w:rPr>
          <w:rFonts w:ascii="Arial" w:cs="Arial" w:eastAsia="Arial" w:hAnsi="Arial"/>
          <w:sz w:val="17"/>
          <w:szCs w:val="17"/>
          <w:color w:val="auto"/>
        </w:rPr>
        <w:t>our billboard niche due to volatility of order timing and general market delay in placing orders as compared to prior periods partially due to customer capital allocation decisions and due to high overall satisfaction with our product lifetime, leading to increased product replacement cycles. There were higher than usual fiscal 2015 first quarter billboard sales caused by construction site delays in late fiscal 2014 that moved more work into fiscal 2015. This decrease in sales in our billboard niche was offset by an increase in sales in our on-premise and spectacular niches.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orders for the nine months ended January 30, 2016 compared to the same period one year ago was the result of the volatility of large custom video orders in our spectacular and digital billboard niches. In addition, we had a large custom video order in the first nine months of fiscal 2015, and no order of a similar size occurred during the first nine months of fiscal 2016. Orders were relatively flat in our reseller niche and increased in our national accounts niche.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in net sales for the nine months ended January 30, 2016 compared to the same period one year ago was primarily due to timing of</w:t>
      </w:r>
      <w:r>
        <w:rPr>
          <w:rFonts w:ascii="Arial" w:cs="Arial" w:eastAsia="Arial" w:hAnsi="Arial"/>
          <w:sz w:val="18"/>
          <w:szCs w:val="18"/>
          <w:i w:val="1"/>
          <w:iCs w:val="1"/>
          <w:color w:val="auto"/>
        </w:rPr>
        <w:t xml:space="preserve"> </w:t>
      </w:r>
      <w:r>
        <w:rPr>
          <w:rFonts w:ascii="Arial" w:cs="Arial" w:eastAsia="Arial" w:hAnsi="Arial"/>
          <w:sz w:val="18"/>
          <w:szCs w:val="18"/>
          <w:color w:val="auto"/>
        </w:rPr>
        <w:t>when customers require the product and the utilization of new product enhancements. In addition, the mix of business was substantially different in the first nine months of fiscal 2016 as compared to the same period last year. In the first nine months of fiscal 2015, Live Event sales were primarily in outdoor stadiums as compared to the first nine months of this fiscal year, during which there were fewer deliveries for outdoor opportunities in the marketplace. In the first nine months of fiscal 2016, the mix of business turned to indoor area applications, as we had a record number of center hung (arena) systems during the period.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increased for the nine months ended January 30, 2016 compared to the same period one year ago due to orders received in the first nine months of fiscal 2016 in connection with a large multi-million dollar project for a National Football League ("NFL") stadium and a number of projects for professional sports arenas, and college and university sports stadiums.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decrease in net sales for the nine months ended January 30, 2016 compared to the same period one year ago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extra week in the first nine months of fiscal 2015.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increased by approximately $1.9 million for the nine months ended January 30, 2016 compared to the same period one year ago after adjusting out fiscal 2015 orders relating to the theatre rigging division, which was sold during fiscal 2015. The increase was due to winning a number of sports video projects during the third quarter of fiscal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the nine months ended January 30, 2016 compared to the same period one year ago was related to stronger order</w:t>
      </w:r>
      <w:r>
        <w:rPr>
          <w:rFonts w:ascii="Arial" w:cs="Arial" w:eastAsia="Arial" w:hAnsi="Arial"/>
          <w:sz w:val="18"/>
          <w:szCs w:val="18"/>
          <w:i w:val="1"/>
          <w:iCs w:val="1"/>
          <w:color w:val="auto"/>
        </w:rPr>
        <w:t xml:space="preserve"> </w:t>
      </w:r>
      <w:r>
        <w:rPr>
          <w:rFonts w:ascii="Arial" w:cs="Arial" w:eastAsia="Arial" w:hAnsi="Arial"/>
          <w:sz w:val="18"/>
          <w:szCs w:val="18"/>
          <w:color w:val="auto"/>
        </w:rPr>
        <w:t>volume.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increased for the nine months ended January 30, 2016 compared to the same period one year ago primarily due to market demand for intelligent transportation systems from a number of departments of transportation and success in winning mass transit projects.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increased in our International business unit for the nine months ended January 30, 2016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recognizing revenue on a large transportation project in Switzerland and OOH and sports stadium projects.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decreased for the nine months ended January 30, 2016 compared to the same period one year ago primarily due to the timing and volatility of large orders. In addition, we had multi-million dollar large custom video orders for stadiums, OOH, and spectaculars in the first nine months of fiscal 2015, and no orders of similar sizes occurred during the first nine months of fiscal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9"/>
              </w:rPr>
              <w:t>Nine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January 30, 2016</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22,366</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19.9%</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33,792</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27.8%</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26,898</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18.0</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31,038</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18.1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15,378</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28.4</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17,445</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31.6</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12,168</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31.4</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10,212</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29.3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16,233</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21.3</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16,855</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22.6</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93,043</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21.6%</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109,342</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23.9%</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decrease in our gross profit percentage for the nine months ended January 30, 2016 compared to the same period one year ago was the net result of the changes described below:</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 for the nine months ended January 30, 2016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 $5.1 million warranty charge in our OOH product application, which decreased our gross profit percentage by 4.5% year to date. This warranty charge relates to the costs of upgrading firmware to improve display performance and refurbishing displays. Gross profit also declined due to low manufacturing utilization, the product mix of sales, and overall competitiveness of large custom contracts. See Note 10. Commitments and Contingencies for more information regarding our warranty accrual.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decrease for the nine months ended January 30, 2016 compared to the same period one year ago was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warranty costs as percent of sales and the overall competitiveness of large customer contracts.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decrease for the nine months ended January 30, 2016 as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primarily was due to recognizing a $1.3 million gain on the sale of our theatre rigging manufacturing division during the first quarter of fiscal 2015, but no comparable transaction occurred during the first nine months of fiscal 2016. Gross profit also declined due to increased standard costs related to labor rate increases, offset by a decrease in warranty costs as percent of sales.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for the nine months ended January 30, 2016 compared to the same period one year ago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product mix of sales and improved manufacturing utilization.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for the nine months ended January 30, 2016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 utilization of our international manufacturing facilities and increases in warranty costs as a percent of sales.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220"/>
              <w:spacing w:after="0"/>
              <w:rPr>
                <w:sz w:val="20"/>
                <w:szCs w:val="20"/>
                <w:color w:val="auto"/>
              </w:rPr>
            </w:pPr>
            <w:r>
              <w:rPr>
                <w:rFonts w:ascii="Arial" w:cs="Arial" w:eastAsia="Arial" w:hAnsi="Arial"/>
                <w:sz w:val="18"/>
                <w:szCs w:val="18"/>
                <w:b w:val="1"/>
                <w:bCs w:val="1"/>
                <w:color w:val="auto"/>
                <w:w w:val="95"/>
              </w:rPr>
              <w:t>Nine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30, 2016</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January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9,868</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6.6</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10,408</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6.1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7,674</w:t>
            </w:r>
          </w:p>
        </w:tc>
        <w:tc>
          <w:tcPr>
            <w:tcW w:w="1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14.2</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7,828</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14.2</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3,110</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8.0</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3,186</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9.2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10,657</w:t>
            </w:r>
          </w:p>
        </w:tc>
        <w:tc>
          <w:tcPr>
            <w:tcW w:w="1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14.0</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10,011</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13.4</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42,873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43,405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January 30, 2016 contained 39 weeks compared to the nine months ended January 31, 2015, which contained results for 40 weeks.</w:t>
      </w:r>
    </w:p>
    <w:p>
      <w:pPr>
        <w:spacing w:after="0" w:line="2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expense in our Commercial, Live Events, Transportation, and High School Park and Recreation business units decreased in the nine months ended January 30, 2016 compared to the same quarter a year ago primarily due to the additional week of selling expenses in the first quarter of fiscal year 2015 and decreases in our travel and entertainment expenses, marketing expenses, and third party commissions.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Selling expenses in our International business unit increased in the nine months ended January 30, 2016 compared to the same period one year ago primarily due to increases in personnel expenses, bad debt expense, third-party commissions, and the addition of Data Display during the second quarter of fiscal 2015.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gridSpan w:val="3"/>
          </w:tcPr>
          <w:p>
            <w:pPr>
              <w:ind w:left="200"/>
              <w:spacing w:after="0"/>
              <w:rPr>
                <w:sz w:val="20"/>
                <w:szCs w:val="20"/>
                <w:color w:val="auto"/>
              </w:rPr>
            </w:pPr>
            <w:r>
              <w:rPr>
                <w:rFonts w:ascii="Arial" w:cs="Arial" w:eastAsia="Arial" w:hAnsi="Arial"/>
                <w:sz w:val="18"/>
                <w:szCs w:val="18"/>
                <w:b w:val="1"/>
                <w:bCs w:val="1"/>
                <w:color w:val="auto"/>
                <w:w w:val="92"/>
              </w:rPr>
              <w:t>Nine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30, 2016</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January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4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19,826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18,773</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January 30, 2016 contained 39 weeks compared to the nine months ended January 31, 2015, which contained results for 40 weeks.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costs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nine months ended January 30, 2016 increased as compared to the same period one year ago primarily due to increases in information technology and personnel expenses, partially offset by decreases in professional fees.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Product design and development expenses </w:t>
      </w:r>
      <w:r>
        <w:rPr>
          <w:rFonts w:ascii="Arial" w:cs="Arial" w:eastAsia="Arial" w:hAnsi="Arial"/>
          <w:sz w:val="16"/>
          <w:szCs w:val="16"/>
          <w:color w:val="auto"/>
        </w:rPr>
        <w:t>consist primarily of salaries, other employee-related costs, facility costs and equipment-related costs and supplies.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development investments in the near term are focused on developing video technology with a range of pixel pitches for outdoor applications using LED surface mount technology, which offers improved performance at a lower cost point as compared to our current offerings. In addition, we continue to focus on various other products to standardize display components and control systems for both single site and network displays.</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costs for product development represent an allocated amount of costs based on time charges, materials costs and the overhead of our engineering departments. Generally, a significant portion of our engineering time is spent on product development while the rest is allocated to large contract work and included in cost of goods sold. Product development expenses in the nine months ended January 30, 2016 as compared to the same period one year ago increased primarily due to an increase in materials used in the development of product transitions and labor costs assigned to product development projects.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jc w:val="center"/>
              <w:ind w:left="1150"/>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January 30, 2016</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January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206.0 %</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and product sales on an installment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or in 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in the nine months ended January 30, 2016 compared to the same period one year ago decreased as a result of increased interest expenses from an interest accrual for an on-going sales tax audit.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The change in other income and expense, net for the nine months ended January 30, 2016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was primarily due to foreign currency losses from the volatility of the Euro, Australian dollar, and Chinese renminbi.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was 17.8 percent for the nine months ended January 30, 2016 as compared to an effective tax rate of 31.0 percent for the nine months ended January 31, 2015. The substantial factors which decreased our effective tax rate were the retrospective reinstatement of the U.S. research and development credit back to January 1, 2015 allowing us an additional credit recognition related to the prior fiscal year.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80" w:type="dxa"/>
            <w:vAlign w:val="bottom"/>
            <w:gridSpan w:val="4"/>
          </w:tcPr>
          <w:p>
            <w:pPr>
              <w:ind w:left="200"/>
              <w:spacing w:after="0"/>
              <w:rPr>
                <w:sz w:val="20"/>
                <w:szCs w:val="20"/>
                <w:color w:val="auto"/>
              </w:rPr>
            </w:pPr>
            <w:r>
              <w:rPr>
                <w:rFonts w:ascii="Arial" w:cs="Arial" w:eastAsia="Arial" w:hAnsi="Arial"/>
                <w:sz w:val="18"/>
                <w:szCs w:val="18"/>
                <w:b w:val="1"/>
                <w:bCs w:val="1"/>
                <w:color w:val="auto"/>
                <w:w w:val="92"/>
              </w:rPr>
              <w:t>Nine Months Ended</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7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6"/>
                <w:szCs w:val="16"/>
                <w:color w:val="auto"/>
              </w:rPr>
            </w:pPr>
          </w:p>
        </w:tc>
        <w:tc>
          <w:tcPr>
            <w:tcW w:w="122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6"/>
                <w:szCs w:val="16"/>
                <w:color w:val="auto"/>
              </w:rPr>
            </w:pPr>
          </w:p>
        </w:tc>
        <w:tc>
          <w:tcPr>
            <w:tcW w:w="150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7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7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2,193</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27,317</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(14,288)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(17,931)</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Operating cash flows result primarily from cash received from customers, which is offset by cash payments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inventories, income taxes, market and warranty obligations, and employee compensation.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operating activities was $2.2 million for the first nine months of fiscal 2016 compared to $27.3 million in the first nine months of fiscal 2015. The $25.1 million decrease in cash from operating activities from the first nine months of fiscal 2015 to the first nine months of fiscal 2016 was the net result of changes in net operating assets and liabilities of $15.9 million, a decrease of $12.0 million in net income, and a $0.1 million decrease in other non-cash items, net, adjusted by a $1.1 million gain on sale of property, equipment and other assets, a $0.5 million increase in deferred income taxes, net, and a $1.3 million increase in depreciation and amortization.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operating assets and liabilities consisted of the following:</w:t>
      </w:r>
    </w:p>
    <w:p>
      <w:pPr>
        <w:spacing w:after="0" w:line="383"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w:t>
            </w:r>
          </w:p>
        </w:tc>
        <w:tc>
          <w:tcPr>
            <w:tcW w:w="14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31,</w:t>
            </w: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(Increase) decrease:</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7,220</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Long-term receivables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(4,109)</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(5,191)</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4,253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1,875</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Income tax receivables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Advertising rights and other assets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(548)</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Increase (decrease):</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Current marketing obligations and other payables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(14,826)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Customer deposits (billed or collected)</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(1,182)</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Warranty obligations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2,333</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(10,677)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(7,998)</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warranty obligations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286</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Deferred revenue (billed or collected)</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1,171</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Long-term marketing obligations and other payables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
        </w:trPr>
        <w:tc>
          <w:tcPr>
            <w:tcW w:w="682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2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(18,181)</w:t>
            </w:r>
          </w:p>
        </w:tc>
        <w:tc>
          <w:tcPr>
            <w:tcW w:w="2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0"/>
        </w:trPr>
        <w:tc>
          <w:tcPr>
            <w:tcW w:w="68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fluctuations in the short term in inventory, accounts receivables, accounts payable, customer deposits, costs and earnings in excess of billings and various other operating assets and liabilities. Variability in costs and earnings in excess of billings and billings in excess of</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relates to the timing of billings on construction-type contracts and revenue recognition, which can vary significantly depending on contractual payment terms and build and installation schedules. Balances are also impacted by the seasonality of the sports markets.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totaled $14.3 million in the first nine months of fiscal 2016 compared to $17.9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nine months of fiscal 2015. Purchases of property and equipment totaled $13.4 million in the first nine months of fiscal 2016 compared to $15.3 million in the first nine months of fiscal 2015. The change from the prior year is due to the purchase of new manufacturing equipment for various new product lines as well as machine upgrades and additions to our information technology infrastructure.</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net cash inflow of $4.0 million was recognized during the first nine months of fiscal 2015 from the disposition of our automated rigging systems division for theatre applications. No comparable transaction occurred in the first nine months of fiscal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net cash outlay of $2.2 million was recognized during the first nine months of fiscal 2016 compared to $6.2 million in the first nine months of fiscal 2015 for acquisitions, investment in affiliates and equity investments.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Cash used in financing activities was $12.6 million for the nine months ended January 30, 2016 compared to $11.8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one year ago. Dividends of $13.2 million, or 30.0 cents per share, were paid to Daktronics shareholders during the first three quarters of fiscal 2016, compared to dividends of $13.0 million, or 30.0 cents per share, paid to Daktronics shareholders during the first three quarters of fiscal 2015.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Although we have $2.4 million of retainage on long-term contracts included in receivables and costs in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of billings as of January 30, 2016, we expect all of it to be collected within one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Working capital was $144.3 million and $148.1 million at January 30, 2016 and May 2, 2015, respectively. The decrease in working capital was primarily the result of a decrease in cash due to tax payments, dividend payments, and property and equipment purchases offset by decreases in accounts payable and customer deposits and an increase in accounts receivable, inventory, and construction-type contracts. We have historically financed working capital needs through a combination of cash flow from operations and borrowings under bank credit agreements.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credit agreement with a U.S. bank for a $35.0 million line of credit, which includes up to $15.0 million for standby letters of credit. The line of credit, which was amended on November 15, 2013, is due on November 15, 2016. The interest rate ranges from LIBOR plus 145 basis points to LIBOR plus 195 basis points depending on the ratio of our interest-bearing debt to EBITDA. EBITDA is defined as net income before deductions for interest expense, income taxes, depreciation and amortization, all as determined in accordance with GAAP. The effective interest rate was 1.9 percent at January 30, 2016. We are assessed a loan fee equal to 0.125 percent per annum of any non-used portion of the loan. As of January 30, 2016, there were no advances to us under the line of credit, and the balance of letters of credit outstanding was approximately $5.5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3" w:lineRule="exact"/>
        <w:rPr>
          <w:sz w:val="20"/>
          <w:szCs w:val="20"/>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2-to-1 at the end of any fiscal year. The ratio is equal to (a) EBITDA less dividends or other distributions, a capital expenditure reserve of $6 million, and income tax expenses, over (b) all principal and interest payments with respect to debt, excluding principal payments on the line of credit;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1-to-1 at the end of any fiscal quarter.</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an additional credit agreement with another U.S. bank which supports our credit needs outside of the United States. It was also amended on November 15, 2013 and becomes due on November 15, 2016. The facility provides for a $40.0 million line of credit and includes facilities for letters of credit and bank guarantees and to secure foreign loans for our international subsidiaries.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$40 million. The interest rate is equal to LIBOR plus 1.5 percent. We are assessed a loan fee equal to 0.15 percent per annum of any non-used portion of the loan. As of January 30, 2016, there were no advances outstanding and approximately $2.7 million in bank guarantees under this line of credit.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 compliance with all applicable covenants as of January 30, 2016 and May 2, 2015. The minimum fixed charge coverage ratio as of May 2, 2015 was 47-to-1, and the ratio of interest-bearing debt to EBITDA as of January 30, 2016 was .05-to-1.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utilize cash to pay dividends to our investors. The following table summarizes the quarterly dividends declared and paid since the prior fiscal year end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2,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1960" w:type="dxa"/>
            <w:vAlign w:val="bottom"/>
          </w:tcPr>
          <w:p>
            <w:pPr>
              <w:ind w:left="280"/>
              <w:spacing w:after="0"/>
              <w:rPr>
                <w:sz w:val="20"/>
                <w:szCs w:val="20"/>
                <w:color w:val="auto"/>
              </w:rPr>
            </w:pPr>
            <w:r>
              <w:rPr>
                <w:rFonts w:ascii="Arial" w:cs="Arial" w:eastAsia="Arial" w:hAnsi="Arial"/>
                <w:sz w:val="18"/>
                <w:szCs w:val="18"/>
                <w:b w:val="1"/>
                <w:bCs w:val="1"/>
                <w:color w:val="auto"/>
              </w:rPr>
              <w:t>Record Date</w:t>
            </w:r>
          </w:p>
        </w:tc>
        <w:tc>
          <w:tcPr>
            <w:tcW w:w="2000" w:type="dxa"/>
            <w:vAlign w:val="bottom"/>
          </w:tcPr>
          <w:p>
            <w:pPr>
              <w:ind w:left="220"/>
              <w:spacing w:after="0"/>
              <w:rPr>
                <w:sz w:val="20"/>
                <w:szCs w:val="20"/>
                <w:color w:val="auto"/>
              </w:rPr>
            </w:pPr>
            <w:r>
              <w:rPr>
                <w:rFonts w:ascii="Arial" w:cs="Arial" w:eastAsia="Arial" w:hAnsi="Arial"/>
                <w:sz w:val="18"/>
                <w:szCs w:val="18"/>
                <w:b w:val="1"/>
                <w:bCs w:val="1"/>
                <w:color w:val="auto"/>
              </w:rPr>
              <w:t>Payment Date</w:t>
            </w:r>
          </w:p>
        </w:tc>
        <w:tc>
          <w:tcPr>
            <w:tcW w:w="200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Amount per Share</w:t>
            </w:r>
          </w:p>
        </w:tc>
      </w:tr>
      <w:tr>
        <w:trPr>
          <w:trHeight w:val="27"/>
        </w:trPr>
        <w:tc>
          <w:tcPr>
            <w:tcW w:w="16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29, 2015</w:t>
            </w:r>
          </w:p>
        </w:tc>
        <w:tc>
          <w:tcPr>
            <w:tcW w:w="1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June 12, 2015</w:t>
            </w:r>
          </w:p>
        </w:tc>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June 23, 2015</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$0.10</w:t>
            </w: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September 3, 2015</w:t>
            </w:r>
          </w:p>
        </w:tc>
        <w:tc>
          <w:tcPr>
            <w:tcW w:w="1960" w:type="dxa"/>
            <w:vAlign w:val="bottom"/>
          </w:tcPr>
          <w:p>
            <w:pPr>
              <w:ind w:left="280"/>
              <w:spacing w:after="0"/>
              <w:rPr>
                <w:sz w:val="20"/>
                <w:szCs w:val="20"/>
                <w:color w:val="auto"/>
              </w:rPr>
            </w:pPr>
            <w:r>
              <w:rPr>
                <w:rFonts w:ascii="Arial" w:cs="Arial" w:eastAsia="Arial" w:hAnsi="Arial"/>
                <w:sz w:val="18"/>
                <w:szCs w:val="18"/>
                <w:color w:val="auto"/>
              </w:rPr>
              <w:t>September 14, 2015</w:t>
            </w:r>
          </w:p>
        </w:tc>
        <w:tc>
          <w:tcPr>
            <w:tcW w:w="2000" w:type="dxa"/>
            <w:vAlign w:val="bottom"/>
          </w:tcPr>
          <w:p>
            <w:pPr>
              <w:ind w:left="220"/>
              <w:spacing w:after="0"/>
              <w:rPr>
                <w:sz w:val="20"/>
                <w:szCs w:val="20"/>
                <w:color w:val="auto"/>
              </w:rPr>
            </w:pPr>
            <w:r>
              <w:rPr>
                <w:rFonts w:ascii="Arial" w:cs="Arial" w:eastAsia="Arial" w:hAnsi="Arial"/>
                <w:sz w:val="18"/>
                <w:szCs w:val="18"/>
                <w:color w:val="auto"/>
              </w:rPr>
              <w:t>September 25, 2015</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$0.10</w:t>
            </w:r>
          </w:p>
        </w:tc>
      </w:tr>
      <w:tr>
        <w:trPr>
          <w:trHeight w:val="27"/>
        </w:trPr>
        <w:tc>
          <w:tcPr>
            <w:tcW w:w="1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9, 2015</w:t>
            </w:r>
          </w:p>
        </w:tc>
        <w:tc>
          <w:tcPr>
            <w:tcW w:w="1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21, 2015</w:t>
            </w:r>
          </w:p>
        </w:tc>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December 30, 2015</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$0.10</w:t>
            </w: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February 29, 2016</w:t>
            </w:r>
          </w:p>
        </w:tc>
        <w:tc>
          <w:tcPr>
            <w:tcW w:w="1960" w:type="dxa"/>
            <w:vAlign w:val="bottom"/>
          </w:tcPr>
          <w:p>
            <w:pPr>
              <w:ind w:left="280"/>
              <w:spacing w:after="0"/>
              <w:rPr>
                <w:sz w:val="20"/>
                <w:szCs w:val="20"/>
                <w:color w:val="auto"/>
              </w:rPr>
            </w:pPr>
            <w:r>
              <w:rPr>
                <w:rFonts w:ascii="Arial" w:cs="Arial" w:eastAsia="Arial" w:hAnsi="Arial"/>
                <w:sz w:val="18"/>
                <w:szCs w:val="18"/>
                <w:color w:val="auto"/>
              </w:rPr>
              <w:t>March 11, 2016</w:t>
            </w:r>
          </w:p>
        </w:tc>
        <w:tc>
          <w:tcPr>
            <w:tcW w:w="2000" w:type="dxa"/>
            <w:vAlign w:val="bottom"/>
          </w:tcPr>
          <w:p>
            <w:pPr>
              <w:ind w:left="220"/>
              <w:spacing w:after="0"/>
              <w:rPr>
                <w:sz w:val="20"/>
                <w:szCs w:val="20"/>
                <w:color w:val="auto"/>
              </w:rPr>
            </w:pPr>
            <w:r>
              <w:rPr>
                <w:rFonts w:ascii="Arial" w:cs="Arial" w:eastAsia="Arial" w:hAnsi="Arial"/>
                <w:sz w:val="18"/>
                <w:szCs w:val="18"/>
                <w:color w:val="auto"/>
              </w:rPr>
              <w:t>March 22, 2016</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$0.10</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at its discretion.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January 30, 2016, we had $64.3 million of bonded work outstanding against this line.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We are projecting capital expenditures to be approximately $20 million for fiscal 2016 for manufacturing equipment for new or enhanced product production, expanded capacity, investments in quality and reliability equipment, and continued information infrastructure investments.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our working capital available from all sources will be adequate to meet the cash requirements of our operations in the foreseeable future. If our growth extends beyond current expectations, or if we make any strategic investments, we may need to increase our credit facilities or seek other means of financing. We anticipate we will be able to obtain any needed funds under commercially reasonable terms from our current lenders or other sources.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January 30, 2016, most of our net sales were denominated in United States dollars, and our exposure to foreign currency exchange rate changes on net sales has not been significant. For the nine months ended January 30, 2016, net sales originating outside the United States were 19.6 percent of total net sales, of which a portion was denominated in Canadian dollars, Euros, Chinese renminbi, British pounds, Australian dollars or other currencies. We manufacture our products in the United States, China, Belgium, and Ireland.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 the long term, net sales to international markets are expected to increase as a percentage of net sales and, consequently, a greater portion of this business could be denominated in foreign currencies. In addition, we may fund our foreign subsidiaries’ operating cash needs in the form of loans denominated in U.S. dollars. As a result, operating results may become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estimate that a 10 percent change in all foreign exchange rates would impact our reported income before taxes by approximately $1.1 million annually. This sensitivity analysis disregards the possibilities that rates can move in opposite directions and that losses from one geographic area may be offset by gains from another geographic area.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foreign currency forward agreements in place to offset changes in the value of inter-company receivables from certain foreign subsidiaries due to changes in foreign exchange rates. The notional amount of these derivatives is $7.6 million, and all contracts mature within 11 months. These contracts are marked to market each balance sheet date and are not designated as hedges. See Note 13. Derivative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Financial Instruments of the Notes to the Consolidated Financial Statements included elsewhere in this Report for further details on our derivatives.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January 30, 2016, our outstanding marketing obligations were $0.7 million, all of which were in fixed rate obligations.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January 30, 2016, our long-term contracts and lease receivables were $8.7 million. Each 25 basis point increase in interest rates would have an associated immaterial annual opportunity cost.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34290</wp:posOffset>
            </wp:positionV>
            <wp:extent cx="37649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$31.7 million in cash balances at January 30, 2016, $20.8 million was denominated in U.S. dollars. Cash balances in foreign currencies are operating balances maintained in accounts of our foreign subsidiaries. A portion of the cash held in foreign accounts is used to collateralize outstanding bank guarantees issued by our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30, 2016, which is the end of the period covered by this Report. Based upon that evaluation, the Chief Executive Officer and Chief Financial Officer concluded that as of January 30, 2016,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January 30, 2016,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discussion of our business and operations included in this Quarterly Report on Form 10-Q should be read together with the risk factors described in Item 1A. of our Annual Report on Form 10-K for the fiscal year ended May 2, 2015. They describe various risks and uncertainties to which we are or may become subject. These risks and uncertainties, together with other factors described elsewhere</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 March 4,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the Company (Incorporated by reference to Exhibit 3.1 filed with our Quarterly Report on Form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10-Q on August 30, 2013).</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(Incorporated by reference to Exhibit 3.4 filed with our Annual Report on Form 10-K on June 12,</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Twelfth Amendment to Loan Agreement dated November 15, 2013 by and between the Company and U.S. Bank National Association (Incorporated by reference to Exhibit 10.1 filed with our Current Report on Form 8-K filed on November 18, 2013)</w:t>
      </w:r>
    </w:p>
    <w:p>
      <w:pPr>
        <w:spacing w:after="0" w:line="8"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Renewal Revolving Note dated November 15, 2013 issued by the Company to the U.S. Bank National Association. (Incorporated by reference to Exhibit 10.2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Fifth Amendment to Loan Agreement dated November 15, 2013 by and between the Company and Bank of America, N.A. (Incorporated by reference to Exhibit 10.3 filed with our Current Report on Form 8-K filed on November 18, 2013)</w:t>
      </w:r>
    </w:p>
    <w:p>
      <w:pPr>
        <w:spacing w:after="0" w:line="8" w:lineRule="exact"/>
        <w:rPr>
          <w:sz w:val="20"/>
          <w:szCs w:val="20"/>
          <w:color w:val="auto"/>
        </w:rPr>
      </w:pPr>
    </w:p>
    <w:p>
      <w:pPr>
        <w:ind w:left="720" w:right="40" w:hanging="688"/>
        <w:spacing w:after="0" w:line="298" w:lineRule="auto"/>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Reaffirmation of and Third Amendment to Unlimited Guaranty Agreement dated November 15, 2013 by and between the Company and Bank of America, N.A. (Incorporated by reference to Exhibit 10.4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Amended and Restated Revolving Note dated November 15, 2013 issued by the Company to Bank of America, N.A. (Incorporated by reference to Exhibit 10.5 filed with our Current Report on Form 8-K filed on November 18, 2013).</w:t>
      </w:r>
    </w:p>
    <w:p>
      <w:pPr>
        <w:spacing w:after="0" w:line="8"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Daktronics, Inc. 2015 Stock Incentive Plan ("2015 Plan"). (Incorporated by reference to Exhibit A to the Company's Definitive Proxy Statement on Schedule 14A filed on July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0"/>
        <w:spacing w:after="0"/>
        <w:tabs>
          <w:tab w:leader="none" w:pos="7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Restricted Stock Award Agreement under the 2015 Plan (Incorporated by reference to Exhibit 10.2 filed with our Current Report on Form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8-K on September 3, 2015).</w:t>
      </w:r>
    </w:p>
    <w:p>
      <w:pPr>
        <w:spacing w:after="0" w:line="49" w:lineRule="exact"/>
        <w:rPr>
          <w:sz w:val="20"/>
          <w:szCs w:val="20"/>
          <w:color w:val="auto"/>
        </w:rPr>
      </w:pPr>
    </w:p>
    <w:p>
      <w:pPr>
        <w:ind w:left="720" w:right="220" w:hanging="688"/>
        <w:spacing w:after="0" w:line="277" w:lineRule="auto"/>
        <w:tabs>
          <w:tab w:leader="none" w:pos="7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Non-Qualified Stock Option Agreement Terms and Conditions under the 2015 Plan (Incorporated by reference to Exhibit 10.3 filed with our Current Report on Form 8-K on September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Incentive Stock Option Terms and Conditions under the 2015 Plan (Incorporated by reference to Exhibit 10.4 filed with our Current Report on Form 8-K on September 3, 2015).</w:t>
      </w:r>
    </w:p>
    <w:p>
      <w:pPr>
        <w:spacing w:after="0" w:line="8" w:lineRule="exact"/>
        <w:rPr>
          <w:sz w:val="20"/>
          <w:szCs w:val="20"/>
          <w:color w:val="auto"/>
        </w:rPr>
      </w:pPr>
    </w:p>
    <w:p>
      <w:pPr>
        <w:ind w:left="720" w:right="160" w:hanging="688"/>
        <w:spacing w:after="0" w:line="277" w:lineRule="auto"/>
        <w:tabs>
          <w:tab w:leader="none" w:pos="700" w:val="left"/>
        </w:tabs>
        <w:rPr>
          <w:sz w:val="20"/>
          <w:szCs w:val="20"/>
          <w:color w:val="auto"/>
        </w:rPr>
      </w:pPr>
      <w:r>
        <w:rPr>
          <w:rFonts w:ascii="Arial" w:cs="Arial" w:eastAsia="Arial" w:hAnsi="Arial"/>
          <w:sz w:val="18"/>
          <w:szCs w:val="18"/>
          <w:color w:val="auto"/>
        </w:rPr>
        <w:t>10.10</w:t>
        <w:tab/>
        <w:t>Form of Restricted Stock Unit Terms and Conditions under the 2015 Plan (Incorporated by reference to Exhibit 10.5 filed with our Current Report on Form 8-K on September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582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43" w:lineRule="exact"/>
        <w:rPr>
          <w:sz w:val="20"/>
          <w:szCs w:val="20"/>
          <w:color w:val="auto"/>
        </w:rPr>
      </w:pPr>
    </w:p>
    <w:p>
      <w:pPr>
        <w:jc w:val="both"/>
        <w:ind w:left="720" w:right="40" w:hanging="685"/>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January 30, 2016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24" w:lineRule="exact"/>
        <w:rPr>
          <w:rFonts w:ascii="Arial" w:cs="Arial" w:eastAsia="Arial" w:hAnsi="Arial"/>
          <w:sz w:val="18"/>
          <w:szCs w:val="18"/>
          <w:color w:val="auto"/>
        </w:rPr>
      </w:pPr>
    </w:p>
    <w:p>
      <w:pPr>
        <w:ind w:left="1180" w:hanging="358"/>
        <w:spacing w:after="0"/>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30, 2016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3/4/2016</w:t>
      </w:r>
    </w:p>
    <w:p>
      <w:pPr>
        <w:sectPr>
          <w:pgSz w:w="11900" w:h="16838" w:orient="portrait"/>
          <w:cols w:equalWidth="0" w:num="1">
            <w:col w:w="11420"/>
          </w:cols>
          <w:pgMar w:left="240" w:top="58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30, 2016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3/4/2016</w:t>
      </w:r>
    </w:p>
    <w:p>
      <w:pPr>
        <w:sectPr>
          <w:pgSz w:w="11900" w:h="16838" w:orient="portrait"/>
          <w:cols w:equalWidth="0" w:num="1">
            <w:col w:w="11420"/>
          </w:cols>
          <w:pgMar w:left="240" w:top="58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January 30, 2016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3/4/2016</w:t>
      </w:r>
    </w:p>
    <w:p>
      <w:pPr>
        <w:sectPr>
          <w:pgSz w:w="11900" w:h="16838" w:orient="portrait"/>
          <w:cols w:equalWidth="0" w:num="1">
            <w:col w:w="11420"/>
          </w:cols>
          <w:pgMar w:left="240" w:top="58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January 30, 2016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Date:</w:t>
        <w:tab/>
        <w:t>3/4/2016</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01"/>
    </w:lvl>
    <w:lvl w:ilvl="1">
      <w:lvlJc w:val="left"/>
      <w:lvlText w:val="(%2)"/>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2019-12-29T11:43:23Z</dcterms:created>
  <dcterms:modified xsi:type="dcterms:W3CDTF">2019-12-29T11:43:23Z</dcterms:modified>
</cp:coreProperties>
</file>