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900" w:right="1880" w:hanging="3881"/>
        <w:spacing w:after="0" w:line="286"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January 31, 2026</w:t>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jc w:val="center"/>
        <w:ind w:right="188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001-38747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5715</wp:posOffset>
            </wp:positionV>
            <wp:extent cx="171450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344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25"/>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527"/>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100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Brookings,</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SD</w:t>
            </w:r>
          </w:p>
        </w:tc>
        <w:tc>
          <w:tcPr>
            <w:tcW w:w="352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56"/>
        </w:trPr>
        <w:tc>
          <w:tcPr>
            <w:tcW w:w="3440" w:type="dxa"/>
            <w:vAlign w:val="bottom"/>
          </w:tcPr>
          <w:p>
            <w:pPr>
              <w:spacing w:after="0"/>
              <w:rPr>
                <w:sz w:val="22"/>
                <w:szCs w:val="22"/>
                <w:color w:val="auto"/>
              </w:rPr>
            </w:pPr>
          </w:p>
        </w:tc>
        <w:tc>
          <w:tcPr>
            <w:tcW w:w="43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520" w:type="dxa"/>
            <w:vAlign w:val="bottom"/>
          </w:tcPr>
          <w:p>
            <w:pPr>
              <w:spacing w:after="0"/>
              <w:rPr>
                <w:sz w:val="22"/>
                <w:szCs w:val="22"/>
                <w:color w:val="auto"/>
              </w:rPr>
            </w:pPr>
          </w:p>
        </w:tc>
      </w:tr>
      <w:tr>
        <w:trPr>
          <w:trHeight w:val="522"/>
        </w:trPr>
        <w:tc>
          <w:tcPr>
            <w:tcW w:w="3440" w:type="dxa"/>
            <w:vAlign w:val="bottom"/>
          </w:tcPr>
          <w:p>
            <w:pPr>
              <w:spacing w:after="0"/>
              <w:rPr>
                <w:sz w:val="24"/>
                <w:szCs w:val="24"/>
                <w:color w:val="auto"/>
              </w:rPr>
            </w:pPr>
          </w:p>
        </w:tc>
        <w:tc>
          <w:tcPr>
            <w:tcW w:w="31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43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20" w:type="dxa"/>
            <w:vAlign w:val="bottom"/>
          </w:tcPr>
          <w:p>
            <w:pPr>
              <w:spacing w:after="0"/>
              <w:rPr>
                <w:sz w:val="20"/>
                <w:szCs w:val="20"/>
                <w:color w:val="auto"/>
              </w:rPr>
            </w:pPr>
          </w:p>
        </w:tc>
      </w:tr>
      <w:tr>
        <w:trPr>
          <w:trHeight w:val="432"/>
        </w:trPr>
        <w:tc>
          <w:tcPr>
            <w:tcW w:w="3440" w:type="dxa"/>
            <w:vAlign w:val="bottom"/>
          </w:tcPr>
          <w:p>
            <w:pPr>
              <w:spacing w:after="0"/>
              <w:rPr>
                <w:sz w:val="24"/>
                <w:szCs w:val="24"/>
                <w:color w:val="auto"/>
              </w:rPr>
            </w:pPr>
          </w:p>
        </w:tc>
        <w:tc>
          <w:tcPr>
            <w:tcW w:w="43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20" w:type="dxa"/>
            <w:vAlign w:val="bottom"/>
          </w:tcPr>
          <w:p>
            <w:pPr>
              <w:spacing w:after="0"/>
              <w:rPr>
                <w:sz w:val="24"/>
                <w:szCs w:val="24"/>
                <w:color w:val="auto"/>
              </w:rPr>
            </w:pPr>
          </w:p>
        </w:tc>
      </w:tr>
      <w:tr>
        <w:trPr>
          <w:trHeight w:val="243"/>
        </w:trPr>
        <w:tc>
          <w:tcPr>
            <w:tcW w:w="3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gridSpan w:val="2"/>
          </w:tcPr>
          <w:p>
            <w:pPr>
              <w:spacing w:after="0"/>
              <w:rPr>
                <w:sz w:val="21"/>
                <w:szCs w:val="21"/>
                <w:color w:val="auto"/>
              </w:rPr>
            </w:pPr>
          </w:p>
        </w:tc>
      </w:tr>
      <w:tr>
        <w:trPr>
          <w:trHeight w:val="243"/>
        </w:trPr>
        <w:tc>
          <w:tcPr>
            <w:tcW w:w="3440" w:type="dxa"/>
            <w:vAlign w:val="bottom"/>
            <w:tcBorders>
              <w:left w:val="single" w:sz="8" w:color="auto"/>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0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6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par value $0.00001 per share</w:t>
            </w: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DAKT</w:t>
            </w:r>
          </w:p>
        </w:tc>
        <w:tc>
          <w:tcPr>
            <w:tcW w:w="468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364" w:right="319" w:bottom="0" w:gutter="0" w:footer="0" w:header="0"/>
        </w:sectPr>
      </w:pPr>
    </w:p>
    <w:p>
      <w:pPr>
        <w:spacing w:after="0" w:line="2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0"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2">
            <w:col w:w="2140" w:space="720"/>
            <w:col w:w="8400"/>
          </w:cols>
          <w:pgMar w:left="320" w:top="1364" w:right="319" w:bottom="0" w:gutter="0" w:footer="0" w:header="0"/>
          <w:type w:val="continuous"/>
        </w:sectPr>
      </w:pPr>
    </w:p>
    <w:p>
      <w:pPr>
        <w:spacing w:after="0" w:line="1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shares of the registrant’s common stock outstanding as of February 23, 2026 was 48,298,110.</w:t>
      </w:r>
    </w:p>
    <w:p>
      <w:pPr>
        <w:sectPr>
          <w:pgSz w:w="11900" w:h="16838" w:orient="portrait"/>
          <w:cols w:equalWidth="0" w:num="1">
            <w:col w:w="11260"/>
          </w:cols>
          <w:pgMar w:left="320" w:top="1364" w:right="31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401955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January 31,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0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6"/>
            <w:vMerge w:val="continue"/>
          </w:tcPr>
          <w:p>
            <w:pPr>
              <w:spacing w:after="0"/>
              <w:rPr>
                <w:sz w:val="16"/>
                <w:szCs w:val="16"/>
                <w:color w:val="auto"/>
              </w:rPr>
            </w:pPr>
          </w:p>
        </w:tc>
        <w:tc>
          <w:tcPr>
            <w:tcW w:w="9040" w:type="dxa"/>
            <w:vAlign w:val="bottom"/>
            <w:gridSpan w:val="19"/>
            <w:vMerge w:val="continue"/>
          </w:tcPr>
          <w:p>
            <w:pPr>
              <w:spacing w:after="0"/>
              <w:rPr>
                <w:sz w:val="16"/>
                <w:szCs w:val="16"/>
                <w:color w:val="auto"/>
              </w:rPr>
            </w:pPr>
          </w:p>
        </w:tc>
        <w:tc>
          <w:tcPr>
            <w:tcW w:w="500" w:type="dxa"/>
            <w:vAlign w:val="bottom"/>
            <w:gridSpan w:val="4"/>
          </w:tcPr>
          <w:p>
            <w:pPr>
              <w:jc w:val="center"/>
              <w:ind w:left="25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60" w:type="dxa"/>
            <w:vAlign w:val="bottom"/>
            <w:gridSpan w:val="5"/>
          </w:tcPr>
          <w:p>
            <w:pPr>
              <w:spacing w:after="0"/>
              <w:rPr>
                <w:sz w:val="18"/>
                <w:szCs w:val="18"/>
                <w:color w:val="auto"/>
              </w:rPr>
            </w:pPr>
          </w:p>
        </w:tc>
        <w:tc>
          <w:tcPr>
            <w:tcW w:w="2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620" w:type="dxa"/>
            <w:vAlign w:val="bottom"/>
            <w:gridSpan w:val="7"/>
          </w:tcPr>
          <w:p>
            <w:pPr>
              <w:spacing w:after="0"/>
              <w:rPr>
                <w:sz w:val="18"/>
                <w:szCs w:val="18"/>
                <w:color w:val="auto"/>
              </w:rPr>
            </w:pPr>
          </w:p>
        </w:tc>
        <w:tc>
          <w:tcPr>
            <w:tcW w:w="50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January 31, 2026 and April 26, 2025</w:t>
            </w:r>
          </w:p>
        </w:tc>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January 31, 2026 and</w:t>
            </w: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Borders>
              <w:bottom w:val="single" w:sz="8" w:color="0000FF"/>
            </w:tcBorders>
            <w:gridSpan w:val="18"/>
            <w:vMerge w:val="continue"/>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Borders>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8"/>
              </w:rPr>
              <w:t>January 25, 2025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5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4"/>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January 31,</w:t>
            </w: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40" w:type="dxa"/>
            <w:vAlign w:val="bottom"/>
            <w:tcBorders>
              <w:bottom w:val="single" w:sz="8" w:color="0000FF"/>
            </w:tcBorders>
            <w:gridSpan w:val="17"/>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40" w:type="dxa"/>
            <w:vAlign w:val="bottom"/>
            <w:tcBorders>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8"/>
              </w:rPr>
              <w:t>2026 and January 25, 2025</w:t>
            </w: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580" w:type="dxa"/>
            <w:vAlign w:val="bottom"/>
            <w:gridSpan w:val="3"/>
          </w:tcPr>
          <w:p>
            <w:pPr>
              <w:spacing w:after="0"/>
              <w:rPr>
                <w:sz w:val="17"/>
                <w:szCs w:val="17"/>
                <w:color w:val="auto"/>
              </w:rPr>
            </w:pPr>
          </w:p>
        </w:tc>
        <w:tc>
          <w:tcPr>
            <w:tcW w:w="500" w:type="dxa"/>
            <w:vAlign w:val="bottom"/>
            <w:gridSpan w:val="4"/>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January 31, 2026</w:t>
            </w: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Borders>
              <w:bottom w:val="single" w:sz="8" w:color="0000FF"/>
            </w:tcBorders>
            <w:gridSpan w:val="18"/>
            <w:vMerge w:val="continue"/>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Borders>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8"/>
              </w:rPr>
              <w:t>and January 25, 2025</w:t>
            </w:r>
          </w:p>
        </w:tc>
        <w:tc>
          <w:tcPr>
            <w:tcW w:w="30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580" w:type="dxa"/>
            <w:vAlign w:val="bottom"/>
            <w:gridSpan w:val="3"/>
          </w:tcPr>
          <w:p>
            <w:pPr>
              <w:spacing w:after="0"/>
              <w:rPr>
                <w:sz w:val="17"/>
                <w:szCs w:val="17"/>
                <w:color w:val="auto"/>
              </w:rPr>
            </w:pPr>
          </w:p>
        </w:tc>
        <w:tc>
          <w:tcPr>
            <w:tcW w:w="500" w:type="dxa"/>
            <w:vAlign w:val="bottom"/>
            <w:gridSpan w:val="4"/>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January 31, 2026 and January 25,</w:t>
            </w: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60" w:type="dxa"/>
            <w:vAlign w:val="bottom"/>
            <w:tcBorders>
              <w:bottom w:val="single" w:sz="8" w:color="0000FF"/>
            </w:tcBorders>
            <w:gridSpan w:val="18"/>
            <w:vMerge w:val="continue"/>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2025</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4"/>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172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60" w:type="dxa"/>
            <w:vAlign w:val="bottom"/>
            <w:tcBorders>
              <w:bottom w:val="single" w:sz="8" w:color="0000FF"/>
            </w:tcBorders>
            <w:gridSpan w:val="14"/>
            <w:vMerge w:val="continue"/>
          </w:tcPr>
          <w:p>
            <w:pPr>
              <w:spacing w:after="0"/>
              <w:rPr>
                <w:sz w:val="18"/>
                <w:szCs w:val="18"/>
                <w:color w:val="auto"/>
              </w:rPr>
            </w:pPr>
          </w:p>
        </w:tc>
        <w:tc>
          <w:tcPr>
            <w:tcW w:w="172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50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0"/>
              </w:rPr>
              <w:t>Item 2.</w:t>
            </w:r>
          </w:p>
        </w:tc>
        <w:tc>
          <w:tcPr>
            <w:tcW w:w="860" w:type="dxa"/>
            <w:vAlign w:val="bottom"/>
            <w:gridSpan w:val="5"/>
          </w:tcPr>
          <w:p>
            <w:pPr>
              <w:spacing w:after="0"/>
              <w:rPr>
                <w:sz w:val="17"/>
                <w:szCs w:val="17"/>
                <w:color w:val="auto"/>
              </w:rPr>
            </w:pPr>
          </w:p>
        </w:tc>
        <w:tc>
          <w:tcPr>
            <w:tcW w:w="64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8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23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780" w:type="dxa"/>
            <w:vAlign w:val="bottom"/>
            <w:gridSpan w:val="4"/>
          </w:tcPr>
          <w:p>
            <w:pPr>
              <w:spacing w:after="0"/>
              <w:rPr>
                <w:sz w:val="18"/>
                <w:szCs w:val="18"/>
                <w:color w:val="auto"/>
              </w:rPr>
            </w:pP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80" w:type="dxa"/>
            <w:vAlign w:val="bottom"/>
            <w:gridSpan w:val="5"/>
          </w:tcPr>
          <w:p>
            <w:pPr>
              <w:spacing w:after="0"/>
              <w:rPr>
                <w:sz w:val="18"/>
                <w:szCs w:val="18"/>
                <w:color w:val="auto"/>
              </w:rPr>
            </w:pPr>
          </w:p>
        </w:tc>
        <w:tc>
          <w:tcPr>
            <w:tcW w:w="50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780" w:type="dxa"/>
            <w:vAlign w:val="bottom"/>
            <w:gridSpan w:val="4"/>
          </w:tcPr>
          <w:p>
            <w:pPr>
              <w:spacing w:after="0"/>
              <w:rPr>
                <w:sz w:val="24"/>
                <w:szCs w:val="24"/>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0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36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0" w:type="dxa"/>
            <w:vAlign w:val="bottom"/>
            <w:tcBorders>
              <w:top w:val="single" w:sz="8" w:color="0000FF"/>
            </w:tcBorders>
          </w:tcPr>
          <w:p>
            <w:pPr>
              <w:spacing w:after="0"/>
              <w:rPr>
                <w:sz w:val="18"/>
                <w:szCs w:val="18"/>
                <w:color w:val="auto"/>
              </w:rPr>
            </w:pPr>
          </w:p>
        </w:tc>
        <w:tc>
          <w:tcPr>
            <w:tcW w:w="780" w:type="dxa"/>
            <w:vAlign w:val="bottom"/>
            <w:gridSpan w:val="4"/>
          </w:tcPr>
          <w:p>
            <w:pPr>
              <w:spacing w:after="0"/>
              <w:rPr>
                <w:sz w:val="18"/>
                <w:szCs w:val="18"/>
                <w:color w:val="auto"/>
              </w:rPr>
            </w:pPr>
          </w:p>
        </w:tc>
        <w:tc>
          <w:tcPr>
            <w:tcW w:w="14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00" w:type="dxa"/>
            <w:vAlign w:val="bottom"/>
            <w:gridSpan w:val="13"/>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4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320" w:type="dxa"/>
            <w:vAlign w:val="bottom"/>
            <w:tcBorders>
              <w:bottom w:val="single" w:sz="8" w:color="0000FF"/>
            </w:tcBorders>
            <w:gridSpan w:val="3"/>
          </w:tcPr>
          <w:p>
            <w:pPr>
              <w:spacing w:after="0"/>
              <w:rPr>
                <w:sz w:val="18"/>
                <w:szCs w:val="18"/>
                <w:color w:val="auto"/>
              </w:rPr>
            </w:pPr>
          </w:p>
        </w:tc>
        <w:tc>
          <w:tcPr>
            <w:tcW w:w="540" w:type="dxa"/>
            <w:vAlign w:val="bottom"/>
            <w:gridSpan w:val="2"/>
          </w:tcPr>
          <w:p>
            <w:pPr>
              <w:spacing w:after="0"/>
              <w:rPr>
                <w:sz w:val="18"/>
                <w:szCs w:val="18"/>
                <w:color w:val="auto"/>
              </w:rPr>
            </w:pPr>
          </w:p>
        </w:tc>
        <w:tc>
          <w:tcPr>
            <w:tcW w:w="2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2"/>
          </w:tcPr>
          <w:p>
            <w:pPr>
              <w:spacing w:after="0"/>
              <w:rPr>
                <w:sz w:val="18"/>
                <w:szCs w:val="18"/>
                <w:color w:val="auto"/>
              </w:rPr>
            </w:pPr>
          </w:p>
        </w:tc>
        <w:tc>
          <w:tcPr>
            <w:tcW w:w="4700" w:type="dxa"/>
            <w:vAlign w:val="bottom"/>
            <w:gridSpan w:val="6"/>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5.</w:t>
            </w:r>
          </w:p>
        </w:tc>
        <w:tc>
          <w:tcPr>
            <w:tcW w:w="860" w:type="dxa"/>
            <w:vAlign w:val="bottom"/>
            <w:gridSpan w:val="5"/>
          </w:tcPr>
          <w:p>
            <w:pPr>
              <w:spacing w:after="0"/>
              <w:rPr>
                <w:sz w:val="18"/>
                <w:szCs w:val="18"/>
                <w:color w:val="auto"/>
              </w:rPr>
            </w:pP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8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860" w:type="dxa"/>
            <w:vAlign w:val="bottom"/>
            <w:gridSpan w:val="5"/>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18"/>
                <w:szCs w:val="18"/>
                <w:color w:val="auto"/>
              </w:rPr>
            </w:pPr>
          </w:p>
        </w:tc>
        <w:tc>
          <w:tcPr>
            <w:tcW w:w="7720" w:type="dxa"/>
            <w:vAlign w:val="bottom"/>
            <w:gridSpan w:val="14"/>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Index to Exhibits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w w:val="99"/>
              </w:rPr>
              <w:t>39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3400" w:type="dxa"/>
            <w:vAlign w:val="bottom"/>
          </w:tcPr>
          <w:p>
            <w:pPr>
              <w:spacing w:after="0"/>
              <w:rPr>
                <w:sz w:val="24"/>
                <w:szCs w:val="24"/>
                <w:color w:val="auto"/>
              </w:rPr>
            </w:pPr>
          </w:p>
        </w:tc>
        <w:tc>
          <w:tcPr>
            <w:tcW w:w="49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3400" w:type="dxa"/>
            <w:vAlign w:val="bottom"/>
          </w:tcPr>
          <w:p>
            <w:pPr>
              <w:spacing w:after="0"/>
              <w:rPr>
                <w:sz w:val="19"/>
                <w:szCs w:val="19"/>
                <w:color w:val="auto"/>
              </w:rPr>
            </w:pPr>
          </w:p>
        </w:tc>
        <w:tc>
          <w:tcPr>
            <w:tcW w:w="49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400" w:type="dxa"/>
            <w:vAlign w:val="bottom"/>
          </w:tcPr>
          <w:p>
            <w:pPr>
              <w:spacing w:after="0"/>
              <w:rPr>
                <w:sz w:val="20"/>
                <w:szCs w:val="20"/>
                <w:color w:val="auto"/>
              </w:rPr>
            </w:pPr>
          </w:p>
        </w:tc>
        <w:tc>
          <w:tcPr>
            <w:tcW w:w="49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(in thousands, except per share data) (unaudited)</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5"/>
        </w:trPr>
        <w:tc>
          <w:tcPr>
            <w:tcW w:w="3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6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38"/>
        </w:trPr>
        <w:tc>
          <w:tcPr>
            <w:tcW w:w="34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144,424</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127,507</w:t>
            </w: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92,762</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105,839</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41,169</w:t>
            </w: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4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7"/>
        </w:trPr>
        <w:tc>
          <w:tcPr>
            <w:tcW w:w="34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r>
      <w:tr>
        <w:trPr>
          <w:trHeight w:val="270"/>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47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5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47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425,796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receivables, 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Debt issuance costs,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 of use, investment in affiliates,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73,884</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70"/>
        </w:trPr>
        <w:tc>
          <w:tcPr>
            <w:tcW w:w="46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r>
      <w:tr>
        <w:trPr>
          <w:trHeight w:val="270"/>
        </w:trPr>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30,352</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32,104</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546,376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502,892</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60" w:type="dxa"/>
            <w:vAlign w:val="bottom"/>
          </w:tcPr>
          <w:p>
            <w:pPr>
              <w:spacing w:after="0"/>
              <w:rPr>
                <w:sz w:val="17"/>
                <w:szCs w:val="17"/>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41"/>
        </w:trPr>
        <w:tc>
          <w:tcPr>
            <w:tcW w:w="8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46,669</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69,050</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41,705</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191,556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172,005</w:t>
            </w:r>
          </w:p>
        </w:tc>
      </w:tr>
      <w:tr>
        <w:trPr>
          <w:trHeight w:val="237"/>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61,082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58,956</w:t>
            </w:r>
          </w:p>
        </w:tc>
      </w:tr>
      <w:tr>
        <w:trPr>
          <w:trHeight w:val="237"/>
        </w:trPr>
        <w:tc>
          <w:tcPr>
            <w:tcW w:w="8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$0.00001 par value, authorized 5,000 shares; no shares issued and outstanding</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$0.00001 par value, authorized 115,000 shares; 53,565 and 53,030 shares issued as of</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31, 2026 and April 26, 2025, respectively</w:t>
            </w:r>
          </w:p>
        </w:tc>
        <w:tc>
          <w:tcPr>
            <w:tcW w:w="20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189,940</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127,910</w:t>
            </w: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5,272 and 3,979 shares as of January 31, 2026 and April 26, 2025, respectively</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(39,759)</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293,738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271,931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546,376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502,892</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32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41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r>
      <w:tr>
        <w:trPr>
          <w:trHeight w:val="241"/>
        </w:trPr>
        <w:tc>
          <w:tcPr>
            <w:tcW w:w="4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583,926</w:t>
            </w: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138,242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431,584</w:t>
            </w:r>
          </w:p>
        </w:tc>
      </w:tr>
      <w:tr>
        <w:trPr>
          <w:trHeight w:val="25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152,342</w:t>
            </w:r>
          </w:p>
        </w:tc>
      </w:tr>
      <w:tr>
        <w:trPr>
          <w:trHeight w:val="270"/>
        </w:trPr>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70"/>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44,811</w:t>
            </w:r>
          </w:p>
        </w:tc>
      </w:tr>
      <w:tr>
        <w:trPr>
          <w:trHeight w:val="27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43,771</w:t>
            </w:r>
          </w:p>
        </w:tc>
      </w:tr>
      <w:tr>
        <w:trPr>
          <w:trHeight w:val="270"/>
        </w:trPr>
        <w:tc>
          <w:tcPr>
            <w:tcW w:w="4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28,902</w:t>
            </w:r>
          </w:p>
        </w:tc>
      </w:tr>
      <w:tr>
        <w:trPr>
          <w:trHeight w:val="223"/>
        </w:trPr>
        <w:tc>
          <w:tcPr>
            <w:tcW w:w="4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117,484</w:t>
            </w:r>
          </w:p>
        </w:tc>
      </w:tr>
      <w:tr>
        <w:trPr>
          <w:trHeight w:val="250"/>
        </w:trPr>
        <w:tc>
          <w:tcPr>
            <w:tcW w:w="4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34,858</w:t>
            </w:r>
          </w:p>
        </w:tc>
      </w:tr>
      <w:tr>
        <w:trPr>
          <w:trHeight w:val="250"/>
        </w:trPr>
        <w:tc>
          <w:tcPr>
            <w:tcW w:w="4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70"/>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60" w:type="dxa"/>
            <w:vAlign w:val="bottom"/>
          </w:tcPr>
          <w:p>
            <w:pPr>
              <w:spacing w:after="0"/>
              <w:rPr>
                <w:sz w:val="23"/>
                <w:szCs w:val="23"/>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(25,369)</w:t>
            </w:r>
          </w:p>
        </w:tc>
      </w:tr>
      <w:tr>
        <w:trPr>
          <w:trHeight w:val="27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50"/>
        </w:trPr>
        <w:tc>
          <w:tcPr>
            <w:tcW w:w="4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r>
      <w:tr>
        <w:trPr>
          <w:trHeight w:val="270"/>
        </w:trPr>
        <w:tc>
          <w:tcPr>
            <w:tcW w:w="4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w:t>
            </w:r>
          </w:p>
        </w:tc>
      </w:tr>
      <w:tr>
        <w:trPr>
          <w:trHeight w:val="248"/>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70"/>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46,944</w:t>
            </w:r>
          </w:p>
        </w:tc>
      </w:tr>
      <w:tr>
        <w:trPr>
          <w:trHeight w:val="27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46,944</w:t>
            </w:r>
          </w:p>
        </w:tc>
      </w:tr>
      <w:tr>
        <w:trPr>
          <w:trHeight w:val="270"/>
        </w:trPr>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70"/>
        </w:trPr>
        <w:tc>
          <w:tcPr>
            <w:tcW w:w="4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5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4640" w:type="dxa"/>
        <w:tblCellMar>
          <w:top w:w="0" w:type="dxa"/>
          <w:left w:w="0" w:type="dxa"/>
          <w:bottom w:w="0" w:type="dxa"/>
          <w:right w:w="0" w:type="dxa"/>
        </w:tblCellMar>
      </w:tblPr>
      <w:tr>
        <w:trPr>
          <w:trHeight w:val="238"/>
        </w:trPr>
        <w:tc>
          <w:tcPr>
            <w:tcW w:w="334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1680" w:type="dxa"/>
            <w:vAlign w:val="bottom"/>
            <w:tcBorders>
              <w:top w:val="single" w:sz="8" w:color="auto"/>
            </w:tcBorders>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15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80" w:type="dxa"/>
            <w:vAlign w:val="bottom"/>
          </w:tcPr>
          <w:p>
            <w:pPr>
              <w:spacing w:after="0"/>
              <w:rPr>
                <w:sz w:val="14"/>
                <w:szCs w:val="14"/>
                <w:color w:val="auto"/>
              </w:rPr>
            </w:pPr>
          </w:p>
        </w:tc>
        <w:tc>
          <w:tcPr>
            <w:tcW w:w="1680" w:type="dxa"/>
            <w:vAlign w:val="bottom"/>
            <w:tcBorders>
              <w:top w:val="single" w:sz="8" w:color="auto"/>
            </w:tcBorders>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5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January 25,</w:t>
            </w:r>
          </w:p>
        </w:tc>
      </w:tr>
      <w:tr>
        <w:trPr>
          <w:trHeight w:val="241"/>
        </w:trPr>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52" w:lineRule="exact"/>
        <w:rPr>
          <w:sz w:val="20"/>
          <w:szCs w:val="20"/>
          <w:color w:val="auto"/>
        </w:rPr>
      </w:pPr>
    </w:p>
    <w:p>
      <w:pPr>
        <w:ind w:left="20"/>
        <w:spacing w:after="0"/>
        <w:tabs>
          <w:tab w:leader="none" w:pos="4640" w:val="left"/>
        </w:tabs>
        <w:rPr>
          <w:sz w:val="20"/>
          <w:szCs w:val="20"/>
          <w:color w:val="auto"/>
        </w:rPr>
      </w:pPr>
      <w:r>
        <w:rPr>
          <w:rFonts w:ascii="Times New Roman" w:cs="Times New Roman" w:eastAsia="Times New Roman" w:hAnsi="Times New Roman"/>
          <w:sz w:val="18"/>
          <w:szCs w:val="18"/>
          <w:color w:val="auto"/>
        </w:rPr>
        <w:t>Net income (loss)</w:t>
      </w:r>
      <w:r>
        <w:rPr>
          <w:sz w:val="20"/>
          <w:szCs w:val="20"/>
          <w:color w:val="auto"/>
        </w:rPr>
        <w:tab/>
      </w:r>
      <w:r>
        <w:rPr>
          <w:rFonts w:ascii="Times New Roman" w:cs="Times New Roman" w:eastAsia="Times New Roman" w:hAnsi="Times New Roman"/>
          <w:sz w:val="16"/>
          <w:szCs w:val="16"/>
          <w:color w:val="auto"/>
        </w:rPr>
        <w:t>$</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p>
      <w:pPr>
        <w:spacing w:after="0" w:line="63" w:lineRule="exact"/>
        <w:rPr>
          <w:sz w:val="20"/>
          <w:szCs w:val="20"/>
          <w:color w:val="auto"/>
        </w:rPr>
      </w:pPr>
    </w:p>
    <w:p>
      <w:pPr>
        <w:ind w:left="180" w:right="480"/>
        <w:spacing w:after="0" w:line="282" w:lineRule="auto"/>
        <w:rPr>
          <w:sz w:val="20"/>
          <w:szCs w:val="20"/>
          <w:color w:val="auto"/>
        </w:rPr>
      </w:pPr>
      <w:r>
        <w:rPr>
          <w:rFonts w:ascii="Times New Roman" w:cs="Times New Roman" w:eastAsia="Times New Roman" w:hAnsi="Times New Roman"/>
          <w:sz w:val="18"/>
          <w:szCs w:val="18"/>
          <w:color w:val="auto"/>
        </w:rPr>
        <w:t>Unrealized gain (loss) on available-for-sale securities, net of tax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3,010</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36,961</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770"/>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1,392</w:t>
            </w: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6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486"/>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-942340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-624840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-307975</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26,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53,030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127,910</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(39,759)</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271,931</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16,470</w:t>
            </w: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16,470</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Treasury stock purchased</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(10,652)</w:t>
            </w:r>
          </w:p>
        </w:tc>
        <w:tc>
          <w:tcPr>
            <w:tcW w:w="0" w:type="dxa"/>
            <w:vAlign w:val="bottom"/>
          </w:tcPr>
          <w:p>
            <w:pPr>
              <w:spacing w:after="0"/>
              <w:rPr>
                <w:sz w:val="1"/>
                <w:szCs w:val="1"/>
                <w:color w:val="auto"/>
              </w:rPr>
            </w:pPr>
          </w:p>
        </w:tc>
      </w:tr>
      <w:tr>
        <w:trPr>
          <w:trHeight w:val="189"/>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August 2,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53,108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191,663</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144,380</w:t>
            </w:r>
          </w:p>
        </w:tc>
        <w:tc>
          <w:tcPr>
            <w:tcW w:w="8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(50,411)</w:t>
            </w:r>
          </w:p>
        </w:tc>
        <w:tc>
          <w:tcPr>
            <w:tcW w:w="10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(5,881)</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279,751</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17,481</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17,481</w:t>
            </w: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Unrealized gain on available-for-</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 securities, net of tax</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Common stock issued upon</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Shares withheld for taxes on</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Unit issuances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Treasury stock purchase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0" w:type="dxa"/>
            <w:vAlign w:val="bottom"/>
          </w:tcPr>
          <w:p>
            <w:pPr>
              <w:spacing w:after="0"/>
              <w:rPr>
                <w:sz w:val="1"/>
                <w:szCs w:val="1"/>
                <w:color w:val="auto"/>
              </w:rPr>
            </w:pPr>
          </w:p>
        </w:tc>
      </w:tr>
      <w:tr>
        <w:trPr>
          <w:trHeight w:val="19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November 1,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161,861</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(5,541)</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297,451</w:t>
            </w:r>
          </w:p>
        </w:tc>
        <w:tc>
          <w:tcPr>
            <w:tcW w:w="0" w:type="dxa"/>
            <w:vAlign w:val="bottom"/>
          </w:tcPr>
          <w:p>
            <w:pPr>
              <w:spacing w:after="0"/>
              <w:rPr>
                <w:sz w:val="1"/>
                <w:szCs w:val="1"/>
                <w:color w:val="auto"/>
              </w:rPr>
            </w:pPr>
          </w:p>
        </w:tc>
      </w:tr>
      <w:tr>
        <w:trPr>
          <w:trHeight w:val="189"/>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 issued upon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Treasury stock purchase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(10,561)</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Conversion of an equity award to</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 liability award</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31, 2026</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53,565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195,552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164,871</w:t>
            </w: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(62,536)</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293,738</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27,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138,031</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238,792</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0" w:type="dxa"/>
            <w:vAlign w:val="bottom"/>
          </w:tcPr>
          <w:p>
            <w:pPr>
              <w:spacing w:after="0"/>
              <w:rPr>
                <w:sz w:val="1"/>
                <w:szCs w:val="1"/>
                <w:color w:val="auto"/>
              </w:rPr>
            </w:pPr>
          </w:p>
        </w:tc>
      </w:tr>
      <w:tr>
        <w:trPr>
          <w:trHeight w:val="196"/>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20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27,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133,085</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238,211</w:t>
            </w:r>
          </w:p>
        </w:tc>
        <w:tc>
          <w:tcPr>
            <w:tcW w:w="0" w:type="dxa"/>
            <w:vAlign w:val="bottom"/>
          </w:tcPr>
          <w:p>
            <w:pPr>
              <w:spacing w:after="0"/>
              <w:rPr>
                <w:sz w:val="1"/>
                <w:szCs w:val="1"/>
                <w:color w:val="auto"/>
              </w:rPr>
            </w:pPr>
          </w:p>
        </w:tc>
      </w:tr>
      <w:tr>
        <w:trPr>
          <w:trHeight w:val="189"/>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Unrealized gain on available-for-</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 securities, net of tax</w:t>
            </w: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Shares withheld for taxes on</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Unit issuances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 issued upon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26,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154,491</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260,930</w:t>
            </w:r>
          </w:p>
        </w:tc>
        <w:tc>
          <w:tcPr>
            <w:tcW w:w="0" w:type="dxa"/>
            <w:vAlign w:val="bottom"/>
          </w:tcPr>
          <w:p>
            <w:pPr>
              <w:spacing w:after="0"/>
              <w:rPr>
                <w:sz w:val="1"/>
                <w:szCs w:val="1"/>
                <w:color w:val="auto"/>
              </w:rPr>
            </w:pPr>
          </w:p>
        </w:tc>
      </w:tr>
      <w:tr>
        <w:trPr>
          <w:trHeight w:val="189"/>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(17,156)</w:t>
            </w: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Cumulative translation</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Unrealized gain (loss) on</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available-for-sale securities, net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tax</w:t>
            </w: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Treasury stock purchase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 of convertible note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36,797</w:t>
            </w: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25,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49,006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71,774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89,875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137,335</w:t>
            </w: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(19,301)</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(7,392)</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272,291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8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1"/>
                <w:szCs w:val="11"/>
                <w:color w:val="auto"/>
              </w:rPr>
            </w:pPr>
          </w:p>
        </w:tc>
        <w:tc>
          <w:tcPr>
            <w:tcW w:w="1260" w:type="dxa"/>
            <w:vAlign w:val="bottom"/>
          </w:tcPr>
          <w:p>
            <w:pPr>
              <w:jc w:val="right"/>
              <w:ind w:right="308"/>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r>
      <w:tr>
        <w:trPr>
          <w:trHeight w:val="195"/>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14,707</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on sale of property, equipment and other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in loss of affiliates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(Reversal of) allowance for credit losses on affiliate loan</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(recoveries of) doubtful accounts,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convertible note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25,369</w:t>
            </w: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30,964</w:t>
            </w:r>
          </w:p>
        </w:tc>
      </w:tr>
      <w:tr>
        <w:trPr>
          <w:trHeight w:val="19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74,839</w:t>
            </w:r>
          </w:p>
        </w:tc>
      </w:tr>
      <w:tr>
        <w:trPr>
          <w:trHeight w:val="203"/>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(14,668)</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sales of property, equipment and other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Loans to equity investees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(3,326)</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net of cash acquired</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(17,782)</w:t>
            </w:r>
          </w:p>
        </w:tc>
      </w:tr>
      <w:tr>
        <w:trPr>
          <w:trHeight w:val="203"/>
        </w:trPr>
        <w:tc>
          <w:tcPr>
            <w:tcW w:w="8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on notes payable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Payments on notes payable</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payments on long-term obligations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Payments for common shares repurchased</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(9,016)</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w:t>
            </w: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Tax payments related to RSU issuances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r>
      <w:tr>
        <w:trPr>
          <w:trHeight w:val="19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(6,594)</w:t>
            </w:r>
          </w:p>
        </w:tc>
      </w:tr>
      <w:tr>
        <w:trPr>
          <w:trHeight w:val="203"/>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50,491</w:t>
            </w:r>
          </w:p>
        </w:tc>
      </w:tr>
      <w:tr>
        <w:trPr>
          <w:trHeight w:val="203"/>
        </w:trPr>
        <w:tc>
          <w:tcPr>
            <w:tcW w:w="8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127,507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81,678</w:t>
            </w:r>
          </w:p>
        </w:tc>
      </w:tr>
      <w:tr>
        <w:trPr>
          <w:trHeight w:val="20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End of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144,424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132,169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for: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16,622</w:t>
            </w:r>
          </w:p>
        </w:tc>
      </w:tr>
      <w:tr>
        <w:trPr>
          <w:trHeight w:val="202"/>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Contributions of common stock under the employee stock purchase plan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r>
      <w:tr>
        <w:trPr>
          <w:trHeight w:val="188"/>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Settlement of convertible note</w:t>
            </w:r>
          </w:p>
        </w:tc>
        <w:tc>
          <w:tcPr>
            <w:tcW w:w="2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36,797</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(dollar and share amounts in thousands, except per share data)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recognized industry leaders in the design and manufacturing of electronic scoreboards, programmable display systems, and large-screen video displays serving sporting, commercial, and transportation markets.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and the applicable rules and regulations of the Securities and Exchange Commission (“SEC”) for interim financial reporting. In the opinion of management, these financial statements reflect all adjustments necessary for a fair presentation of the Company’s financial position, results of operations, and cash flows for the periods presented. All such adjustments are of a normal recurring nature.</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revenues and expenses, and the disclosure of contingent liabilities. Significant estimates include, but are not limited to, revenue recognition, warranty obligations, the fair value of long-term debt and investments in affiliates, income tax provisions, and stock-based compensation. Actual results may differ materially from those estimates due to inherent uncertainties.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annual financial statements prepared in accordance with GAAP have been condensed or omitted pursuant to SEC rules and regulations. The balance sheet as of April 26, 2025, has been derived from the audited financial statements as of that date but does not include all disclosures required for annual financial statements. These interim financial statements should be read in conjunction with the Company’s audited financial statements and notes thereto included in its Annual Report on Form 10-K for the fiscal year ended April 26, 2025 (the “Form 10-K”).</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on a 52- or 53-week fiscal year ending on the Saturday closest to April 30. When April 30 falls on a Wednesday, the fiscal year ends on the preceding Saturday. Each fiscal quarter consists of 13 weeks, except in a 53-week fiscal year, where the first quarter includes 14 weeks. The nine months ended January 31, 2026, and January 25, 2025, included 40 and 39 weeks of operations,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and estimates as disclosed in the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are presented in the Condensed Consolidated Balance Sheets with the corresponding totals reported in the Condensed Consolidated Statements of Cash Flows. The Company had no restricted cash or restricted cash equivalents as of January 31, 2026 or January 25,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foreign currency cash accounts to support our global operations. These balances are subject to fluctuations in foreign exchange rates, which may impact our consolidated financial position and results of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our total cash and cash equivalents were $144,424, of which $130,644 were denominated in U.S. dollars. Included in the U.S. dollar-denominated balances were $9,164 held by our foreign subsidiaries. The remaining $13,780 were denominated in foreign currencies, with $11,704 maintained in accounts held by our foreign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 2023-07”). ASU 2023-07 requires enhanced disclosures about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ASU 2023-07 is effective for fiscal years beginning after December 15, 2023 and for interim periods within fiscal years beginning after December 15, 2024, with</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early adoption permitted. ASU 2023-07 requires the retrospective adoption method. The Company adopted ASU 2023-07 for annual periods beginning in the fiscal year ended April 26, 2025, noting there were no changes to our reportable segments. The Company has adopted ASU 2023-07 for interim periods beginning in the fiscal year ending May 2,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the disclosure of specified additional information in its income tax rate reconciliation and to provide additional information for reconciling items that meet a quantitative threshold. ASU 2023-09 will also require the disaggregation of the disclosures of income taxes paid by federal, state, and foreign taxes, with further disaggregation required for significant individual jurisdictions. The Company is required to adopt this guidance for its annual reporting in fiscal year 2026 on a prospective basis. Early adoption and retroactive application are permitted. We are currently evaluating the impact of ASU 2023-09 on our income tax disclosures.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("ASU 2024-03"), requiring disclosure in the notes to the financial statements of specified information about certain costs and expenses.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is effective for annual periods beginning after December 15, 2026, and for interim periods beginning after December 15, 2027; however, early adoption is permitted and can be applied either prospectively or retrospectively. We are currently evaluating the impact of ASU 2024-03 on our expense disaggregation disclosures.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("ASU 2025-05"). ASU 2025-05 provides a practical expedient that all entities can use when estimating expected credit losses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current accounts receivable and current contract assets arising from transactions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The Company is required to adopt this guidance in fiscal year 2027 on a prospective basis. We are currently evaluating the impact of ASU 2025-05 on our expense disaggregation disclosures.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w:t>
      </w:r>
      <w:r>
        <w:rPr>
          <w:rFonts w:ascii="Times New Roman" w:cs="Times New Roman" w:eastAsia="Times New Roman" w:hAnsi="Times New Roman"/>
          <w:sz w:val="18"/>
          <w:szCs w:val="18"/>
          <w:color w:val="auto"/>
        </w:rPr>
        <w:t>ASU 2025-06”), which modernizes the accounting for internal-use software costs to reflect current development practices. The update eliminates the previous three-stage model (preliminary, application development, and post-implementation) and instead introduces a principles-based approach. Under the new guidance, capitalization begins when (1) management authorizes and commits to funding the project, and (2) it is probable the project will be completed and the software will be used for its intended purpose. ASU 2025-06 is effective for annual periods beginning after December 15, 2027, with early adoption permitted and transition options including prospective, retrospective, or modified retrospective application. We are currently evaluating the impact of ASU 2025-06 on our accounting policies and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 (“</w:t>
      </w:r>
      <w:r>
        <w:rPr>
          <w:rFonts w:ascii="Times New Roman" w:cs="Times New Roman" w:eastAsia="Times New Roman" w:hAnsi="Times New Roman"/>
          <w:sz w:val="18"/>
          <w:szCs w:val="18"/>
          <w:color w:val="auto"/>
        </w:rPr>
        <w:t>ASU 2025-11”).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ASU 2025-11 is effective for annual periods beginning after December 15, 2027, including interim periods within that annual period. We are currently evaluating the impact of ASU 2025-11 on our accounting policies and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in Affiliates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investments in other entities using the equity method when our ownership interest provides us with the ability to exercise significant influence over the operating and financial policies of the investee. Our assessment of significant influence considers factors such as ownership percentage, board representation, participation in policy-making decisions, commercial arrangements, and material intercompany transactions.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Miortech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evaluated our investment in an affiliate of Miortech Holding B.V. (dba Etulipa) (“Miortech”), which is focused on low-power outdoor electrowetting technology. As of January 31, 2026, our ownership interest in Miortech was 55.9 percent. Despite our majority ownership, we determined Miortech is a variable interest entity (“VIE”) and, based on management’s analysis, Daktronics is not the primary beneficiary as the power criterion was not met. Accordingly, we do not consolidate this entity but account for our investment in such entity under the equity method.</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and April 26, 2025, the carrying value of our equity method investment in Miortech was zero. Our proportional share of the affiliate loss with respect to Miortech is recorded in “Other expense, net” in our Condensed Consolidated Statements of Operations. For the three and nine months ended January 31, 2026, our share of such affiliate losses were $223 and $752, respectively, compared to $212 and $693, respectively, for the three and nine months ended January 25, 2025.</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Additionally, we have provided funding to Miortech through a promissory note (the “Miortech Affiliate Note”). During the nine months ended January 31, 2026, we advanced $930 to Miortech under the Miortech Affiliate Note, as compared to $1,340 during fiscal year 2025. Accrued interest on the Miortech Affiliate Note was $177 and $149 as of January 31, 2026 and April 26, 2025, respectively. The total face value of the outstanding Miortech Affiliate Note was $5,250 and $3,809 as of January 31, 2026 and April 26, 2025, respectively. These balances are included in “Right of use, investment in affiliates, and other assets” in our Condensed Consolidated Balance Sheets. We periodically assessed the Miortech Affiliate Note for impairment and expected credit losses, and concluded that no impairment existed for the periods ended January 31, 2026 and April 26, 2025.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of our Miortech Affiliate Note totaled $3,813 and $3,123 as of January 31, 2026 and April 26, 2025,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XDC</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December 22, 2025, the Company acquired a display business (the “Display Business”) consisting of intellectual property, equipment assets, technical expertise, contract rights, other personal property, and related assets (collectively, the “Display Business Assets”) from X Display Company Technology Limited (“XDC,” and such acquisition, the “XDC Acquisition”). Historically, the Company held an equity interest in XDC which was accounted for under the equity method. Refer to “Note 6. Business Combinations” of the Notes to the Condensed Consolidated Financial Statements included in this Quarterly Report on Form 10-Q for further information on this acquisition.</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April 26, 2025, the carrying value of our equity method investment in XDC was zero. Our proportional share of the affiliate loss in XDC is recorded in “Other expense, net” in our Condensed Consolidated Statements of Operations. For the three and nine months ended January 31, 2026, our share of affiliate losses recognized through December 22, 2025 with respect to XDC were $303 and $1,015, respectively, compared to $550 and $1,901,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for the three and nine months ended January 25, 2025.</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had provided funding to XDC through promissory notes, some of which were convertible (collectively, the “XDC Affiliate Notes”). During fiscal 2026, through December 22, 2025, we advanced $4,100 to XDC under the XDC Affiliate Notes, as compared to $3,225 during fiscal year 2025. Accrued interest on the XDC Affiliate Notes was $499 and $689 as of December 22, 2025 and April 26, 2025, respectively. The total face value of the outstanding XDC Affiliate Note was $16,034 as of April 26, 2025. These balances are included in “Right of use, investment in affiliates, and other assets” in our Condensed Consolidated Balance Sheets. We periodically assessed the XDC Affiliate Notes for impairment and expected credit losses. During the fourth quarter of fiscal 2025, we recorded a provision of $15,480 related to an XDC Affiliate Note deemed uncollectible. During fiscal 2026, through December 22, 2025, an additional provision of $1,012 was recorded for another XDC Affiliate Note expected to be uncollectible. These provisions are included in “Other expense, net.” Prior to the XDC Acquisition, we forgave $16,492 of the XDC Affiliate Notes.</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we also engage in related party transactions with XDC, primarily for research and development services. For the nine months ended January 31, 2026 and January 25, 2025, we recorded expenses of $325 and $593, respectively, in “Product design and development.” Amounts recognized during the nine months ended January 31, 2026 relate to services provided prior to the XDC Acquisition on December 22, 2025. Unpaid amounts related to these services were $49 and $109 as of January 31, 2026 and January 25, 2025, respectively, and are included in “Accounts payable.”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compute earnings per share (“EPS”) in accordance with the provisions of Accounting Standards Codification Topic 260, Earnings Per Share. Basic EPS is calculated by dividing net income attributable to holders of our common stock, par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$0.00001 per share (“Common Stock”), by the weighted average number of common shares outstanding during the reporting period.</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reflects the potential dilution that could occur if securities or other contracts to issue common stock were exercised, converted, or otherwise resulted in the issuance of common shares that participate in our earnings.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and the number of shares of Common Stock used in the calculation of basic and diluted EPS for the three and nine months ended January 31, 2026, and January 25,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28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74"/>
        </w:trPr>
        <w:tc>
          <w:tcPr>
            <w:tcW w:w="50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190"/>
              <w:spacing w:after="0" w:line="174"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190"/>
              <w:spacing w:after="0" w:line="174" w:lineRule="exact"/>
              <w:rPr>
                <w:sz w:val="20"/>
                <w:szCs w:val="20"/>
                <w:color w:val="auto"/>
              </w:rPr>
            </w:pPr>
            <w:r>
              <w:rPr>
                <w:rFonts w:ascii="Times New Roman" w:cs="Times New Roman" w:eastAsia="Times New Roman" w:hAnsi="Times New Roman"/>
                <w:sz w:val="18"/>
                <w:szCs w:val="18"/>
                <w:b w:val="1"/>
                <w:bCs w:val="1"/>
                <w:color w:val="auto"/>
              </w:rPr>
              <w:t>January 25,</w:t>
            </w:r>
          </w:p>
        </w:tc>
      </w:tr>
      <w:tr>
        <w:trPr>
          <w:trHeight w:val="238"/>
        </w:trPr>
        <w:tc>
          <w:tcPr>
            <w:tcW w:w="50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46,944</w:t>
            </w:r>
          </w:p>
        </w:tc>
      </w:tr>
      <w:tr>
        <w:trPr>
          <w:trHeight w:val="22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5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3"/>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5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46,944</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assuming dilution</w:t>
            </w: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49,257</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46,944</w:t>
            </w:r>
          </w:p>
        </w:tc>
      </w:tr>
      <w:tr>
        <w:trPr>
          <w:trHeight w:val="248"/>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January 31, 2026, 61 shares of potential Common Stock related to stock-based compensation plans were excluded from the computation of diluted EPS because their inclusion would have been anti-dilutive. For the three months ended January 25, 2025, 934 shares of potential common stock, no par value, related to stock-based compensation plans were excluded from the computation of diluted EPS because their inclusion would have been anti-dilutive. The excluded shares include options to purchase 29 shares of common stock, no par value, with a weighted average exercise price of $11.87.</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January 31, 2026, 51 shares of potential Common Stock related to stock-based compensation plans were excluded from the computation of diluted EPS because their inclusion would have been anti-dilutive. For the nine months ended January 25, 2025, 992 shares of potential common stock, no par value, related to stock-based compensation plans were excluded from the computation of diluted EPS because their inclusion would have been anti-dilutive. The excluded shares include options to purchase 51 shares of common stock, no par value, with a weighted average exercise price of $10.43.</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January 25, 2025, 3,079 potential shares of common stock, no par value, issuable upon conversion of a senior secured convertible promissory note in the original principal amount of $25,000 dated as of May 11, 2023, issued by the Company to Alta Fox Opportunities Fund, LP (the "Convertible Note") were included in the computation of diluted EPS. For the nine months ended January 25, 2025, 3,697 potential common shares issuable upon conversion of the Convertible Note were not included in the computation of diluted EPS, as their inclusion would have been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606-10-50, Revenue from Contracts with Customers, we disaggregate revenue based on the nature of the performance obligations and the timing of revenue recognition. This approach is intended to meet the disclosure objective of depicting how the nature, amount, timing, and uncertainty of revenue and cash flows are influenced by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economic factors. It also enables users of the financial statements to understand the relationship between revenue streams and each of our reportable 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January 31, 2026</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83,490</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77,547</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20,834</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85,769</w:t>
            </w: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64,993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96,102</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 January 31, 2026</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277,622</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288,557</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63,917</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630,096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313,188</w:t>
            </w: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200,567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316,908</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630,096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January 25, 2025</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61,987</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67,641</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149,507</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74,317</w:t>
            </w: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75,190</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149,507</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 January 25, 2025</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Park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2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6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 obligation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278,868</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246,167</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58,891</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583,926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269,818</w:t>
            </w:r>
          </w:p>
        </w:tc>
        <w:tc>
          <w:tcPr>
            <w:tcW w:w="0" w:type="dxa"/>
            <w:vAlign w:val="bottom"/>
          </w:tcPr>
          <w:p>
            <w:pPr>
              <w:spacing w:after="0"/>
              <w:rPr>
                <w:sz w:val="1"/>
                <w:szCs w:val="1"/>
                <w:color w:val="auto"/>
              </w:rPr>
            </w:pPr>
          </w:p>
        </w:tc>
      </w:tr>
      <w:tr>
        <w:trPr>
          <w:trHeight w:val="225"/>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194,786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314,108</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583,926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revenue recognized for performance obligations satisfied but not yet billed and include unbilled receivables. Unbilled receivables reflect an unconditional right to payment that is subject only to the passage of time and are reclassified to accounts receivable once billed in accordance with contractual terms.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represent amounts billed to customers in excess of revenue recognized to date and are recognized as revenue when the related performance obligations are satisfied.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contract assets and contract liabilities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4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28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1"/>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7,145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(3,203)</w:t>
            </w:r>
          </w:p>
        </w:tc>
        <w:tc>
          <w:tcPr>
            <w:tcW w:w="10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26, 2025 to January 31, 2026 were primarily driven by the timing of billing schedules and revenue recognition. These fluctuations are influenced by the contractual payment terms and the seasonal nature of the sports markets.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significant impairments of contract assets were identified during the three months ended January 31, 2026.</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service-type warranty contracts, revenue is allocated to the related performance obligation and recognized over time, while associated costs are recognized as incurred. Earned and unearned revenues related to these contracts are reported within the “Contract assets” and “Contract liabilities” line items in our Condensed Consolidated Balance Sheets.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unearned service-type warranty contracts, net, for the nine months ended January 31,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31,</w:t>
            </w:r>
          </w:p>
        </w:tc>
      </w:tr>
      <w:tr>
        <w:trPr>
          <w:trHeight w:val="238"/>
        </w:trPr>
        <w:tc>
          <w:tcPr>
            <w:tcW w:w="9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26,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w:t>
            </w: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41,342</w:t>
            </w:r>
          </w:p>
        </w:tc>
      </w:tr>
      <w:tr>
        <w:trPr>
          <w:trHeight w:val="229"/>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(38,362)</w:t>
            </w:r>
          </w:p>
        </w:tc>
      </w:tr>
      <w:tr>
        <w:trPr>
          <w:trHeight w:val="230"/>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Contracts in progress identified as loss contracts as of January 31, 2026 and April 26, 2025 were immaterial. Provisions for such losses are recorded in the “Accrued expenses” line item in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January 31, 2026, we recognized $61,213 of revenue that was previously recorded as contract liabilities as of April 26,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the aggregate amount of the transaction price allocated to the remaining performance obligations was $412,511. This consists of $342,338 related to product agreements and $70,173 related to service agreements. We expect approximately $355,718 of these obligations to be recognized as revenue within the next 12 months, with the remainder recognized thereafter.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remaining performance obligations represent legally binding business commitments, they are subject to change due to cancellations, deferrals, or scope adjustments. Known changes—including project cancellations, scope revisions, foreign currency exchange fluctuations, and deferrals—are reflected or excluded from the reported balance, as appropriate.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recognized during the nine months ended January 31, 2026 and January 25, 2025 related to performance obligations satisfied in prior periods was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for each of our five reportable segments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Table of Contents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114"/>
        </w:trPr>
        <w:tc>
          <w:tcPr>
            <w:tcW w:w="1280" w:type="dxa"/>
            <w:vAlign w:val="bottom"/>
            <w:tcBorders>
              <w:top w:val="single" w:sz="8" w:color="0E32E1"/>
            </w:tcBorders>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30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1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r>
      <w:tr>
        <w:trPr>
          <w:trHeight w:val="241"/>
        </w:trPr>
        <w:tc>
          <w:tcPr>
            <w:tcW w:w="1280" w:type="dxa"/>
            <w:vAlign w:val="bottom"/>
            <w:tcBorders>
              <w:bottom w:val="single" w:sz="8" w:color="CCEEFF"/>
            </w:tcBorders>
          </w:tcPr>
          <w:p>
            <w:pPr>
              <w:spacing w:after="0"/>
              <w:rPr>
                <w:sz w:val="20"/>
                <w:szCs w:val="20"/>
                <w:color w:val="auto"/>
              </w:rPr>
            </w:pPr>
          </w:p>
        </w:tc>
        <w:tc>
          <w:tcPr>
            <w:tcW w:w="3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2"/>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140,425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115,614</w:t>
            </w:r>
          </w:p>
        </w:tc>
      </w:tr>
      <w:tr>
        <w:trPr>
          <w:trHeight w:val="229"/>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231,887</w:t>
            </w:r>
          </w:p>
        </w:tc>
      </w:tr>
      <w:tr>
        <w:trPr>
          <w:trHeight w:val="230"/>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125,444</w:t>
            </w:r>
          </w:p>
        </w:tc>
      </w:tr>
      <w:tr>
        <w:trPr>
          <w:trHeight w:val="229"/>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62,757</w:t>
            </w:r>
          </w:p>
        </w:tc>
      </w:tr>
      <w:tr>
        <w:trPr>
          <w:trHeight w:val="230"/>
        </w:trPr>
        <w:tc>
          <w:tcPr>
            <w:tcW w:w="46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48,224</w:t>
            </w:r>
          </w:p>
        </w:tc>
      </w:tr>
      <w:tr>
        <w:trPr>
          <w:trHeight w:val="248"/>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net sales</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583,926</w:t>
            </w:r>
          </w:p>
        </w:tc>
      </w:tr>
      <w:tr>
        <w:trPr>
          <w:trHeight w:val="20"/>
        </w:trPr>
        <w:tc>
          <w:tcPr>
            <w:tcW w:w="46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7"/>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7"/>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87,795</w:t>
            </w:r>
          </w:p>
        </w:tc>
      </w:tr>
      <w:tr>
        <w:trPr>
          <w:trHeight w:val="257"/>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182,095</w:t>
            </w:r>
          </w:p>
        </w:tc>
      </w:tr>
      <w:tr>
        <w:trPr>
          <w:trHeight w:val="257"/>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81,032</w:t>
            </w:r>
          </w:p>
        </w:tc>
      </w:tr>
      <w:tr>
        <w:trPr>
          <w:trHeight w:val="256"/>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39,410</w:t>
            </w:r>
          </w:p>
        </w:tc>
      </w:tr>
      <w:tr>
        <w:trPr>
          <w:trHeight w:val="257"/>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41,252</w:t>
            </w:r>
          </w:p>
        </w:tc>
      </w:tr>
      <w:tr>
        <w:trPr>
          <w:trHeight w:val="270"/>
        </w:trPr>
        <w:tc>
          <w:tcPr>
            <w:tcW w:w="4640" w:type="dxa"/>
            <w:vAlign w:val="bottom"/>
            <w:gridSpan w:val="2"/>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27,819</w:t>
            </w:r>
          </w:p>
        </w:tc>
      </w:tr>
      <w:tr>
        <w:trPr>
          <w:trHeight w:val="229"/>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49,792</w:t>
            </w:r>
          </w:p>
        </w:tc>
      </w:tr>
      <w:tr>
        <w:trPr>
          <w:trHeight w:val="230"/>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w:t>
            </w:r>
          </w:p>
        </w:tc>
      </w:tr>
      <w:tr>
        <w:trPr>
          <w:trHeight w:val="229"/>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23,347</w:t>
            </w:r>
          </w:p>
        </w:tc>
      </w:tr>
      <w:tr>
        <w:trPr>
          <w:trHeight w:val="230"/>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r>
      <w:tr>
        <w:trPr>
          <w:trHeight w:val="22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gross profit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170,526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44,811</w:t>
            </w:r>
          </w:p>
        </w:tc>
      </w:tr>
      <w:tr>
        <w:trPr>
          <w:trHeight w:val="230"/>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43,771</w:t>
            </w:r>
          </w:p>
        </w:tc>
      </w:tr>
      <w:tr>
        <w:trPr>
          <w:trHeight w:val="230"/>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28,902</w:t>
            </w:r>
          </w:p>
        </w:tc>
      </w:tr>
      <w:tr>
        <w:trPr>
          <w:trHeight w:val="229"/>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70"/>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25,369</w:t>
            </w:r>
          </w:p>
        </w:tc>
      </w:tr>
      <w:tr>
        <w:trPr>
          <w:trHeight w:val="230"/>
        </w:trPr>
        <w:tc>
          <w:tcPr>
            <w:tcW w:w="46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48"/>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r>
      <w:tr>
        <w:trPr>
          <w:trHeight w:val="20"/>
        </w:trPr>
        <w:tc>
          <w:tcPr>
            <w:tcW w:w="46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29"/>
        </w:trPr>
        <w:tc>
          <w:tcPr>
            <w:tcW w:w="4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r>
      <w:tr>
        <w:trPr>
          <w:trHeight w:val="230"/>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30"/>
        </w:trPr>
        <w:tc>
          <w:tcPr>
            <w:tcW w:w="4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4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155"/>
        </w:trPr>
        <w:tc>
          <w:tcPr>
            <w:tcW w:w="46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depreciation and amortization for reportable</w:t>
            </w: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43"/>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r>
      <w:tr>
        <w:trPr>
          <w:trHeight w:val="229"/>
        </w:trPr>
        <w:tc>
          <w:tcPr>
            <w:tcW w:w="4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Unallocated corporate depreciation and amortization</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48"/>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1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single geographic region, other than the United States, represents a material portion of our net sales or our property and equipment, net of accumulated depreciation.</w:t>
      </w:r>
    </w:p>
    <w:p>
      <w:pPr>
        <w:spacing w:after="0" w:line="18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following table provides a summary of net sales and property and equipment, net of accumulated depreciation, for the United States and all other geographic areas: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c>
          <w:tcPr>
            <w:tcW w:w="30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46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January 25,</w:t>
            </w:r>
          </w:p>
        </w:tc>
      </w:tr>
      <w:tr>
        <w:trPr>
          <w:trHeight w:val="241"/>
        </w:trPr>
        <w:tc>
          <w:tcPr>
            <w:tcW w:w="46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161,356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551,850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518,816</w:t>
            </w:r>
          </w:p>
        </w:tc>
      </w:tr>
      <w:tr>
        <w:trPr>
          <w:trHeight w:val="22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65,110</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149,507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583,926</w:t>
            </w:r>
          </w:p>
        </w:tc>
      </w:tr>
      <w:tr>
        <w:trPr>
          <w:trHeight w:val="21"/>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15"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6"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April 26,</w:t>
      </w:r>
    </w:p>
    <w:p>
      <w:pPr>
        <w:spacing w:after="0" w:line="1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12" w:lineRule="exact"/>
        <w:rPr>
          <w:sz w:val="20"/>
          <w:szCs w:val="20"/>
          <w:color w:val="auto"/>
        </w:rPr>
      </w:pPr>
    </w:p>
    <w:p>
      <w:pPr>
        <w:sectPr>
          <w:pgSz w:w="11900" w:h="16838" w:orient="portrait"/>
          <w:cols w:equalWidth="0" w:num="2">
            <w:col w:w="9260" w:space="720"/>
            <w:col w:w="126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56,667</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66,701</w:t>
            </w:r>
          </w:p>
        </w:tc>
      </w:tr>
      <w:tr>
        <w:trPr>
          <w:trHeight w:val="23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r>
      <w:tr>
        <w:trPr>
          <w:trHeight w:val="223"/>
        </w:trPr>
        <w:tc>
          <w:tcPr>
            <w:tcW w:w="746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64,208</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73,884</w:t>
            </w:r>
          </w:p>
        </w:tc>
      </w:tr>
      <w:tr>
        <w:trPr>
          <w:trHeight w:val="21"/>
        </w:trPr>
        <w:tc>
          <w:tcPr>
            <w:tcW w:w="7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serve a diverse customer base across global markets for our products and services. No individual customer accounted for 10 percent or more of our net sales during the reporting period. Accordingly, we are not economically dependent on a limited number of customers for the sale of our products and services.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source raw materials and components from a broad network of suppliers. No single supplier represented 10 percent or more of our cost of sales. However, our global supply chain is complex and subject to geopolitical and transportation risks. Additionally, we rely on certain single-source suppliers, which may constrain availability or result in delays in obtaining critical materials and components required for manufacturing.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Business Combinations</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22, 2025, the Company acquired the Display Business from XDC, which consisted of intellectual property, equipment assets, technical expertise, contract rights, other personal property, and related assets.</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Display Business Assets acquired by the Company pursuant to the XDC Acquisition comprise substantially all of the Display Business’s assets. Certain employees of XDC were also hired by the Company in connection with the acquisition. As consideration for the hiring of such employees and the acquisition of the Display Business Assets, the Company assumed specific liabilities of XDC and settled a portion of principal and accrued interest owed to the Company by XDC under certain promissory notes. The total consideration for the XDC Acquisition was $4,141. We accounted for the XDC Acquisition as a business combination using the acquisition method of accounting and performed an allocation of the purchase price to the tangible and intangible assets acquired and liabilities assumed based on their estimated fair values as of the acquisition date.</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acquisition is not significant to our condensed consolidated financial statements and as such we have not included disclosures of the allocation of the purchase price. Additionally, we have not included any pro forma disclosures as the results of its operations are not significant to our consolidated financial results. The results of XDC’s Display Business operations have been included in our condensed consolidated financial statements since the date of acquisition.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changes in the carrying amount of goodwill for each reportable segment with a goodwill balance for the nine months ended January 31, 2026:</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26, 2025</w:t>
            </w:r>
          </w:p>
        </w:tc>
        <w:tc>
          <w:tcPr>
            <w:tcW w:w="1260" w:type="dxa"/>
            <w:vAlign w:val="bottom"/>
            <w:tcBorders>
              <w:top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XDC Acquisition</w:t>
            </w:r>
          </w:p>
        </w:tc>
        <w:tc>
          <w:tcPr>
            <w:tcW w:w="1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31, 2026</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an analysis of goodwill on an annual basis, and it is tested for impairment more frequently if events or changes in circumstances indicate that the carrying value may not be recoverable. Our annual impairment assessment is performed during the third quarter of each fiscal year, based on the goodwill balance as of the first business day of that quarter. As of January 31, 2026, our most recent annual goodwill impairment test concluded that no impairment existed.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XDC Acquisition, we recorded $450 of goodwill which is related to the value of the assembled workforce acquired and is not deductible for tax purposes.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and April 26, 2025, the total accumulated goodwill impairments were $4,576.</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Financing Agreements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9"/>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long-term debt as of the dates indicated:</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2"/>
        </w:trPr>
        <w:tc>
          <w:tcPr>
            <w:tcW w:w="7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300" w:type="dxa"/>
            <w:vAlign w:val="bottom"/>
          </w:tcPr>
          <w:p>
            <w:pPr>
              <w:spacing w:after="0"/>
              <w:rPr>
                <w:sz w:val="17"/>
                <w:szCs w:val="17"/>
                <w:color w:val="auto"/>
              </w:rPr>
            </w:pPr>
          </w:p>
        </w:tc>
        <w:tc>
          <w:tcPr>
            <w:tcW w:w="1400" w:type="dxa"/>
            <w:vAlign w:val="bottom"/>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April 26,</w:t>
            </w:r>
          </w:p>
        </w:tc>
      </w:tr>
      <w:tr>
        <w:trPr>
          <w:trHeight w:val="241"/>
        </w:trPr>
        <w:tc>
          <w:tcPr>
            <w:tcW w:w="79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23"/>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 gross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8"/>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On November 26, 2025, the Company entered into a new $71,500 senior secured credit facility (the “New Credit Facility”) pursuant to a Credit Agreement (the “New Credit Agreement”), between and among the Company, JPMorgan Chase Bank, N.A., as administrative agent (the “Administrative Agent”), the Lenders, and the other Loan Parties. The following capitalized terms have specific meanings as defined in the New Credit Agreement: Lenders; Loan Parties; Adjusted Term SOFR Rate; Adjusted Daily Simple SOFR; CB Floating Rate; Total Leverage Ratio; and Fixed Charge Coverage Ratio.</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Credit Facility created pursuant to the New Credit Agreement is comprised of:</w:t>
      </w:r>
    </w:p>
    <w:p>
      <w:pPr>
        <w:spacing w:after="0" w:line="252" w:lineRule="exact"/>
        <w:rPr>
          <w:sz w:val="20"/>
          <w:szCs w:val="20"/>
          <w:color w:val="auto"/>
        </w:rPr>
      </w:pPr>
    </w:p>
    <w:p>
      <w:pPr>
        <w:ind w:left="700" w:hanging="368"/>
        <w:spacing w:after="0"/>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$60,000 revolving credit facility (the “Revolver”), maturing on November 26, 2028 (the “Maturity Date”); and</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$11,500 term loan (the “New Term Loan”), amortizing in equal quarterly installments of $288, with the remaining principal due on the Maturity Date.</w:t>
      </w:r>
    </w:p>
    <w:p>
      <w:pPr>
        <w:spacing w:after="0" w:line="148"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The Revolver and the New Term Loan are guaranteed by the Loan Parties and are secured by perfected,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priority liens on substantially all personal property and assets of the Company and the other Loan Parties, including intellectual property, pursuant to a new pledge and security agreement and related collateral documents (collectively, the “New Security Agreement”). The New Security Agreement replaced the prior pledge and security agreement entered into in connection with the Prior Credit Agreement (as defined herein).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Borrowings under the New Credit Facility bear interest, at one of the following rates to be selected by the Company, in its discretion: (i) the Adjusted Term SOFR Rate plus a 0.10% margin; (ii) the Adjusted Daily Simple SOFR plus a 0.10% margin; or (iii) the CB Floating Rate with a 0.00% margin. Amounts repaid under the New Term Loan may not be reborrowed. Undrawn commitments under the Revolver accrue a commitment fee of 0.20% per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issued under the Revolver accrue customary fees and generally must expire no later than five business days prior to the Maturity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covenants under the New Credit Agreement require the Company to maintain (i) a maximum quarterly Total Leverage Ratio of 3.00 to 1.00 and (ii) a minimum Fixed Charge Coverage Ratio of 1.25 to 1.00. There is a limited ability to exclude certain unfinanced capital expenditures from these calculations when specified liquidity thresholds are met. These covenants apply to borrowings under both the Revolver and the New Term Loan. The New Credit Agreement includes customary representations, covenants, and events of default, including limitations on incurring additional debt, liens, investments, asset sales, restricted payments, and affiliate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New Credit Facility may be used to refinance existing indebtedness and for working capital and other general corporate purposes.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the Company was in compliance with all covenants under the New Credit Agreement and other agreements related to the New Credit Facility. There were no advances under the New Term Loan portion of our line of credit, and the balance of letters of credit issued and outstanding under the Revolver was approximately $1,911. As of January 31, 2026, $58,089 of the New Credit Facility remains in place and available for borrowing.</w:t>
      </w:r>
    </w:p>
    <w:p>
      <w:pPr>
        <w:spacing w:after="0" w:line="203"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connection with entering into the New Credit Agreement, the Company terminated its prior senior credit facility dated May 11, 2023 (as amended, the “Prior Credit Agreement”), which consisted of an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revolving credit facility and a delayed draw term loan. All outstanding obligations under the Prior Credit Agreement were repaid in full, and all related liens, including the mortgage on the Company’s Brookings, South Dakota real property, were released. No material early termination penalties were incurred in connection with the termination of the Prior Credit Agreement. Certain customary obligations, including indemnification and confidentiality provisions, survive the termination of the Prior Credit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31, 2026 and April 26, 2025, there was no outstanding balance under the Convertible Note. During fiscal 2025, the Company fully settled the Convertible Note through a series of forced conversions in accordance with its terms. These conversions resulted in the issuance of shares of Common Stock to Alta Fox Opportunities and the extinguishment of the debt on the dates of settlement. Accordingly, there is no remaining principal or accrued interest associated with the Convertible Note, and no further obligations under its terms. Additional details regarding the Convertible Note activity during fiscal 2025 are included in “Note 17. Related Party Transactions” of the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88"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Debt issuance costs incurred in connection with our financing agreements are capitalized and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term of the related debt agreement. In the event of early principal repayments or the termination of a debt agreement, any remaining unamortized debt issuance costs associated with such agreement are expensed.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termination of the Prior Credit Agreement, the Company expensed $566 of unamortized debt issuance costs, which were recorded as interest expense.</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Amortization of debt issuance costs totaled $1,516 and $1,211 for the nine months ended January 31, 2026 and January 25, 2025, respectively. The amortization for the nine months ended January 31, 2026 includes amortization related to both the Prior Credit Agreement prior to its termination and the New Credit Facility subsequent to its execution.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the remaining unamortized debt issuance costs of $161 were being amortized over the remaining term of the New Credit Facility.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Maturities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contractual maturities of our long-term debt by fiscal year: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5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r>
      <w:tr>
        <w:trPr>
          <w:trHeight w:val="25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11,213</w:t>
            </w:r>
          </w:p>
        </w:tc>
      </w:tr>
      <w:tr>
        <w:trPr>
          <w:trHeight w:val="21"/>
        </w:trPr>
        <w:tc>
          <w:tcPr>
            <w:tcW w:w="5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involved in legal proceedings and claims that arise in the ordinary course of business. We continuously evaluate these matters,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regulatory reviews and inspections, and apply appropriate accounting guidance when determining accruals and disclosures. Contingency accruals are recorded when a loss is considered probable and the amount can be reasonably estimated. If a reasonably possible loss exceeds the amount accrued and disclosure is necessary to avoid misleading financial statements, we disclose the estimated range of loss. No accrual is recorded when a loss is probable but not reasonably estimable, or when a loss is considered reasonably possible or remote; however, material matters are disclosed as required under ASC 450-20, </w:t>
      </w:r>
      <w:r>
        <w:rPr>
          <w:rFonts w:ascii="Times New Roman" w:cs="Times New Roman" w:eastAsia="Times New Roman" w:hAnsi="Times New Roman"/>
          <w:sz w:val="18"/>
          <w:szCs w:val="18"/>
          <w:i w:val="1"/>
          <w:iCs w:val="1"/>
          <w:color w:val="auto"/>
        </w:rPr>
        <w:t>Contingencies – Loss Contingencies</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assessment of whether a loss is reasonably possible or probable is based on management’s evaluation and consultation with legal counsel regarding the ultimate outcome of each matter, including the impact of any appeals.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 material loss will be incurred. Accordingly, no material accruals or disclosures of potential loss ranges have been made. Although the outcome of these matters is uncertain, we do not expect the ultimate resolution of these matters to have a material adverse impact on our business, financial position, results of operations, liquidity, or capital resources.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The following table summarizes changes in our warranty obligations for the nine months ended January 31, 2026.</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5"/>
        </w:trPr>
        <w:tc>
          <w:tcPr>
            <w:tcW w:w="9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r>
      <w:tr>
        <w:trPr>
          <w:trHeight w:val="241"/>
        </w:trPr>
        <w:tc>
          <w:tcPr>
            <w:tcW w:w="9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26,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35,830</w:t>
            </w: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200" w:type="dxa"/>
            <w:vAlign w:val="bottom"/>
          </w:tcPr>
          <w:p>
            <w:pPr>
              <w:spacing w:after="0"/>
              <w:rPr>
                <w:sz w:val="19"/>
                <w:szCs w:val="19"/>
                <w:color w:val="auto"/>
              </w:rPr>
            </w:pPr>
          </w:p>
        </w:tc>
        <w:tc>
          <w:tcPr>
            <w:tcW w:w="1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11,361</w:t>
            </w:r>
          </w:p>
        </w:tc>
      </w:tr>
      <w:tr>
        <w:trPr>
          <w:trHeight w:val="230"/>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(6,764)</w:t>
            </w:r>
          </w:p>
        </w:tc>
      </w:tr>
      <w:tr>
        <w:trPr>
          <w:trHeight w:val="230"/>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(3,029)</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37,398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to support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obligations, primarily related to construction-type contracts. These instruments serve as guarantees of our future performance, including the operation and installation of equipment and the completion of contractual deliverables.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we had $65,964 of bonded work outstanding and $1,911 in letters of credit outstanding. These performance guarantees generally have terms of one year, although specific durations may vary by contract.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written agreements with customers that may include indemnification provisions requiring us to compensate the customer for financial losses resulting from certain acts or omissions. We seek to negotiate reasonable limitations and caps on such indemnification obligations. As of January 31, 2026, we were not aware of any material indemnification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rates for the three and nine months ended January 31, 2026 were 14.3 percent and 22.3 percent, respectively. The tax rates were primarily driven by permanent tax adjustments and the reversal of valuation allowance in proportion to the increase in pre-tax income during the period. The effective tax rates for the three and nine months ended January 25, 2025 of 3.7 percent and 109.2 percent, respectively, were driven by the impacts of the Convertible Note fair value adjustments.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both domestically and internationally and, as of January 31, 2026, the undistributed earnings of our foreign subsidiaries were considered to be reinvested indefinitely. Additionally, as of January 31, 2026, we had $470 of unrecognized tax benefits which would reduce our effective tax rate if recognized.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tax related provisions, such as the permanent extension of certain expiring provisions of the Tax Cuts and Jobs Act, modifications to the international tax framework, and the restoration of favorable tax treatment for certain business provisions. The OBBBA has multiple effective dates with the earliest provisions taking effect in fiscal 2026 and others beginning in fiscal 2027 and beyond. ASC 740, “Income Taxes”, requires the effects of changes in tax rates and laws affecting current taxes to be reflected in the estimated annual effective tax rate going forward, and adjustments to existing deferred taxes to be recognized on deferred tax balances to be recognized in the period in which the legislation is enacted. We note that as of January 31, 2026, there were no material impacts to the Company’s financial statements. We will continue to evaluate the future tax and other provisions of the OBBBA and the potential effects on our financial position, results of operations, and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financial assets and liabilities measured at fair value on a recurring basis as of January 31, 2026 and April 26, 2025, classified by level within the fair value hierarchy based on the valuation techniques utilized to determine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of the fair value hierarchy during the periods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31, 2026</w:t>
            </w: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5040" w:type="dxa"/>
            <w:vAlign w:val="bottom"/>
            <w:shd w:val="clear" w:color="auto" w:fill="CCEEFF"/>
          </w:tcPr>
          <w:p>
            <w:pPr>
              <w:jc w:val="center"/>
              <w:ind w:right="2790"/>
              <w:spacing w:after="0"/>
              <w:rPr>
                <w:sz w:val="20"/>
                <w:szCs w:val="20"/>
                <w:color w:val="auto"/>
              </w:rPr>
            </w:pPr>
            <w:r>
              <w:rPr>
                <w:rFonts w:ascii="Times New Roman" w:cs="Times New Roman" w:eastAsia="Times New Roman" w:hAnsi="Times New Roman"/>
                <w:sz w:val="18"/>
                <w:szCs w:val="18"/>
                <w:color w:val="auto"/>
                <w:w w:val="99"/>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144,424</w:t>
            </w:r>
          </w:p>
        </w:tc>
      </w:tr>
      <w:tr>
        <w:trPr>
          <w:trHeight w:val="223"/>
        </w:trPr>
        <w:tc>
          <w:tcPr>
            <w:tcW w:w="50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144,424</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5040" w:type="dxa"/>
            <w:vAlign w:val="bottom"/>
            <w:shd w:val="clear" w:color="auto" w:fill="CCEEFF"/>
          </w:tcPr>
          <w:p>
            <w:pPr>
              <w:jc w:val="center"/>
              <w:ind w:right="27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Balance as of April 26, 2025</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5040" w:type="dxa"/>
            <w:vAlign w:val="bottom"/>
          </w:tcPr>
          <w:p>
            <w:pPr>
              <w:jc w:val="center"/>
              <w:ind w:right="2790"/>
              <w:spacing w:after="0"/>
              <w:rPr>
                <w:sz w:val="20"/>
                <w:szCs w:val="20"/>
                <w:color w:val="auto"/>
              </w:rPr>
            </w:pPr>
            <w:r>
              <w:rPr>
                <w:rFonts w:ascii="Times New Roman" w:cs="Times New Roman" w:eastAsia="Times New Roman" w:hAnsi="Times New Roman"/>
                <w:sz w:val="18"/>
                <w:szCs w:val="18"/>
                <w:color w:val="auto"/>
                <w:w w:val="99"/>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127,507</w:t>
            </w:r>
          </w:p>
        </w:tc>
      </w:tr>
      <w:tr>
        <w:trPr>
          <w:trHeight w:val="248"/>
        </w:trPr>
        <w:tc>
          <w:tcPr>
            <w:tcW w:w="50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 Repurchase Program</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June 17, 2016, our Board of Directors (the “Board” or “Board of Directors”) authorized a share repurchase program (the “Repurchase Program”) under which the Company may repurchase up to $40,000 of outstanding Common Stock. On March 4, 2025, the Board approved a $10,000 increase in the limit under the Repurchase Program. On June 23, 2025, the Board approved an additional $10,000 increase in the limit under the Repurchase Program. On December 9, 2025, the Board approved an additional $20,000 increase for a maximum authorized value of $80,000 as of January 31, 2026.</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Repurchases under the Repurchase Program may be made from time to time in open market transactions or privately negotiated transactions, subject to business and market conditions, applicable legal requirements, and other relevant factors.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Repurchase Program does not obligate the Company to repurchase any specific number of shares, may be suspended or terminated at any time at the discretion of the Board and has no fixed expiration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January 31, 2026, the Company repurchased 1,293 shares of Common Stock at a total cost of $22,777. As of January 31, 2026, $17,104 of the $80,000 authorized amount remained available for repurchase under the Repurchase Program.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on restrictions on the Company’s ability to repurchase shares under the New Credit Agreement, please refer to “Note 8. Financing Agreements” of the Notes to the Condensed Consolidated Financial Statements included in this Quarterly Report on Form 10-Q and “Item 2. Unregistered Sales of Equity Securities and Use of Proceeds” of Part II of this Quarterly Report on Form 10-Q.</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202"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During the three months ended January 31, 2026, the Company recognized additional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the accelerated vesting of certain equity awards in connection with the separation of an executive officer. The acceleration of vesting resulted in the recognition of approximately $620 of compensation expense during the period, which is included in “General and administrative” expense in our Condensed Consolidated Statements of Operations.</w:t>
      </w:r>
    </w:p>
    <w:p>
      <w:pPr>
        <w:spacing w:after="0" w:line="187"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During the three months ended January 31, 2026, the Company reclassified certain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units from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to liability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because the awards permit settlement in cash at the holder’s election. As of January 31, 2026, $304 was reclassified from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to accrued compensation liabilities, and $180 was recognized as stock-based compensation expense to reflect the awards’ fair value at the reclassification date. The liability is included in “Accrued expenses” in our Condensed Consolidated Statements of Operations. Liability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are remeasured at fair value each reporting period until settlement.</w:t>
      </w:r>
    </w:p>
    <w:p>
      <w:pPr>
        <w:spacing w:after="0" w:line="14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No other material modifications to the Company’s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arrangements occurred during the period.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Daktronics Related Person Transaction Policy: </w:t>
      </w:r>
      <w:r>
        <w:rPr>
          <w:rFonts w:ascii="Times New Roman" w:cs="Times New Roman" w:eastAsia="Times New Roman" w:hAnsi="Times New Roman"/>
          <w:sz w:val="18"/>
          <w:szCs w:val="18"/>
          <w:color w:val="auto"/>
        </w:rPr>
        <w:t>The Board of Directors has adopted the Daktronics Related Person Transaction Policy, a written policy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with respect to related party transactions (the “Policy”), which the Audit Committee of the Board (the "Audit Committee") oversees. Under the Policy, a “Related Person Transaction” is generally defined as a transaction, arrangement, or relationship (or any series of similar transactions, arrangements, or relationships) in which the Company was, is, or will be a participant; the amount involved exceeds $120; and any “Related Person” had, has, or will have a direct or indirect material interest. The Policy generally defines a "Related Person" as: a director, director nominee, or executive officer of the Company at any time during the last fiscal year; a beneficial owner of more than five percent of any class of our voting securities; or any immediate family member of any of the foregoing persons. Our Chief Financial Officer is responsible for overseeing the monitoring and identification of Related Person Transactions and the appropriate reporting of any potential Related Person Transactions to the Audit Committee. The Audit Committee reviews and, if appropriate, approves Related Person Transactions, including certain transactions which are deemed to be pre-approved under the Policy. On an annual basis, the Audit Committee reviews any previously approved Related Person Transactions that are ongoing.</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Transactions with Alta Fox Opportunities: </w:t>
      </w:r>
      <w:r>
        <w:rPr>
          <w:rFonts w:ascii="Times New Roman" w:cs="Times New Roman" w:eastAsia="Times New Roman" w:hAnsi="Times New Roman"/>
          <w:sz w:val="18"/>
          <w:szCs w:val="18"/>
          <w:color w:val="auto"/>
        </w:rPr>
        <w:t>As reported in Part II, Item 7 “Management’s Discussion and Analysis of Financial Condition and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in the section entitled “Liquidity and Capital Resources” of the Form 10-K, effective May 11, 2023, the Company entered into a Securities Purchase Agreement with Alta Fox Opportunities under which the Company sold and issued to Alta Fox Opportunities the Convertible Note in exchange for the payment by Alta Fox Opportunities to the Company of $25,000 (the "Securities Purchase Agreement"). All amounts due under the Convertible Note were settled in fiscal 2025, and the Company has no further obligations under the Convertible Note. For additional information on the Convertible Note, see “Note 8. Financing Agreements” of the Notes to our Condensed Consolidated Financial Statements included in this Quarterly Report on Form 10-Q.</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Alta Fox Opportunities reported in Amendment No. 2 to the Schedule 13D filed with the SEC on May 15, 2023 (“Amendment No. 2”) that, as of May 11, 2023, Alta Fox Opportunities, together with the following affiliates and associates, beneficially owned 4,768 shares of Common Stock, representing 9.99 percent of Common Stock outstanding: Alta Fox GenPar, LP, as the general partner of Alta Fox Opportunities; Alta Fox Equity, LLC, as the general partner of Alta Fox GenPar, LP; Alta Fox Capital Management, LLC, as the investment manager of Alta Fox Opportunities; and 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Connor Haley, as the sole owner, member, and manager of each of Alta Fox Capital Management, LLC and Alta Fox Equity LLC (collectively with Alta Fox Opportunities, “Alta Fox”). Accordingly, based on Amendment No. 2 and other publicly available information provided by Alta Fox Opportunities in its reports filed with the SEC as of May 11, 2023, Alta Fox was a “Related Person” of the Company under the Policy and the applicable provisions of the Securities Act of 1933, as amended (the "Securities Act"), and the rules promulgated thereunder. According to Amendment No. 5 to the Schedule 13D filed by Alta Fox on December 10, 2025 with the SEC, Alta Fox reported that it beneficially owned 3,733 shares of Common Stock on December 10, 2025, representing 7.70 percent of the outstanding shares of Common Stock.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Purchase Agreement, the Convertible Note, the Pledge and Security Agreement dated as of May 11, 2023 by and between the Company and Alta Fox Opportunities and the Registration Rights Agreement by and between the Company and Alta Fox Opportunities dated as of May 11, 2023 were approved in advance of their execution by the Strategy and Financing Review Committee of the Board of Directors, the members of which were all members of the Audit Committee.</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Transactions with Reece A. Kurtenbach: </w:t>
      </w:r>
      <w:r>
        <w:rPr>
          <w:rFonts w:ascii="Times New Roman" w:cs="Times New Roman" w:eastAsia="Times New Roman" w:hAnsi="Times New Roman"/>
          <w:sz w:val="18"/>
          <w:szCs w:val="18"/>
          <w:color w:val="auto"/>
        </w:rPr>
        <w:t>Effective April 10, 2025, our former President and CEO, Reece A. Kurtenbach, was appointed as Interim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XDC, an entity in which the Company previously owned interest in and accounted for under the equity method of accounting. Mr. Kurtenbach served as a member of the Board of Directors of Daktronics, Inc. through January 31, 2026, at which time he resigned. As previously disclosed in reports filed by the Company with the SEC, Reece A. Kurtenbach also served as a director and executive officer during the fiscal year ended April 26, 2025 and is the brother of Matthew J. Kurtenbach, an executive officer of the Company, and Carla S. Gatzke, a former executive officer of the Company. As a result of Reece A. Kurtenbach’s appointment as Interim Chief Executive Officer of XDC and the foregoing relationships between Mr. Kurtenbach and the Company and its executive officers, he was considered a Related Person under the Policy and a related party under ASC 850 - Related Party Disclosures prior to the closing of the XDC Acquisition on December 22, 2025.</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Transactions with Milwaukee Bucks Inc.: </w:t>
      </w:r>
      <w:r>
        <w:rPr>
          <w:rFonts w:ascii="Times New Roman" w:cs="Times New Roman" w:eastAsia="Times New Roman" w:hAnsi="Times New Roman"/>
          <w:sz w:val="18"/>
          <w:szCs w:val="18"/>
          <w:color w:val="auto"/>
        </w:rPr>
        <w:t>In fiscal 2025, the Company entered into a change order to an existing agreement with Milwaukee Bucks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total value of the change order was $214. On April 29, 2025, the Company entered into a contract with Milwaukee Bucks Inc. The total value of the contract was $683. The terms of both of the above-referenced arrangements between the Company and Milwaukee Bucks Inc. were arm’s-length transactions made in the ordinary course of the Company’s business. Peter Feigin, a member of the Board, is the President of Milwaukee Bucks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Investments in Affiliates" for further details of related party transactions with our investments in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(i) financial condition of Daktronics, Inc. and its subsidiaries (the "Company", "Daktronics", "we", "our", or "us") during the period from the most recent fiscal year-end, April 26, 2025, to and including January 31, 2026; and (ii) results of operations of the Company during the current fiscal period(s) as compared to the corresponding period(s) of the preceding fiscal year.</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"may," "might," "would," "could," "should," "will," "expect," "estimate," "anticipate," "believe," "intend," "plan," "forecast," "project," and similar expressions are intended to identify forward-looking statements within the meaning of the Private Securities Litigation Reform Act of 1995. Any and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forward-looking statements in this Quarterly Report on Form 10-Q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 Important factors that may cause actual results to differ materially from those in the forward-looking statements include, but are not limited to, changes in economic and market conditions, management of growth, timing and magnitude of future contracts, orders, and capital investment projects, fluctuations in margins, interest rate risk, the introduction of new products and technology, the impact of adverse weather conditions, increased regulation, the imposition of tariffs, trade wars, the availability and costs of raw materials, components, and shipping services, geopolitical and governmental actions, including the U.S. federal government shutdown, expansion into new geographical markets, the Company’s recent leadership transition, transformation initiatives, future strategy, and the other risks, trends, and uncertainties described more fully in the Company’s Annual Report on Form 10-K for the fiscal year ended April 26, 2025 (the "Form 10-K") filed with the Securities and Exchange Commission ("SEC"), this Quarterly Report on Form 10-Q, and other reports filed with or furnished to the SEC by the Company.</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publicly or revise any forward-looking statements, whether as a result of new information, future events, or otherwise, except as may be required by applicable law.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MD&amp;A should be read in conjunction with the Condensed Consolidated Financial Statements and related Notes included in Item 1 of Part 1 of this Quarterly Report on Form 10-Q, the Form 10-K (including the information presented therein under "Item 1A. Risk Factors" of Part I), and other reports filed with or furnished to the SEC by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quarter-over-quarter comparisons in this MD&amp;A are as of and for the fiscal quarters ended January 31, 2026 and January 25, 2025 unless otherwise stated.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Contribution margin</w:t>
      </w:r>
      <w:r>
        <w:rPr>
          <w:rFonts w:ascii="Times New Roman" w:cs="Times New Roman" w:eastAsia="Times New Roman" w:hAnsi="Times New Roman"/>
          <w:sz w:val="18"/>
          <w:szCs w:val="18"/>
          <w:color w:val="auto"/>
        </w:rPr>
        <w:t>, which is a financial measure that is not defined under accounting principles generally accepted in the United States (“GAAP”),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utilized by management to evaluate segment profitability and guide resource allocation decisions. It is defined as gross profit less selling expenses. Selling expenses primarily include personnel-related costs, travel and entertainment, marketing expenditures (such as showroom operations, product demonstrations, depreciation and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maintenance, conventions, and trade shows), costs associated with customer relationship management and marketing systems, bad debt expense, third-party commissions, and other related expenses.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gross profit, management considers contribution margin a meaningful metric for assessing the financial performance of individual segments. We believe this measure provides investors with a useful view of our segment-level performance consistent with the approach used by management. By presenting contribution margin, we aim to enhance transparency and allow investors to better understand how we evaluate and manage our business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recognized industry leaders in the design and manufacture of electronic scoreboards, programmable display systems, and large-screen video displays serving sporting, commercial, and transportation markets. We serve our customers by delivering high-quality standard display products as well as custom-designed and integrated systems.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portfolio ranges from small-scale scoreboards and electronic displays to large, multimillion-dollar video display systems. These offerings are complemented by related control, timing, and sound systems. We are widely acknowledged for our technical expertise and our ability to design, market, manufacture, install, and service comprehensive integrated solutions that display real-time data, graphics, animation, and video.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encompass a full spectrum of activities, including marketing and sales, engineering and product design and development, manufacturing, technical contracting, professional services, and customer service and support.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on a 52- or 53-week fiscal year ending on the Saturday closest to April 30. When April 30 falls on a Wednesday, the fiscal year ends on the preceding Saturday. Each fiscal quarter consists of 13 weeks, except in a 53-week fiscal year, where the first quarter includes 14 weeks. The nine months ended January 31, 2026, and January 25, 2025, included 40 and 39 weeks of operations,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2025, we embarked on our business transformation program, which is focused on driving sustainable growth, margin improvement, and enhanced returns on invested capital. The Company’s transformation roadmap, developed through rigorous analysis and planning, is designed to support ambitious sales and profitability targets. Strong order growth during the quarter reflects ongoing market adoption of digital display technologies and the strength of Daktronics’ integrated product and service offerings.</w:t>
      </w:r>
    </w:p>
    <w:p>
      <w:pPr>
        <w:spacing w:after="0" w:line="18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business environment remains dynamic, with several external factors continuing to influence customer demand and operational costs. The Company continues to be affected by U.S.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imposed tariffs on electronic components, aluminum, steel, and copper, as well as reciprocal tariffs imposed by foreign countries. In addition, changes to U.S. trade policy, including the elimination of the de minimis exemption for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 shipments, continued to increase logistics and import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These tariffs may impact gross margins and could influence customer purchasing behavior, particularly for projects dependent on federal funding. In response, Daktronics is actively monitoring its pricing strategies and sourcing plans to mitigate these effects. However, the ultimate impact on demand remains uncertain.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20, 2026, the U.S. Supreme Court ruled that tariffs imposed by the U.S. presidential administration under the International Emergency Economic Powers Act (“IEEPA”) exceeded presidential authority and were invalidated. Following the ruling, the administration implemented a temporary global tariff under alternative trade authorities and has indicated an intention to increase the rate to up to 15%. The timing, duration, and final rate of these tariffs remain uncertain. We continue to monitor these developments and assess the potential impact on our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global market for digital display systems continues to expand, driven by investments in manufacturing capacity and advancements in display and control technologies. The industry is seeing increased adoption of surface mount and chip-on-board technologies, particularly for narrow pixel pitch (NPP) and micro-LED applications, as manufacturers and customers seek higher performance and efficiency. Innovations in software, artificial intelligence, and professional services are enhancing content creation, user interfaces, monitoring, and security.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unique leadership position in our target markets, which are large, growing, and supported by resilient demand from customers seeking to enhance audience experiences in sports, commercial, and transportation environments. We are investing in capacity and resources to grow and deepen market penetration.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capitalize on this position, we continue to focus on digital and business transformation, cost structure optimization, and market expansion. In fiscal 2025, we established a Business Transformation Office ("BTO") to conduct a comprehensive review of our business, strategy, and operations. The BTO is developing strategic initiatives, enabled in part by our digital transformation, to deliver improved customer outcomes, deeper market penetration, above-market growth, and more efficient delivery, fulfillment, and service. These initiatives are structured to support our ambitious business transformation plan: revenue growth outpacing our addressable market, operating margins of 10–12%, and returns on capital of 17–20%, consistently exceeding our cost of capital.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monitor and adjust its capacity and resource levels in response to market conditions. Daktronics is expanding the Company’s global manufacturing network into Mexico, as part of its broader three-year strategic plan for improving profitable growth and increasing the overall agility of the company’s production capacity. The new facility is expected to be in production by the end of fiscal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may be periods where sales and expenses are not fully aligned, particularly as investments in transformation and corporate governance are made.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investments may affect near-term profitability but are intended to support long-term value creation.</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ongoing uncertainties related to tariffs, geopolitical developments, and federal funding priorities, Daktronics believes that the fundamental drivers of the audiovisual industry remain strong. Increased adoption of LED display systems across industries, combined with the Company’s ongoing development of new technologies, services, and sales channels, are expected to support long-term growth.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JANUARY 31, 2026 AND JANUARY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represents the dollar value of contractually binding customer purchase commitments for integrated electronic display systems and related products and services that are expected to be recognized as net sales in future periods. Orders are included in backlog when we have received an executed contract and any required deposits or security, and the revenue has not yet been recognized. Certain orders supported by binding letters of intent or contracts are excluded from backlog until all required contractual documentation and deposits are received.</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Orders and backlog are non-GAAP operating measures, and our methodology for determining these metrics may differ from those used by other companies. Management believes that order and backlog levels provide meaningful insight into our business activity, including fluctuations due to seasonality and the timing of large-scale projects. New orders during the period are used to assess market share and competitive performance, while backlog informs capacity and resource planning. Given that orders and backlog are operational measures and that the Company’s methodology for calculating them does not meet the definition of a non-GAAP financial measure, as that term is defined by the SEC, a quantitative reconciliation is not required or provided.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order fulfillment is subject to customer schedules, supply chain conditions, and our production capacity. We believe order information is useful to investors as an indicator of future revenue and market positioning.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our product order backlog was $342.3 million, compared to $273.2 million as of January 25, 2025, and $341.6 million as of April 26, 2025. The increase in backlog year over year reflects a higher volume of order bookings, driven by continued market adoption and demand for digital display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fulfill the backlog as of January 31, 2026, within the next 24 months. However, fulfillment timing may be impacted by project delays due to customer site conditions, which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Performance Summary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an analysis of changes in key items included in the statements of operations for the three months ended January 31, 2026 and January 25,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January 25, 2025</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Dollar Change </w:t>
            </w:r>
            <w:r>
              <w:rPr>
                <w:rFonts w:ascii="Times New Roman" w:cs="Times New Roman" w:eastAsia="Times New Roman" w:hAnsi="Times New Roman"/>
                <w:sz w:val="21"/>
                <w:szCs w:val="21"/>
                <w:b w:val="1"/>
                <w:bCs w:val="1"/>
                <w:color w:val="auto"/>
                <w:vertAlign w:val="superscript"/>
              </w:rPr>
              <w:t>(1)</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xml:space="preserve">Percent Change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09"/>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181,871</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149,507</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32,364</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138,242</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112,726</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25,516</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43,629</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36,781</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53"/>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15,335</w:t>
            </w:r>
          </w:p>
        </w:tc>
        <w:tc>
          <w:tcPr>
            <w:tcW w:w="8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14,471</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General and</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15,844</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16,498</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Product design and</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10,528</w:t>
            </w:r>
          </w:p>
        </w:tc>
        <w:tc>
          <w:tcPr>
            <w:tcW w:w="8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9,440</w:t>
            </w:r>
          </w:p>
        </w:tc>
        <w:tc>
          <w:tcPr>
            <w:tcW w:w="10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80" w:type="dxa"/>
            <w:vAlign w:val="bottom"/>
          </w:tcPr>
          <w:p>
            <w:pPr>
              <w:spacing w:after="0"/>
              <w:rPr>
                <w:sz w:val="14"/>
                <w:szCs w:val="14"/>
                <w:color w:val="auto"/>
              </w:rPr>
            </w:pPr>
          </w:p>
        </w:tc>
        <w:tc>
          <w:tcPr>
            <w:tcW w:w="1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41,707</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40,409</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7"/>
        </w:trPr>
        <w:tc>
          <w:tcPr>
            <w:tcW w:w="1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5,550</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(153.0)</w:t>
            </w:r>
          </w:p>
        </w:tc>
        <w:tc>
          <w:tcPr>
            <w:tcW w:w="0" w:type="dxa"/>
            <w:vAlign w:val="bottom"/>
          </w:tcPr>
          <w:p>
            <w:pPr>
              <w:spacing w:after="0"/>
              <w:rPr>
                <w:sz w:val="1"/>
                <w:szCs w:val="1"/>
                <w:color w:val="auto"/>
              </w:rPr>
            </w:pPr>
          </w:p>
        </w:tc>
      </w:tr>
      <w:tr>
        <w:trPr>
          <w:trHeight w:val="253"/>
        </w:trPr>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Nonoperating income</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111.0</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 net</w:t>
            </w: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Change in fair value of</w:t>
            </w:r>
          </w:p>
        </w:tc>
        <w:tc>
          <w:tcPr>
            <w:tcW w:w="10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(14,083)</w:t>
            </w:r>
          </w:p>
        </w:tc>
        <w:tc>
          <w:tcPr>
            <w:tcW w:w="100" w:type="dxa"/>
            <w:vAlign w:val="bottom"/>
          </w:tcPr>
          <w:p>
            <w:pPr>
              <w:spacing w:after="0"/>
              <w:rPr>
                <w:sz w:val="14"/>
                <w:szCs w:val="14"/>
                <w:color w:val="auto"/>
              </w:rPr>
            </w:pPr>
          </w:p>
        </w:tc>
        <w:tc>
          <w:tcPr>
            <w:tcW w:w="15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14,083</w:t>
            </w:r>
          </w:p>
        </w:tc>
        <w:tc>
          <w:tcPr>
            <w:tcW w:w="80" w:type="dxa"/>
            <w:vAlign w:val="bottom"/>
          </w:tcPr>
          <w:p>
            <w:pPr>
              <w:spacing w:after="0"/>
              <w:rPr>
                <w:sz w:val="14"/>
                <w:szCs w:val="14"/>
                <w:color w:val="auto"/>
              </w:rPr>
            </w:pPr>
          </w:p>
        </w:tc>
        <w:tc>
          <w:tcPr>
            <w:tcW w:w="1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note</w:t>
            </w: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(184.5)</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92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b w:val="1"/>
                <w:bCs w:val="1"/>
                <w:color w:val="auto"/>
              </w:rPr>
              <w:t>Income (loss) before</w:t>
            </w: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80" w:type="dxa"/>
            <w:vAlign w:val="bottom"/>
          </w:tcPr>
          <w:p>
            <w:pPr>
              <w:spacing w:after="0"/>
              <w:rPr>
                <w:sz w:val="12"/>
                <w:szCs w:val="12"/>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(17,816)</w:t>
            </w:r>
          </w:p>
        </w:tc>
        <w:tc>
          <w:tcPr>
            <w:tcW w:w="100" w:type="dxa"/>
            <w:vAlign w:val="bottom"/>
          </w:tcPr>
          <w:p>
            <w:pPr>
              <w:spacing w:after="0"/>
              <w:rPr>
                <w:sz w:val="12"/>
                <w:szCs w:val="12"/>
                <w:color w:val="auto"/>
              </w:rPr>
            </w:pPr>
          </w:p>
        </w:tc>
        <w:tc>
          <w:tcPr>
            <w:tcW w:w="15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21,328</w:t>
            </w:r>
          </w:p>
        </w:tc>
        <w:tc>
          <w:tcPr>
            <w:tcW w:w="80" w:type="dxa"/>
            <w:vAlign w:val="bottom"/>
          </w:tcPr>
          <w:p>
            <w:pPr>
              <w:spacing w:after="0"/>
              <w:rPr>
                <w:sz w:val="12"/>
                <w:szCs w:val="12"/>
                <w:color w:val="auto"/>
              </w:rPr>
            </w:pPr>
          </w:p>
        </w:tc>
        <w:tc>
          <w:tcPr>
            <w:tcW w:w="1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(119.7)</w:t>
            </w:r>
          </w:p>
        </w:tc>
        <w:tc>
          <w:tcPr>
            <w:tcW w:w="0" w:type="dxa"/>
            <w:vAlign w:val="bottom"/>
          </w:tcPr>
          <w:p>
            <w:pPr>
              <w:spacing w:after="0"/>
              <w:rPr>
                <w:sz w:val="1"/>
                <w:szCs w:val="1"/>
                <w:color w:val="auto"/>
              </w:rPr>
            </w:pPr>
          </w:p>
        </w:tc>
      </w:tr>
      <w:tr>
        <w:trPr>
          <w:trHeight w:val="214"/>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20" w:type="dxa"/>
            <w:vAlign w:val="bottom"/>
            <w:shd w:val="clear" w:color="auto" w:fill="CCEEFF"/>
          </w:tcPr>
          <w:p>
            <w:pPr>
              <w:ind w:left="180"/>
              <w:spacing w:after="0" w:line="164" w:lineRule="exact"/>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(176.1)</w:t>
            </w:r>
          </w:p>
        </w:tc>
        <w:tc>
          <w:tcPr>
            <w:tcW w:w="0" w:type="dxa"/>
            <w:vAlign w:val="bottom"/>
          </w:tcPr>
          <w:p>
            <w:pPr>
              <w:spacing w:after="0"/>
              <w:rPr>
                <w:sz w:val="1"/>
                <w:szCs w:val="1"/>
                <w:color w:val="auto"/>
              </w:rPr>
            </w:pPr>
          </w:p>
        </w:tc>
      </w:tr>
      <w:tr>
        <w:trPr>
          <w:trHeight w:val="213"/>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(benefit)</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(17,156)</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20,166</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0"/>
        </w:trPr>
        <w:tc>
          <w:tcPr>
            <w:tcW w:w="1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Diluted weighted average</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49,257</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47,764</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w:t>
            </w: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201,111</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186,904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sales increase in the third quarter of fiscal 2026 compared to the same period in fiscal 2025 was the result of higher sales volumes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Live Events, and High School Parks and Recreation business units, partially offset by decreased sales in the Transportation and International business units. The amount of recognized revenue associated with performance obligations satisfied in prior years during the three months ended January 31, 2026 and January 25, 2025 was immaterial.</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Order </w:t>
      </w:r>
      <w:r>
        <w:rPr>
          <w:rFonts w:ascii="Times New Roman" w:cs="Times New Roman" w:eastAsia="Times New Roman" w:hAnsi="Times New Roman"/>
          <w:sz w:val="18"/>
          <w:szCs w:val="18"/>
          <w:color w:val="auto"/>
        </w:rPr>
        <w:t>volume increased in the third quarter of fiscal 2026 compared to the same period in fiscal 2025 primarily due to order growth in the High School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Parks and Recreation and Transportation business units, partially offset by lower order volume in the Live Events and International business units. Order bookings in the Commercial business unit remained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relatively flat. Variability in orders is typical for large project business areas, especially for sports projects, during the Company’s third fiscal quarter.</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increased in the third quarter of fiscal 2026 compared to the same period in fiscal 2025 as a result of higher sales volume. Gross profit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net sales decreased slightly to 24.0 percent for the third quarter of fiscal 2026 as compared to 24.6 percent for the same period a year ago, primarily due to project mix variability. Total warranty expense as a percentage of sales increased slightly to 1.3 percent for the third quarter of fiscal 2026 as compared to 0.9 percent for the same period a year ago.</w:t>
      </w:r>
    </w:p>
    <w:p>
      <w:pPr>
        <w:spacing w:after="0" w:line="1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expenses </w:t>
      </w:r>
      <w:r>
        <w:rPr>
          <w:rFonts w:ascii="Times New Roman" w:cs="Times New Roman" w:eastAsia="Times New Roman" w:hAnsi="Times New Roman"/>
          <w:sz w:val="18"/>
          <w:szCs w:val="18"/>
          <w:color w:val="auto"/>
        </w:rPr>
        <w:t>increased in the third quarter of fiscal 2026 compared to the same period in fiscal 2025 primarily due to increases in personnel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wages and benefits.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expenses decreased in the third quarter of fiscal 2026 compared to the same period in fiscal 2025. During the third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2026 and fiscal 2025, the Company incurred $2.1 million and $4.8 million, respectively, for expenses related to management transitions, acquisition costs, strategic and digital transformation initiatives, and corporate governance matters.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w:t>
      </w:r>
      <w:r>
        <w:rPr>
          <w:rFonts w:ascii="Times New Roman" w:cs="Times New Roman" w:eastAsia="Times New Roman" w:hAnsi="Times New Roman"/>
          <w:sz w:val="18"/>
          <w:szCs w:val="18"/>
          <w:color w:val="auto"/>
        </w:rPr>
        <w:t>expenses increased in the third quarter of fiscal 2026 compared to the same period in fiscal 2025 primarily due to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staffing costs and investments in advanced technologies and engineering services.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 the third quarter of fiscal 2026 increased compared to the same period one year ago primarily due to higher cash levels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in interest-bearing accounts. During the third quarter of fiscal 2025, the interest expense included interest on the convertible note, which was settled during fiscal 2025.</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results from accounting for the senior secured convertible note dated May 11, 2023 we issued to Alta Fox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Fund, LP during fiscal 2024 (the “Convertible Note”) under the fair value option. The fair value change was primarily caused by the forced conversion of the entire Convertible Note in the third and fourth quarters of fiscal 2025. All amounts due under the Convertible Note were settled in fiscal 2025, and the Company has no further obligations under the Convertible Note.</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increased in the third quarter of fiscal 2026 compared to the same period in fiscal 2025 primarily due to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and the X Display Company Technology Limited (“XDC”) business combination.</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For the three months ended January 31, 2026, our effective tax rate was 14.3 percent compared to 3.7 percent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January 25, 2025. The lower tax rate in the third quarter of fiscal 2025 is due to the tax effect of the increase of the Convertible Note fair value adjustment to expense that is not deductible for tax purposes reduced by the tax effect of the period's decrease in pre-tax income, whereas in the third quarter of fiscal 2026, the tax rate was reduced by increases to discrete tax benefits and a reversal of a valuation allowance with no fair value adjustments applicable.</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For the three months ended January 31, 2026, our earnings per diluted share was $0.06 compared to a loss per diluted share of $0.36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Performance Summary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financial performance information for our reportable segments for the three months ended January 31, 2026 and January 25, 2025, including a reconciliation of contribution margin, a non-GAAP measure, to GAAP operating income, which is the most directly comparable GAAP measure to contribution margin: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8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Three Months Ended January 31, 2026</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680" w:type="dxa"/>
            <w:vAlign w:val="bottom"/>
          </w:tcPr>
          <w:p>
            <w:pPr>
              <w:jc w:val="center"/>
              <w:ind w:right="26"/>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1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0" w:type="dxa"/>
            <w:vAlign w:val="bottom"/>
          </w:tcPr>
          <w:p>
            <w:pPr>
              <w:spacing w:after="0"/>
              <w:rPr>
                <w:sz w:val="1"/>
                <w:szCs w:val="1"/>
                <w:color w:val="auto"/>
              </w:rPr>
            </w:pPr>
          </w:p>
        </w:tc>
      </w:tr>
      <w:tr>
        <w:trPr>
          <w:trHeight w:val="135"/>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43,506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74,911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31,649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15,273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16,532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181,871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31,399</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59,803</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10,795</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14,095</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85.3 %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138,242</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76.0 %</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12,107</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15,108</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9,499</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4,478</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2,437</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43,629</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24.0</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4,110</w:t>
            </w:r>
          </w:p>
        </w:tc>
        <w:tc>
          <w:tcPr>
            <w:tcW w:w="8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3,018</w:t>
            </w:r>
          </w:p>
        </w:tc>
        <w:tc>
          <w:tcPr>
            <w:tcW w:w="10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4,070</w:t>
            </w:r>
          </w:p>
        </w:tc>
        <w:tc>
          <w:tcPr>
            <w:tcW w:w="8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12.9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1,362</w:t>
            </w:r>
          </w:p>
        </w:tc>
        <w:tc>
          <w:tcPr>
            <w:tcW w:w="8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2,775</w:t>
            </w:r>
          </w:p>
        </w:tc>
        <w:tc>
          <w:tcPr>
            <w:tcW w:w="1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15,335</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8.4</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7,997</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12,090</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5,429</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3,116</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28,294</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15.6</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15,844</w:t>
            </w:r>
          </w:p>
        </w:tc>
        <w:tc>
          <w:tcPr>
            <w:tcW w:w="100" w:type="dxa"/>
            <w:vAlign w:val="bottom"/>
          </w:tcPr>
          <w:p>
            <w:pPr>
              <w:spacing w:after="0"/>
              <w:rPr>
                <w:sz w:val="9"/>
                <w:szCs w:val="9"/>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10,528</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7,997</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12,090</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5,429</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17.2 %</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3,116</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1,922</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41,454</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73,370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39,177</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31,790</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15,320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201,111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Three Months Ended January 25, 2025</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680" w:type="dxa"/>
            <w:vAlign w:val="bottom"/>
          </w:tcPr>
          <w:p>
            <w:pPr>
              <w:jc w:val="center"/>
              <w:ind w:right="26"/>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1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4"/>
              </w:rPr>
              <w:t xml:space="preserve">sales </w:t>
            </w:r>
            <w:r>
              <w:rPr>
                <w:rFonts w:ascii="Times New Roman" w:cs="Times New Roman" w:eastAsia="Times New Roman" w:hAnsi="Times New Roman"/>
                <w:sz w:val="14"/>
                <w:szCs w:val="14"/>
                <w:b w:val="1"/>
                <w:bCs w:val="1"/>
                <w:color w:val="auto"/>
                <w:w w:val="84"/>
                <w:vertAlign w:val="superscript"/>
              </w:rPr>
              <w:t>(1)</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9"/>
              </w:rPr>
              <w:t xml:space="preserve">sales </w:t>
            </w:r>
            <w:r>
              <w:rPr>
                <w:rFonts w:ascii="Times New Roman" w:cs="Times New Roman" w:eastAsia="Times New Roman" w:hAnsi="Times New Roman"/>
                <w:sz w:val="14"/>
                <w:szCs w:val="14"/>
                <w:b w:val="1"/>
                <w:bCs w:val="1"/>
                <w:color w:val="auto"/>
                <w:w w:val="89"/>
                <w:vertAlign w:val="superscript"/>
              </w:rPr>
              <w:t>(1)</w:t>
            </w:r>
          </w:p>
        </w:tc>
        <w:tc>
          <w:tcPr>
            <w:tcW w:w="0" w:type="dxa"/>
            <w:vAlign w:val="bottom"/>
          </w:tcPr>
          <w:p>
            <w:pPr>
              <w:spacing w:after="0"/>
              <w:rPr>
                <w:sz w:val="1"/>
                <w:szCs w:val="1"/>
                <w:color w:val="auto"/>
              </w:rPr>
            </w:pPr>
          </w:p>
        </w:tc>
      </w:tr>
      <w:tr>
        <w:trPr>
          <w:trHeight w:val="136"/>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37,976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46,072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29,367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18,789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17,303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149,507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28,890</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37,278</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68.4 %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11,863</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14,620</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112,726</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75.4 %</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9,086</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23.9</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8,794</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9,292</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31.6</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6,926</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2,683</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36,781</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24.6</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3,870</w:t>
            </w:r>
          </w:p>
        </w:tc>
        <w:tc>
          <w:tcPr>
            <w:tcW w:w="8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2,991</w:t>
            </w:r>
          </w:p>
        </w:tc>
        <w:tc>
          <w:tcPr>
            <w:tcW w:w="10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3,845</w:t>
            </w:r>
          </w:p>
        </w:tc>
        <w:tc>
          <w:tcPr>
            <w:tcW w:w="8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1,279</w:t>
            </w:r>
          </w:p>
        </w:tc>
        <w:tc>
          <w:tcPr>
            <w:tcW w:w="8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2,486</w:t>
            </w:r>
          </w:p>
        </w:tc>
        <w:tc>
          <w:tcPr>
            <w:tcW w:w="1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14,471</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9.7</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5,216</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5,803</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5,447</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18.5</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5,647</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30.1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22,310</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14.9</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16,498</w:t>
            </w:r>
          </w:p>
        </w:tc>
        <w:tc>
          <w:tcPr>
            <w:tcW w:w="100" w:type="dxa"/>
            <w:vAlign w:val="bottom"/>
          </w:tcPr>
          <w:p>
            <w:pPr>
              <w:spacing w:after="0"/>
              <w:rPr>
                <w:sz w:val="9"/>
                <w:szCs w:val="9"/>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11.0</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9,440</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5,216</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5,803</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5,447</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18.5 %</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5,647</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30.1 %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(3,628)</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40,983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78,132</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34,549</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13,838</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19,402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186,904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Net Dollar and % 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00" w:type="dxa"/>
            <w:vAlign w:val="bottom"/>
          </w:tcPr>
          <w:p>
            <w:pPr>
              <w:spacing w:after="0"/>
              <w:rPr>
                <w:sz w:val="8"/>
                <w:szCs w:val="8"/>
                <w:color w:val="auto"/>
              </w:rPr>
            </w:pPr>
          </w:p>
        </w:tc>
        <w:tc>
          <w:tcPr>
            <w:tcW w:w="680" w:type="dxa"/>
            <w:vAlign w:val="bottom"/>
          </w:tcPr>
          <w:p>
            <w:pPr>
              <w:jc w:val="center"/>
              <w:ind w:right="26"/>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8"/>
              </w:rPr>
              <w:t xml:space="preserve">Change </w:t>
            </w:r>
            <w:r>
              <w:rPr>
                <w:rFonts w:ascii="Times New Roman" w:cs="Times New Roman" w:eastAsia="Times New Roman" w:hAnsi="Times New Roman"/>
                <w:sz w:val="14"/>
                <w:szCs w:val="14"/>
                <w:b w:val="1"/>
                <w:bCs w:val="1"/>
                <w:color w:val="auto"/>
                <w:w w:val="88"/>
                <w:vertAlign w:val="superscript"/>
              </w:rPr>
              <w:t>(1)</w:t>
            </w: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100" w:type="dxa"/>
            <w:vAlign w:val="bottom"/>
          </w:tcPr>
          <w:p>
            <w:pPr>
              <w:spacing w:after="0"/>
              <w:rPr>
                <w:sz w:val="14"/>
                <w:szCs w:val="14"/>
                <w:color w:val="auto"/>
              </w:rPr>
            </w:pPr>
          </w:p>
        </w:tc>
        <w:tc>
          <w:tcPr>
            <w:tcW w:w="6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1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88"/>
              </w:rPr>
              <w:t xml:space="preserve">Change </w:t>
            </w:r>
            <w:r>
              <w:rPr>
                <w:rFonts w:ascii="Times New Roman" w:cs="Times New Roman" w:eastAsia="Times New Roman" w:hAnsi="Times New Roman"/>
                <w:sz w:val="14"/>
                <w:szCs w:val="14"/>
                <w:b w:val="1"/>
                <w:bCs w:val="1"/>
                <w:color w:val="auto"/>
                <w:w w:val="88"/>
                <w:vertAlign w:val="superscript"/>
              </w:rPr>
              <w:t>(1)</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 xml:space="preserve">Change </w:t>
            </w:r>
            <w:r>
              <w:rPr>
                <w:rFonts w:ascii="Times New Roman" w:cs="Times New Roman" w:eastAsia="Times New Roman" w:hAnsi="Times New Roman"/>
                <w:sz w:val="14"/>
                <w:szCs w:val="14"/>
                <w:b w:val="1"/>
                <w:bCs w:val="1"/>
                <w:color w:val="auto"/>
                <w:w w:val="92"/>
                <w:vertAlign w:val="superscript"/>
              </w:rPr>
              <w:t>(1)</w:t>
            </w:r>
          </w:p>
        </w:tc>
        <w:tc>
          <w:tcPr>
            <w:tcW w:w="0" w:type="dxa"/>
            <w:vAlign w:val="bottom"/>
          </w:tcPr>
          <w:p>
            <w:pPr>
              <w:spacing w:after="0"/>
              <w:rPr>
                <w:sz w:val="1"/>
                <w:szCs w:val="1"/>
                <w:color w:val="auto"/>
              </w:rPr>
            </w:pPr>
          </w:p>
        </w:tc>
      </w:tr>
      <w:tr>
        <w:trPr>
          <w:trHeight w:val="135"/>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5,530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28,839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62.6 %</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7.8 %</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32,364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21.6 %</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2,509</w:t>
            </w:r>
          </w:p>
        </w:tc>
        <w:tc>
          <w:tcPr>
            <w:tcW w:w="8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22,525</w:t>
            </w:r>
          </w:p>
        </w:tc>
        <w:tc>
          <w:tcPr>
            <w:tcW w:w="10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2,075</w:t>
            </w:r>
          </w:p>
        </w:tc>
        <w:tc>
          <w:tcPr>
            <w:tcW w:w="8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(1,068)</w:t>
            </w:r>
          </w:p>
        </w:tc>
        <w:tc>
          <w:tcPr>
            <w:tcW w:w="8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0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25,516</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22.6</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3,021</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6,314</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71.8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(2,448)</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(35.3)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6,848</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18.6</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240</w:t>
            </w:r>
          </w:p>
        </w:tc>
        <w:tc>
          <w:tcPr>
            <w:tcW w:w="8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8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864</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2,781</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6,287</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108.3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(2,531)</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(44.8)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(271.6)</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5,984</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26.8</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(654)</w:t>
            </w:r>
          </w:p>
        </w:tc>
        <w:tc>
          <w:tcPr>
            <w:tcW w:w="100" w:type="dxa"/>
            <w:vAlign w:val="bottom"/>
          </w:tcPr>
          <w:p>
            <w:pPr>
              <w:spacing w:after="0"/>
              <w:rPr>
                <w:sz w:val="9"/>
                <w:szCs w:val="9"/>
                <w:color w:val="auto"/>
              </w:rPr>
            </w:pPr>
          </w:p>
        </w:tc>
        <w:tc>
          <w:tcPr>
            <w:tcW w:w="7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1,088</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11.5</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2,781</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53.3 %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6,287</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108.3 %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1"/>
                <w:szCs w:val="11"/>
                <w:color w:val="auto"/>
                <w:w w:val="99"/>
              </w:rPr>
              <w:t>(0.3)%</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(2,531)</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(535)</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5,550</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(153.0)%</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471</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(4,762)</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13.4 %</w:t>
            </w:r>
          </w:p>
        </w:tc>
        <w:tc>
          <w:tcPr>
            <w:tcW w:w="80" w:type="dxa"/>
            <w:vAlign w:val="bottom"/>
          </w:tcPr>
          <w:p>
            <w:pPr>
              <w:spacing w:after="0"/>
              <w:rPr>
                <w:sz w:val="12"/>
                <w:szCs w:val="12"/>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17,952</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129.7 %</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(4,082)</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14,207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on unrounded numbers and therefore may not recalculate using the rounded numbers provided. In addition, percentages may not add in total due to rounding.</w:t>
      </w:r>
    </w:p>
    <w:p>
      <w:pPr>
        <w:spacing w:after="0" w:line="2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2026, total net sales increased and gross profit as a percentage of net sales decreased, reflecting the cumulative impact of the following factors: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increase in net sales in the third quarter of fiscal 2026 compared to the same period one year ago was primarily driven by fulfilling orders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Spectacular LED video display projects, On-Premise digital signage, and Out-of-Home digital billboards. Gross profit as a percentage of sales increased due to delivering more profitable projects in the Spectaculars niche and higher sales volume over a relatively fixed cost structure. Selling expenses remained relatively flat. The slight increase in order bookings reflects continued market adoption of digital display technology.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increase in net sales in the third quarter of fiscal 2026 compared to the same period one year ago was due to the fulfillment of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orders. Gross profit as a percentage of sales in the quarter remained relatively flat. Selling expenses remained relatively flat. Order bookings fluctuate based on the timing of large project bookings and seasonal sports impacts. During the third quarter of fiscal 2026, we booked a large Major League Baseball stadium project, but had lower orders of other large facility projects.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Sales increased during the third quarter of fiscal 2026 compared to the same period one year ago primarily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project execution and continued demand for video display systems. Gross profit as a percentage of sales decreased due to price increases not recovering all increases in tariff costs. Selling expenses remained relatively flat. Order bookings increased due to stronger demand for video display systems in school during the off season.</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Sales decreased during the third quarter of fiscal 2026 compared to the same period one year ago due to lower order bookings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which reduced the level of backlog available to build. Gross profit as a percentage of sales decreased due to a shift in project mix toward smaller projects, added tariff expenses, and competitive pricing pressure, which resulted in higher cost of goods sold as a percentage of sales. Selling expenses remained relatively flat. Order bookings increased compared to the prior year, reflecting strong demand and continued momentum in airports.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decrease in net sales in the third quarter of fiscal 2026 was driven by timing of conversion of orders due to lower backlog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year ago. Gross profit as a percentage of sales decreased primarily due to lower sales volume over relatively fixed cost structure. Selling expenses remained relatively flat. Order bookings decreased compared to the same period a year ago, with results primarily reflecting the timing of large stadium project awards in international markets. However, demand remained strong, primarily due to successful order bookings in Australia and Europe.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JANUARY 31, 2026 AND JANUARY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Performance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an analysis of changes in key items included in the statements of operations for the nine months ended January 31, 2026 and January 25,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January 25, 2025</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 of Net sales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Dollar Change </w:t>
            </w:r>
            <w:r>
              <w:rPr>
                <w:rFonts w:ascii="Times New Roman" w:cs="Times New Roman" w:eastAsia="Times New Roman" w:hAnsi="Times New Roman"/>
                <w:sz w:val="21"/>
                <w:szCs w:val="21"/>
                <w:b w:val="1"/>
                <w:bCs w:val="1"/>
                <w:color w:val="auto"/>
                <w:vertAlign w:val="superscript"/>
              </w:rPr>
              <w:t>(1)</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xml:space="preserve">Percent Change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630,096</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583,926</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46,170</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459,570</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72.9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431,584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27,986</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170,526</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152,342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18,184</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53"/>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48,225</w:t>
            </w:r>
          </w:p>
        </w:tc>
        <w:tc>
          <w:tcPr>
            <w:tcW w:w="8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44,811</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General and</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43,901</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43,771</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Product design and</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31,643</w:t>
            </w:r>
          </w:p>
        </w:tc>
        <w:tc>
          <w:tcPr>
            <w:tcW w:w="8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28,902</w:t>
            </w:r>
          </w:p>
        </w:tc>
        <w:tc>
          <w:tcPr>
            <w:tcW w:w="100" w:type="dxa"/>
            <w:vAlign w:val="bottom"/>
          </w:tcPr>
          <w:p>
            <w:pPr>
              <w:spacing w:after="0"/>
              <w:rPr>
                <w:sz w:val="14"/>
                <w:szCs w:val="14"/>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80" w:type="dxa"/>
            <w:vAlign w:val="bottom"/>
          </w:tcPr>
          <w:p>
            <w:pPr>
              <w:spacing w:after="0"/>
              <w:rPr>
                <w:sz w:val="14"/>
                <w:szCs w:val="14"/>
                <w:color w:val="auto"/>
              </w:rPr>
            </w:pPr>
          </w:p>
        </w:tc>
        <w:tc>
          <w:tcPr>
            <w:tcW w:w="1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3"/>
        </w:trPr>
        <w:tc>
          <w:tcPr>
            <w:tcW w:w="1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123,769</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117,484</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7"/>
        </w:trPr>
        <w:tc>
          <w:tcPr>
            <w:tcW w:w="1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46,757</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34,858</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11,899</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53"/>
        </w:trPr>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Nonoperating income</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255.4</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 net</w:t>
            </w: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Change in fair value of</w:t>
            </w:r>
          </w:p>
        </w:tc>
        <w:tc>
          <w:tcPr>
            <w:tcW w:w="10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(25,369)</w:t>
            </w:r>
          </w:p>
        </w:tc>
        <w:tc>
          <w:tcPr>
            <w:tcW w:w="100" w:type="dxa"/>
            <w:vAlign w:val="bottom"/>
          </w:tcPr>
          <w:p>
            <w:pPr>
              <w:spacing w:after="0"/>
              <w:rPr>
                <w:sz w:val="14"/>
                <w:szCs w:val="14"/>
                <w:color w:val="auto"/>
              </w:rPr>
            </w:pPr>
          </w:p>
        </w:tc>
        <w:tc>
          <w:tcPr>
            <w:tcW w:w="1540" w:type="dxa"/>
            <w:vAlign w:val="bottom"/>
            <w:vMerge w:val="restart"/>
          </w:tcPr>
          <w:p>
            <w:pPr>
              <w:ind w:left="106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25,369</w:t>
            </w:r>
          </w:p>
        </w:tc>
        <w:tc>
          <w:tcPr>
            <w:tcW w:w="80" w:type="dxa"/>
            <w:vAlign w:val="bottom"/>
          </w:tcPr>
          <w:p>
            <w:pPr>
              <w:spacing w:after="0"/>
              <w:rPr>
                <w:sz w:val="14"/>
                <w:szCs w:val="14"/>
                <w:color w:val="auto"/>
              </w:rPr>
            </w:pPr>
          </w:p>
        </w:tc>
        <w:tc>
          <w:tcPr>
            <w:tcW w:w="1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note</w:t>
            </w: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net</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142"/>
        </w:trPr>
        <w:tc>
          <w:tcPr>
            <w:tcW w:w="192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b w:val="1"/>
                <w:bCs w:val="1"/>
                <w:color w:val="auto"/>
              </w:rPr>
              <w:t>Income before income</w:t>
            </w: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47,597</w:t>
            </w:r>
          </w:p>
        </w:tc>
        <w:tc>
          <w:tcPr>
            <w:tcW w:w="80" w:type="dxa"/>
            <w:vAlign w:val="bottom"/>
          </w:tcPr>
          <w:p>
            <w:pPr>
              <w:spacing w:after="0"/>
              <w:rPr>
                <w:sz w:val="12"/>
                <w:szCs w:val="12"/>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7,587</w:t>
            </w:r>
          </w:p>
        </w:tc>
        <w:tc>
          <w:tcPr>
            <w:tcW w:w="100" w:type="dxa"/>
            <w:vAlign w:val="bottom"/>
          </w:tcPr>
          <w:p>
            <w:pPr>
              <w:spacing w:after="0"/>
              <w:rPr>
                <w:sz w:val="12"/>
                <w:szCs w:val="12"/>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40,010</w:t>
            </w:r>
          </w:p>
        </w:tc>
        <w:tc>
          <w:tcPr>
            <w:tcW w:w="80" w:type="dxa"/>
            <w:vAlign w:val="bottom"/>
          </w:tcPr>
          <w:p>
            <w:pPr>
              <w:spacing w:after="0"/>
              <w:rPr>
                <w:sz w:val="12"/>
                <w:szCs w:val="12"/>
                <w:color w:val="auto"/>
              </w:rPr>
            </w:pPr>
          </w:p>
        </w:tc>
        <w:tc>
          <w:tcPr>
            <w:tcW w:w="1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527.3</w:t>
            </w:r>
          </w:p>
        </w:tc>
        <w:tc>
          <w:tcPr>
            <w:tcW w:w="0" w:type="dxa"/>
            <w:vAlign w:val="bottom"/>
          </w:tcPr>
          <w:p>
            <w:pPr>
              <w:spacing w:after="0"/>
              <w:rPr>
                <w:sz w:val="1"/>
                <w:szCs w:val="1"/>
                <w:color w:val="auto"/>
              </w:rPr>
            </w:pPr>
          </w:p>
        </w:tc>
      </w:tr>
      <w:tr>
        <w:trPr>
          <w:trHeight w:val="214"/>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10,636</w:t>
            </w:r>
          </w:p>
        </w:tc>
        <w:tc>
          <w:tcPr>
            <w:tcW w:w="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8,283</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12"/>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36,961</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18"/>
                <w:szCs w:val="18"/>
                <w:color w:val="auto"/>
              </w:rPr>
            </w:pPr>
          </w:p>
        </w:tc>
        <w:tc>
          <w:tcPr>
            <w:tcW w:w="15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37,657</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(5410.5)%</w:t>
            </w:r>
          </w:p>
        </w:tc>
        <w:tc>
          <w:tcPr>
            <w:tcW w:w="0" w:type="dxa"/>
            <w:vAlign w:val="bottom"/>
          </w:tcPr>
          <w:p>
            <w:pPr>
              <w:spacing w:after="0"/>
              <w:rPr>
                <w:sz w:val="1"/>
                <w:szCs w:val="1"/>
                <w:color w:val="auto"/>
              </w:rPr>
            </w:pPr>
          </w:p>
        </w:tc>
      </w:tr>
      <w:tr>
        <w:trPr>
          <w:trHeight w:val="20"/>
        </w:trPr>
        <w:tc>
          <w:tcPr>
            <w:tcW w:w="1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(7600.0)%</w:t>
            </w: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Diluted weighted average</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49,528</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46,944</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w:t>
            </w: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638,789</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540,664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98,125</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orders, gross profit, and operating expenses were impacted as a result of the first nine months of fiscal 2026 including 40 weeks compared to the more common 39 weeks. The first quarter of fiscal 2026 contained 14 weeks.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sales increase in the first nine months of fiscal 2026 compared to the same period in fiscal 2025 was the result primarily of higher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Commercial, Live Events, High School Park and Recreation, and International business units, partially offset by decreased sales in the Transportation business unit. The amount of recognized revenue associated with performance obligations satisfied in prior years during the nine months ended January 31, 2026 and January 25, 2025 was immaterial.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Order </w:t>
      </w:r>
      <w:r>
        <w:rPr>
          <w:rFonts w:ascii="Times New Roman" w:cs="Times New Roman" w:eastAsia="Times New Roman" w:hAnsi="Times New Roman"/>
          <w:sz w:val="18"/>
          <w:szCs w:val="18"/>
          <w:color w:val="auto"/>
        </w:rPr>
        <w:t>volume increased in the first nine months of fiscal 2026 compared to the same period in fiscal 2025 primarily due to order growth in the Live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 School Park and Recreation, Transportation, and International business units. Order bookings in the Commercial business unit remained relatively flat. Order bookings were supported by continued demand for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video display systems across professional sports, transportation, education, and international markets. Activity was driven by projects at major professional sports venues, strong order activity in aviation and ITS, ongoing adoption of video in school and community settings, and international opportunities.</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as a percentage of net sales increased to 27.1 percent for the first nine months of fiscal 2026 as compared to 26.1 percent for the same period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ago. The increase was driven by a combination of strategic pricing, continued operational efficiencies, and overall project mix across the business. Total warranty expense as a percentage of sales decreased slightly to 1.4 percent for the first nine months of fiscal 2026 as compared to 1.6 percent for the same period from a year ago.</w:t>
      </w:r>
    </w:p>
    <w:p>
      <w:pPr>
        <w:spacing w:after="0" w:line="19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expenses </w:t>
      </w:r>
      <w:r>
        <w:rPr>
          <w:rFonts w:ascii="Times New Roman" w:cs="Times New Roman" w:eastAsia="Times New Roman" w:hAnsi="Times New Roman"/>
          <w:sz w:val="18"/>
          <w:szCs w:val="18"/>
          <w:color w:val="auto"/>
        </w:rPr>
        <w:t>increased in the first nine months of fiscal 2026 compared to the same period in fiscal 2025 primarily due to increases in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wages and benefits and increased staffing levels to support future growth.</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expenses increased in the first nine months of fiscal 2026 compared to the same period in fiscal 2025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personnel-related wages and benefits and included $2.5 million for expenses related to management transitions and acquisition costs. During the first nine months of fiscal 2025, the Company incurred $9.0 million of consultant related expenses associated with the strategic and digital transformation initiatives and corporate governance matters.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w:t>
      </w:r>
      <w:r>
        <w:rPr>
          <w:rFonts w:ascii="Times New Roman" w:cs="Times New Roman" w:eastAsia="Times New Roman" w:hAnsi="Times New Roman"/>
          <w:sz w:val="18"/>
          <w:szCs w:val="18"/>
          <w:color w:val="auto"/>
        </w:rPr>
        <w:t>expenses increased in the first nine months of fiscal 2026 compared to the same period in fiscal 2025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staffing costs and investments in advanced technologies and engineering services.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 the first nine months of fiscal 2026 increased compared to the same period one year ago primarily due to higher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invested in interest-bearing accounts. During the first nine months of fiscal 2025, the interest expense included interest on the Convertible Note, which was settled during fiscal 2025.</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results from accounting for the Convertible Note. The fair value change was primarily caused by the forced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of the entire Convertible Note in the third and fourth quarters of fiscal 2025. All amounts due under the Convertible Note were settled in fiscal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remained relatively flat in the first nine months of fiscal 2026 compared to the same period in fiscal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nine months ended January 31, 2026, our effective tax rate was 22.3 percent compared to an effective tax rate of 109.2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January 25, 2025. The higher tax rate in the first nine months of fiscal 2025 was primarily due to the impact of the fair value adjustment to the Convertible Note that is not deductible for tax purposes in proportion to pre-tax income, whereas the tax rate for the first nine months of fiscal 2026 is lower due to having no further impacts of fair value adjustments on Convertible Note.</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For the nine months ended January 31, 2026, our earnings per diluted share was $0.75 compared to a loss per diluted share of $0.01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Performance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financial performance information for our reportable segments, including a reconciliation of contribution margin, a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measure, to GAAP operating income for the nine months ended January 31, 2026 and January 25,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Nine Months Ended January 31, 2026</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80" w:type="dxa"/>
            <w:vAlign w:val="bottom"/>
          </w:tcPr>
          <w:p>
            <w:pPr>
              <w:spacing w:after="0"/>
              <w:rPr>
                <w:sz w:val="8"/>
                <w:szCs w:val="8"/>
                <w:color w:val="auto"/>
              </w:rPr>
            </w:pPr>
          </w:p>
        </w:tc>
        <w:tc>
          <w:tcPr>
            <w:tcW w:w="80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sales (1)</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sales (1)</w:t>
            </w:r>
          </w:p>
        </w:tc>
        <w:tc>
          <w:tcPr>
            <w:tcW w:w="8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sales (1)</w:t>
            </w: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sales (1)</w:t>
            </w: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140,425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236,192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136,963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53,122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63,394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630,096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101,348</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181,134</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91,436</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36,925</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48,727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459,570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72.9 %</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39,077</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55,058</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23.3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45,527</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16,197</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14,667</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23.1</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170,526</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27.1</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13,298</w:t>
            </w:r>
          </w:p>
        </w:tc>
        <w:tc>
          <w:tcPr>
            <w:tcW w:w="10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9,063</w:t>
            </w:r>
          </w:p>
        </w:tc>
        <w:tc>
          <w:tcPr>
            <w:tcW w:w="1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12,748</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4,557</w:t>
            </w:r>
          </w:p>
        </w:tc>
        <w:tc>
          <w:tcPr>
            <w:tcW w:w="8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8,559</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48,225</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25,779</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45,995</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32,779</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23.9</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11,640</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6,108</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122,301</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19.4</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43,901</w:t>
            </w:r>
          </w:p>
        </w:tc>
        <w:tc>
          <w:tcPr>
            <w:tcW w:w="100" w:type="dxa"/>
            <w:vAlign w:val="bottom"/>
          </w:tcPr>
          <w:p>
            <w:pPr>
              <w:spacing w:after="0"/>
              <w:rPr>
                <w:sz w:val="9"/>
                <w:szCs w:val="9"/>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31,643</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25,779</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45,995</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32,779</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23.9 %</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11,640</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6,108</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9.6 %</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46,757</w:t>
            </w: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7.4 %</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127,958</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254,817</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138,109</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67,775</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50,130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638,789</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Nine Months Ended January 25, 2025</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80" w:type="dxa"/>
            <w:vAlign w:val="bottom"/>
          </w:tcPr>
          <w:p>
            <w:pPr>
              <w:spacing w:after="0"/>
              <w:rPr>
                <w:sz w:val="8"/>
                <w:szCs w:val="8"/>
                <w:color w:val="auto"/>
              </w:rPr>
            </w:pPr>
          </w:p>
        </w:tc>
        <w:tc>
          <w:tcPr>
            <w:tcW w:w="80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 of net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sales (1)</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sales (1)</w:t>
            </w:r>
          </w:p>
        </w:tc>
        <w:tc>
          <w:tcPr>
            <w:tcW w:w="8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sales (1)</w:t>
            </w: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sales (1)</w:t>
            </w: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sales (1)</w:t>
            </w:r>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115,614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231,887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125,444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62,757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48,224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583,926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87,795</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182,095</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81,032</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39,410</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41,252</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85.5 %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431,584</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73.9 %</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27,819</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49,792</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44,412</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35.4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23,347</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37.2</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6,972</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14.5</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152,342</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26.1</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12,808</w:t>
            </w:r>
          </w:p>
        </w:tc>
        <w:tc>
          <w:tcPr>
            <w:tcW w:w="10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8,172</w:t>
            </w:r>
          </w:p>
        </w:tc>
        <w:tc>
          <w:tcPr>
            <w:tcW w:w="1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11,932</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4,080</w:t>
            </w:r>
          </w:p>
        </w:tc>
        <w:tc>
          <w:tcPr>
            <w:tcW w:w="8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7,819</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16.2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44,811</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15,011</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41,620</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32,480</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25.9</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19,267</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(847)</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107,531</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18.4</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43,771</w:t>
            </w:r>
          </w:p>
        </w:tc>
        <w:tc>
          <w:tcPr>
            <w:tcW w:w="100" w:type="dxa"/>
            <w:vAlign w:val="bottom"/>
          </w:tcPr>
          <w:p>
            <w:pPr>
              <w:spacing w:after="0"/>
              <w:rPr>
                <w:sz w:val="9"/>
                <w:szCs w:val="9"/>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28,902</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15,011</w:t>
            </w:r>
          </w:p>
        </w:tc>
        <w:tc>
          <w:tcPr>
            <w:tcW w:w="100" w:type="dxa"/>
            <w:vAlign w:val="bottom"/>
          </w:tcPr>
          <w:p>
            <w:pPr>
              <w:spacing w:after="0"/>
              <w:rPr>
                <w:sz w:val="7"/>
                <w:szCs w:val="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13.0 %</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41,620</w:t>
            </w:r>
          </w:p>
        </w:tc>
        <w:tc>
          <w:tcPr>
            <w:tcW w:w="100" w:type="dxa"/>
            <w:vAlign w:val="bottom"/>
          </w:tcPr>
          <w:p>
            <w:pPr>
              <w:spacing w:after="0"/>
              <w:rPr>
                <w:sz w:val="7"/>
                <w:szCs w:val="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17.9 %</w:t>
            </w:r>
          </w:p>
        </w:tc>
        <w:tc>
          <w:tcPr>
            <w:tcW w:w="10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32,480</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25.9 %</w:t>
            </w:r>
          </w:p>
        </w:tc>
        <w:tc>
          <w:tcPr>
            <w:tcW w:w="80" w:type="dxa"/>
            <w:vAlign w:val="bottom"/>
          </w:tcPr>
          <w:p>
            <w:pPr>
              <w:spacing w:after="0"/>
              <w:rPr>
                <w:sz w:val="7"/>
                <w:szCs w:val="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19,267</w:t>
            </w:r>
          </w:p>
        </w:tc>
        <w:tc>
          <w:tcPr>
            <w:tcW w:w="8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30.7 %</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(847)</w:t>
            </w:r>
          </w:p>
        </w:tc>
        <w:tc>
          <w:tcPr>
            <w:tcW w:w="10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7"/>
                <w:szCs w:val="7"/>
                <w:color w:val="auto"/>
              </w:rPr>
            </w:pPr>
          </w:p>
        </w:tc>
        <w:tc>
          <w:tcPr>
            <w:tcW w:w="16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34,858</w:t>
            </w:r>
          </w:p>
        </w:tc>
        <w:tc>
          <w:tcPr>
            <w:tcW w:w="10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6.0 %</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w:t>
            </w:r>
          </w:p>
        </w:tc>
        <w:tc>
          <w:tcPr>
            <w:tcW w:w="10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127,653</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199,555</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116,834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48,819</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47,803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540,664</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Net Dollar and % Change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80" w:type="dxa"/>
            <w:vAlign w:val="bottom"/>
          </w:tcPr>
          <w:p>
            <w:pPr>
              <w:spacing w:after="0"/>
              <w:rPr>
                <w:sz w:val="8"/>
                <w:szCs w:val="8"/>
                <w:color w:val="auto"/>
              </w:rPr>
            </w:pPr>
          </w:p>
        </w:tc>
        <w:tc>
          <w:tcPr>
            <w:tcW w:w="80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w w:val="97"/>
              </w:rPr>
              <w:t>High School</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Percent</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Live Events</w:t>
            </w: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International</w:t>
            </w: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Change (1)</w:t>
            </w:r>
          </w:p>
        </w:tc>
        <w:tc>
          <w:tcPr>
            <w:tcW w:w="8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Change (1)</w:t>
            </w: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Change (1)</w:t>
            </w: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Change (1)</w:t>
            </w: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Change (1)</w:t>
            </w:r>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24,811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21.5 %</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4,305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11,519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9.2 %</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(9,635)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15,170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31.5 %</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46,170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7.9 %</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13,553</w:t>
            </w:r>
          </w:p>
        </w:tc>
        <w:tc>
          <w:tcPr>
            <w:tcW w:w="10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1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10,404</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w:t>
            </w:r>
          </w:p>
        </w:tc>
        <w:tc>
          <w:tcPr>
            <w:tcW w:w="8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7,475</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27,986</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11,258</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5,266</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1,115</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(7,150)</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7,695</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110.4</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18,184</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11.9</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891</w:t>
            </w:r>
          </w:p>
        </w:tc>
        <w:tc>
          <w:tcPr>
            <w:tcW w:w="1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816</w:t>
            </w:r>
          </w:p>
        </w:tc>
        <w:tc>
          <w:tcPr>
            <w:tcW w:w="100" w:type="dxa"/>
            <w:vAlign w:val="bottom"/>
          </w:tcPr>
          <w:p>
            <w:pPr>
              <w:spacing w:after="0"/>
              <w:rPr>
                <w:sz w:val="12"/>
                <w:szCs w:val="12"/>
                <w:color w:val="auto"/>
              </w:rPr>
            </w:pPr>
          </w:p>
        </w:tc>
        <w:tc>
          <w:tcPr>
            <w:tcW w:w="7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477</w:t>
            </w:r>
          </w:p>
        </w:tc>
        <w:tc>
          <w:tcPr>
            <w:tcW w:w="8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740</w:t>
            </w:r>
          </w:p>
        </w:tc>
        <w:tc>
          <w:tcPr>
            <w:tcW w:w="10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3,414</w:t>
            </w:r>
          </w:p>
        </w:tc>
        <w:tc>
          <w:tcPr>
            <w:tcW w:w="10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7.6</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10,768</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71.7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4,375</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299</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(7,627)</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(39.6)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6,955</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(821.1)</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14,770</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13.7</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9"/>
                <w:szCs w:val="9"/>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2,741</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9.5</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10,768</w:t>
            </w:r>
          </w:p>
        </w:tc>
        <w:tc>
          <w:tcPr>
            <w:tcW w:w="100" w:type="dxa"/>
            <w:vAlign w:val="bottom"/>
          </w:tcPr>
          <w:p>
            <w:pPr>
              <w:spacing w:after="0"/>
              <w:rPr>
                <w:sz w:val="7"/>
                <w:szCs w:val="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71.7 %</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4,375</w:t>
            </w:r>
          </w:p>
        </w:tc>
        <w:tc>
          <w:tcPr>
            <w:tcW w:w="100" w:type="dxa"/>
            <w:vAlign w:val="bottom"/>
          </w:tcPr>
          <w:p>
            <w:pPr>
              <w:spacing w:after="0"/>
              <w:rPr>
                <w:sz w:val="7"/>
                <w:szCs w:val="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10.5 %</w:t>
            </w:r>
          </w:p>
        </w:tc>
        <w:tc>
          <w:tcPr>
            <w:tcW w:w="10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299</w:t>
            </w:r>
          </w:p>
        </w:tc>
        <w:tc>
          <w:tcPr>
            <w:tcW w:w="100" w:type="dxa"/>
            <w:vAlign w:val="bottom"/>
          </w:tcPr>
          <w:p>
            <w:pPr>
              <w:spacing w:after="0"/>
              <w:rPr>
                <w:sz w:val="7"/>
                <w:szCs w:val="7"/>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0.9 %</w:t>
            </w:r>
          </w:p>
        </w:tc>
        <w:tc>
          <w:tcPr>
            <w:tcW w:w="80" w:type="dxa"/>
            <w:vAlign w:val="bottom"/>
          </w:tcPr>
          <w:p>
            <w:pPr>
              <w:spacing w:after="0"/>
              <w:rPr>
                <w:sz w:val="7"/>
                <w:szCs w:val="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(7,627)</w:t>
            </w:r>
          </w:p>
        </w:tc>
        <w:tc>
          <w:tcPr>
            <w:tcW w:w="8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6,955</w:t>
            </w:r>
          </w:p>
        </w:tc>
        <w:tc>
          <w:tcPr>
            <w:tcW w:w="100" w:type="dxa"/>
            <w:vAlign w:val="bottom"/>
          </w:tcPr>
          <w:p>
            <w:pPr>
              <w:spacing w:after="0"/>
              <w:rPr>
                <w:sz w:val="7"/>
                <w:szCs w:val="7"/>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(821.1)%</w:t>
            </w:r>
          </w:p>
        </w:tc>
        <w:tc>
          <w:tcPr>
            <w:tcW w:w="80" w:type="dxa"/>
            <w:vAlign w:val="bottom"/>
          </w:tcPr>
          <w:p>
            <w:pPr>
              <w:spacing w:after="0"/>
              <w:rPr>
                <w:sz w:val="7"/>
                <w:szCs w:val="7"/>
                <w:color w:val="auto"/>
              </w:rPr>
            </w:pPr>
          </w:p>
        </w:tc>
        <w:tc>
          <w:tcPr>
            <w:tcW w:w="16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11,899</w:t>
            </w:r>
          </w:p>
        </w:tc>
        <w:tc>
          <w:tcPr>
            <w:tcW w:w="100" w:type="dxa"/>
            <w:vAlign w:val="bottom"/>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34.1 %</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w:t>
            </w:r>
          </w:p>
        </w:tc>
        <w:tc>
          <w:tcPr>
            <w:tcW w:w="10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55,262</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27.7 %</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21,275</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18.2 %</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18,956</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38.8 %</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2,327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4.9 %</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98,125</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are calculated on unrounded numbers and therefore may not recalculate using the rounded numbers provided. In addition, percentages may not add in total due to rounding.</w:t>
      </w:r>
    </w:p>
    <w:p>
      <w:pPr>
        <w:spacing w:after="0" w:line="2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fiscal 2026, total net sales and gross profit as a percentage of net sales increased, reflecting the cumulative impact of the following factors: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increase in net sales in the first nine months of fiscal 2026 compared to the same period one year ago was primarily driven by fulfilling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orders in all niches, including On-Premise digital signage, Out-of-Home digital billboards, and Spectacular LED video display projects. Gross profit as a percentage of sales increased due to pricing strategies and higher sales volume over a relatively fixed cost structure. Selling expenses increased due to personnel related wages and benefits costs for investments in staffing to support future growth and an increase in bad debt reserves. Order bookings remained relatively flat.</w:t>
      </w:r>
    </w:p>
    <w:p>
      <w:pPr>
        <w:spacing w:after="0" w:line="183"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increase in net sales in the first nine months of fiscal 2026 was driven by the fulfillment of a large project orders. The increase in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as a percentage of sales in the quarter is attributable to higher sales volume over a relatively fixed cost structure. Selling expenses increased due to personnel-related wages and benefit costs for investments in staffing to support future growth. Order bookings vary because of large project booking impacts and seasonal sports impacts. The increase in order bookings is primarily driven by strong demand for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video display systems across professional sports venues, including multiple professional sports stadium and arena projects.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Sales increased during the first nine months of fiscal 2026 compared to the same period one year ago, reflecting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expansion of video display installations in school and community markets. Gross profit as a percentage of sales was impacted by cost increases not fully absorbed by pricing strategies. Selling expenses increased slightly due to personnel related wages and benefit costs for investments in staffing to support future growth. Order bookings increased due to stronger demand for video display systems across school and community markets, supported by simplified offerings, expanded sales channels, and continued interest in interactive content solutions.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Sales decreased during the first nine months of fiscal 2026 compared to the same period one year ago, primarily due to lower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bookings which reduced the level of backlog available to build. Gross profit as a percentage of sales decreased due to a shift in project mix to smaller projects with tighter margins and added tariff expense, which resulted in higher cost of goods sold as a percentage of sales. Selling expenses increased due to personnel related wages and benefits costs for investments in staffing to support future growth. Order bookings increased compared to the prior year, primarily driven by strong demand in airports.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increase in net sales in the first nine months of fiscal 2026, reflecting conversion of higher backlog into revenue, supported by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execution and increased production volumes. Gross profit as a percentage of sales increased primarily due to higher sales volume and favorable project mix. Selling expenses increased due to personnel related wages and benefits costs for investments in staffing to support future growth. The increase in order bookings is primarily driven by successful bookings across the Middle East, Europe, and Australia, and the continued execution of global expansion strategies.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January 25,</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 Change</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(20,517)</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(16,594)</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(33,574)</w:t>
            </w: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The $54.3 million of cash provided by operating activities during the first nine months of fiscal 2026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$74.8 million in the same period of fiscal 2025. This decrease was primarily driven by a large increase in accounts receivable, which used $21.9 million of cash in fiscal 2026 compared to a $21.8</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million source of cash in fiscal 2025. Inventory reductions and increased stock-based compensation partially offset this impact, while non-cash adjustments such as depreciation and amortization remained relatively consistent year-over-year. Changes in operating assets and liabilities used $4.6 million of cash in fiscal 2026, compared to a $31.0 million source of cash in fiscal 2025, mainly due to the shift in accounts receivable, accounts payable, and income tax receivable and payable, and inventory reductions.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net operating assets and liabilities for the nine months ended January 31, 2026 and January 25, 2025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25,</w:t>
            </w: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During the first nine months of fiscal 2026, net cash used in investing activities totaled $14.9 million, primarily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$10.4 million in purchases of property and equipment and $5.2 million in loans to affiliates. In comparison, the same period in fiscal 2025 saw $14.7 million in property and equipment purchases and $3.3 million in affiliate investments. Proceeds from the sale of property and equipment were $0.6 million in fiscal 2026 compared to $0.2 million in fiscal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In the first nine months of fiscal 2026, financing activities resulted in a net cash outflow of $23.2 million, which</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$22.8 million for repurchased shares, $2.6 million in payments on notes payable, and $0.6 million in tax payments related to RSU issuances. These were partially offset by $1.5 million in proceeds from stock option exercises and $1.4 million in borrowings on notes payable. In comparison, the first quarter of fiscal 2025 reflected a net outflow of $6.6 million, primarily driven by $9.0 million for repurchased shares and $1.7 million in payments on notes payable. These outflows were partially offset by $5.1 million in proceeds from the exercise of stock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Cash</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On November 26, 2025, we entered into a new $71.5 million senior credit facility (the “New Credit Facility”) pursuant to a Credit Agreement (the “New Credit Agreement”). The New Credit Facility consists of a cash flow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revolving line of credit (the “Revolver”) and a term loan that is not collateralized by real estate (the “New Term Loan”). We believe the New Credit Facility enhances financial flexibility in managing our operations and capital structure by extending maturities and providing committed liquidity. As of January 31, 2026, there were no advances under the New Term Loan, and the balance of letters of credit outstanding under the Revolver was approximately $1.9 million. For additional information on financing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agreements, see “Note 8. Financing Agreements” of the Notes to our Condensed Consolidated Financial Statements included in this Quarterly Report on Form 10-Q.</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2026, we had $144.4 million in cash and cash equivalents. We believe that our cash flow from operating activities, together with existing cash and cash equivalents and availability under the New Credit Facility, will be sufficient to fund our working capital, capital expenditures, debt service, stock repurchases, and other financial requirements for at least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equivalent balances consist of high-quality, short-term money market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cash and sources of funds for our operations are cash flows from operations, current cash and cash equivalents, investments in our affiliates, and borrowings under the New Credit Facility. We were in compliance with all debt covenants under the New Credit Agreement as of January 31, 2026, and we expect to remain in compliance with those covenants for at least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Working capital was $234.2 million as of January 31, 2026, and $209.4 million as of April 26, 2025, reflecting a $24.8 million increase. This change was primarily impacted by fluctuations in key components such as an increase in cash and cash equivalents by $16.9 million, accounts receivable by $21.6 million, contract assets by $7.1 million, and accounts payable by $16.9 million. Inventory decreased by $2.2 million.</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shifts are influenced by the seasonality of the sports market and construction cycles, which affect the timing of cash flows. Specifically, payments for inventory and subcontractors often precede customer receipts, especially on large-scale, customized orders. These projects can span over 12 months, depending on complexity and delivery schedules. To manage cash flow, the Company typically uses upfront cash for materials and services and offsets this with down payments or progress payments from customers.</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2026, the Company had $6.7 million in retainage on long-term contracts included in receivables and contract assets, which is expected to be collected within one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and Capital Uses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capital allocation strategy prioritizes funding operations and growth investments, maintaining prudent liquidity and leverage ratios that reflect the cyclical nature of our business, reducing debt, and returning excess cash to stockholders through dividends and share repurchases. During the first nine months of fiscal 2026 and fiscal 2025, we repurchased shares of the Company’s common stock, par value $0.00001 per share (“Common Stock”), but did not issue dividends.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strategies for business growth and profitability improvement rely on capital expenditures and strategic investments. We project total capital expenditures of approximately $15.1 million for fiscal 2026. These expenditures will support the acquisition of manufacturing equipment for new or enhanced product lines, expanded production capacity, and increased process automation. Additional investments will target quality and reliability testing equipment, demonstration and showroom assets, and continued upgrades to our information infrastructure.</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Beyond capital expenditures, we plan to invest in general and administrative functions to support our digital transformation initiatives. These include modernizing field service automation systems, enhancing enterprise performance planning, and streamlining quoting and sales processes. We also evaluate strategic investments in new technologies, affiliates, or potential acquisitions aligned with our business strategy. For fiscal 2026, future investments in our current affiliates are being reviewed on a quarterly basis by our Board of Directors (the “Board”).</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$190.0 million bonding line available through surety companies. If we were unable to complete the installation work, and our customer would call upon the bond for payment, the surety company would subrogate its loss to Daktronics. As of January 31, 2026, we had $66.0 million of bonded work outstanding.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fiscal 2026, there were no material changes in our contractual obligations. See the Form 10-K for additional information regarding our contractual obligations and commercial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describe our significant accounting policies in "Note 1. Nature of Business and Summary of Significant Accounting Policies" of the Notes to Consolidated Financial Statements included in the Form 10-K. We discuss our critical accounting estimates in "Part II, Item 7. Management’s Discussion and Analysis of Financial Condition and Results of Operations" in the Form 10-K. There have been no material changes to the significant accounting policies and critical accounting estimates identified in the Form 10-K during the first nine months of fiscal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certain interest rate, foreign currency, and commodity risks as disclosed in the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our exposure to the market risks identified in the Form 10-K during the first nine months of fiscal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our Company is responsible for establishing and maintaining effective disclosure controls and procedures as defined in Rules 13a-15(e) and 15d-15(e) under the Securities Exchange Act of 1934, as amended (the “Exchange Act”). We performed an evaluation under the supervision and with the participation of management, including our principal executive officer and principal financial officer, of the effectiveness of the design and operation of our disclosure controls and procedures as of January 31, 2026. Based upon that evaluation, our principal executive officer and principal financial officer concluded that as of January 31, 2026, our disclosure controls and procedures were effective at the reasonable assurance level to ensure information required to be disclosed in the Condensed Consolidated Financial Statements included in this Quarterly Report on Form 10-Q was recorded, processed, summarized, and reported within the time period required by the SEC's rules and forms and accumulated and communicated to management, including the principal executive officer and principal financial officer, to allow timely decisions regarding required disclosure.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believe the Condensed Consolidated Financial Statements included in this Quarterly Report on Form 10-Q fairly represent, in all material respects, our financial condition, results of operations and cash flows for the periods presented in conformity with GAAP.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principal executive officer and principal financial officer, of changes to our internal control over financial reporting (as defined in Rules 13a-15(f) and 15d-15(f) of the Exchange Act) that occurred during the quarter ended January 31, 2026. As a result of such evaluation, management of the Company concluded that, during the quarter ended January 31, 2026, there have been no changes in our internal control over financial reporting that have materially affected, or are reasonably likely to materially affect, our internal control over financial reporting.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9. Commitments and Contingencies” included in this Quarterly Report on Form 10-Q and “Note. 16. Commitments and Contingencies” included in the Form 10-K for further information on any legal proceedings and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Part I of the Form 10-K. They describe various risks and uncertainties to which we are or may become subject. These risks and uncertainties, together with other factors described elsewhere in this Quarterly Report on Form 10-Q,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 We review and, where applicable, update our risk factors each quarter. There have been no material changes from the risk factors disclosed in Item 1A. of Part I of the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2016, the Board authorized a share repurchase program (the “Repurchase Program”) under which the Company may repurchase up to $40.0 million of its outstanding Common Stock. On March 4, 2025, the Board approved a $10.0 million increase in the limit under the Repurchase Program. On June 23, 2025, the Board approved an additional $10.0 million increase in the limit under the Repurchase Program. On December 9, 2025, the Board approved an additional $20.0 million increase for a maximum authorized value of $80.0 million as of January 31, 2026.</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Repurchases under the Repurchase Program may be made from time to time in open market transactions or privately negotiated transactions, subject to business and market conditions, applicable legal requirements, and other relevant factors. The Repurchase Program does not obligate the Company to repurchase any specific number of shares, may be suspended or terminated at any time at the discretion of the Board, and has no fixed expiration date.</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January 31, 2026, the Company repurchased 1.3 million shares of Common Stock at a total cost of $22.8 million. As of January 31, 2026, $17.1 million of the $80.0 million authorized amount remained available for repurchase under the Repurchase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repurchases of Common Stock during the third quarter of fiscal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 2025 - November 29,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30, 2025 - December 27,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28, 2025 - January 31, 2026</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2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480" w:type="dxa"/>
            <w:vAlign w:val="bottom"/>
            <w:gridSpan w:val="2"/>
            <w:vMerge w:val="continue"/>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20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 that may yet be</w:t>
            </w:r>
          </w:p>
        </w:tc>
        <w:tc>
          <w:tcPr>
            <w:tcW w:w="0" w:type="dxa"/>
            <w:vAlign w:val="bottom"/>
          </w:tcPr>
          <w:p>
            <w:pPr>
              <w:spacing w:after="0"/>
              <w:rPr>
                <w:sz w:val="1"/>
                <w:szCs w:val="1"/>
                <w:color w:val="auto"/>
              </w:rPr>
            </w:pPr>
          </w:p>
        </w:tc>
      </w:tr>
      <w:tr>
        <w:trPr>
          <w:trHeight w:val="189"/>
        </w:trPr>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per share</w:t>
            </w:r>
          </w:p>
        </w:tc>
        <w:tc>
          <w:tcPr>
            <w:tcW w:w="1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160" w:type="dxa"/>
            <w:vAlign w:val="bottom"/>
          </w:tcPr>
          <w:p>
            <w:pPr>
              <w:spacing w:after="0"/>
              <w:rPr>
                <w:sz w:val="16"/>
                <w:szCs w:val="16"/>
                <w:color w:val="auto"/>
              </w:rPr>
            </w:pPr>
          </w:p>
        </w:tc>
        <w:tc>
          <w:tcPr>
            <w:tcW w:w="186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25"/>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(including fees)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60" w:type="dxa"/>
            <w:vAlign w:val="bottom"/>
          </w:tcPr>
          <w:p>
            <w:pPr>
              <w:spacing w:after="0"/>
              <w:rPr>
                <w:sz w:val="19"/>
                <w:szCs w:val="19"/>
                <w:color w:val="auto"/>
              </w:rPr>
            </w:pPr>
          </w:p>
        </w:tc>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plans or programs (1)</w:t>
            </w:r>
          </w:p>
        </w:tc>
        <w:tc>
          <w:tcPr>
            <w:tcW w:w="0" w:type="dxa"/>
            <w:vAlign w:val="bottom"/>
          </w:tcPr>
          <w:p>
            <w:pPr>
              <w:spacing w:after="0"/>
              <w:rPr>
                <w:sz w:val="1"/>
                <w:szCs w:val="1"/>
                <w:color w:val="auto"/>
              </w:rPr>
            </w:pPr>
          </w:p>
        </w:tc>
      </w:t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105,398</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5,720,810</w:t>
            </w:r>
          </w:p>
        </w:tc>
        <w:tc>
          <w:tcPr>
            <w:tcW w:w="0" w:type="dxa"/>
            <w:vAlign w:val="bottom"/>
          </w:tcPr>
          <w:p>
            <w:pPr>
              <w:spacing w:after="0"/>
              <w:rPr>
                <w:sz w:val="1"/>
                <w:szCs w:val="1"/>
                <w:color w:val="auto"/>
              </w:rPr>
            </w:pPr>
          </w:p>
        </w:tc>
      </w:tr>
      <w:tr>
        <w:trPr>
          <w:trHeight w:val="229"/>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25,720,810</w:t>
            </w:r>
          </w:p>
        </w:tc>
        <w:tc>
          <w:tcPr>
            <w:tcW w:w="0" w:type="dxa"/>
            <w:vAlign w:val="bottom"/>
          </w:tcPr>
          <w:p>
            <w:pPr>
              <w:spacing w:after="0"/>
              <w:rPr>
                <w:sz w:val="1"/>
                <w:szCs w:val="1"/>
                <w:color w:val="auto"/>
              </w:rPr>
            </w:pPr>
          </w:p>
        </w:tc>
      </w:tr>
      <w:tr>
        <w:trPr>
          <w:trHeight w:val="234"/>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442,103</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17,103,852</w:t>
            </w:r>
          </w:p>
        </w:tc>
        <w:tc>
          <w:tcPr>
            <w:tcW w:w="0" w:type="dxa"/>
            <w:vAlign w:val="bottom"/>
          </w:tcPr>
          <w:p>
            <w:pPr>
              <w:spacing w:after="0"/>
              <w:rPr>
                <w:sz w:val="1"/>
                <w:szCs w:val="1"/>
                <w:color w:val="auto"/>
              </w:rPr>
            </w:pPr>
          </w:p>
        </w:tc>
      </w:tr>
      <w:tr>
        <w:trPr>
          <w:trHeight w:val="22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547,501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547,501</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-625475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-334010</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121" w:right="339" w:bottom="1440" w:gutter="0" w:footer="0" w:header="0"/>
          <w:type w:val="continuous"/>
        </w:sectPr>
      </w:pPr>
    </w:p>
    <w:p>
      <w:pPr>
        <w:spacing w:after="0" w:line="92" w:lineRule="exact"/>
        <w:rPr>
          <w:sz w:val="20"/>
          <w:szCs w:val="20"/>
          <w:color w:val="auto"/>
        </w:rPr>
      </w:pPr>
    </w:p>
    <w:p>
      <w:pPr>
        <w:ind w:firstLine="8"/>
        <w:spacing w:after="0" w:line="282" w:lineRule="auto"/>
        <w:tabs>
          <w:tab w:leader="none" w:pos="2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repurchases described in the above table were made pursuant to the Repurchase Program authorized by the Board on June 17, 2016, as amended by the Board on March 4, 2025, June 23, 2025, and December 9,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withheld to satisfy statutory tax withholding requirements related to the vesting of share-based awards are not issued or considered repurchases of our Common Stock under our Repurchase Program and, therefore, are excluded from the table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8. Financing Agreements” of the Notes to our Condensed Consolidated Financial Statements included in this Quarterly Report on Form 10-Q for further information about the Repurchase program, including, but not limited to, restrictions on our ability to repurchase shares of Common Stock under the New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10b5-1 Trading Arrangements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31, 2026, no director or officer of the Company adopted or terminated a “Rule 10b5-1 trading arrangement” or “non-Rule 10b5-1 trading arrangement,” as such terms are defined in paragraphs (a) and (c), respectively, of Item 408 of Regulation S-K promulgated under the Securities Act.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filed as part of this Quarterly Report on Form 10-Q is set forth in the following Index to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001-38747 unless otherwise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0" w:type="dxa"/>
            <w:vAlign w:val="bottom"/>
            <w:tcBorders>
              <w:bottom w:val="single" w:sz="8" w:color="CCEEFF"/>
            </w:tcBorders>
            <w:gridSpan w:val="3"/>
            <w:shd w:val="clear" w:color="auto" w:fill="CCEEFF"/>
          </w:tcPr>
          <w:p>
            <w:pPr>
              <w:ind w:left="20"/>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560" w:type="dxa"/>
            <w:vAlign w:val="bottom"/>
            <w:tcBorders>
              <w:bottom w:val="single" w:sz="8" w:color="CCEEFF"/>
            </w:tcBorders>
            <w:shd w:val="clear" w:color="auto" w:fill="CCEEFF"/>
          </w:tcPr>
          <w:p>
            <w:pPr>
              <w:spacing w:after="0"/>
              <w:rPr>
                <w:sz w:val="21"/>
                <w:szCs w:val="21"/>
                <w:color w:val="auto"/>
              </w:rPr>
            </w:pPr>
          </w:p>
        </w:tc>
        <w:tc>
          <w:tcPr>
            <w:tcW w:w="8820" w:type="dxa"/>
            <w:vAlign w:val="bottom"/>
            <w:tcBorders>
              <w:bottom w:val="single" w:sz="8" w:color="0000FF"/>
            </w:tcBorders>
            <w:gridSpan w:val="21"/>
            <w:shd w:val="clear" w:color="auto" w:fill="CCEEFF"/>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Certificate of Incorporation of Daktronics, Inc., dated as of April 17, 2025 (incorporated by reference to Exhibit 3.2 to our</w:t>
              </w:r>
            </w:hyperlink>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820" w:type="dxa"/>
            <w:vAlign w:val="bottom"/>
            <w:tcBorders>
              <w:top w:val="single" w:sz="8" w:color="CCEEFF"/>
            </w:tcBorders>
            <w:gridSpan w:val="21"/>
            <w:shd w:val="clear" w:color="auto" w:fill="CCEEFF"/>
          </w:tcPr>
          <w:p>
            <w:pPr>
              <w:spacing w:after="0" w:line="136" w:lineRule="exact"/>
              <w:rPr>
                <w:rFonts w:ascii="Times New Roman" w:cs="Times New Roman" w:eastAsia="Times New Roman" w:hAnsi="Times New Roman"/>
                <w:sz w:val="15"/>
                <w:szCs w:val="15"/>
                <w:color w:val="0000FF"/>
              </w:rPr>
            </w:pPr>
            <w:hyperlink r:id="rId61">
              <w:r>
                <w:rPr>
                  <w:rFonts w:ascii="Times New Roman" w:cs="Times New Roman" w:eastAsia="Times New Roman" w:hAnsi="Times New Roman"/>
                  <w:sz w:val="15"/>
                  <w:szCs w:val="15"/>
                  <w:color w:val="0000FF"/>
                </w:rPr>
                <w:t>Current Report on Form 8-K filed with the SEC on April 18, 2025).</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80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gridSpan w:val="3"/>
          </w:tcPr>
          <w:p>
            <w:pPr>
              <w:ind w:left="20"/>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560" w:type="dxa"/>
            <w:vAlign w:val="bottom"/>
          </w:tcPr>
          <w:p>
            <w:pPr>
              <w:spacing w:after="0"/>
              <w:rPr>
                <w:sz w:val="18"/>
                <w:szCs w:val="18"/>
                <w:color w:val="auto"/>
              </w:rPr>
            </w:pPr>
          </w:p>
        </w:tc>
        <w:tc>
          <w:tcPr>
            <w:tcW w:w="8980" w:type="dxa"/>
            <w:vAlign w:val="bottom"/>
            <w:gridSpan w:val="29"/>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Bylaws of Daktronics, Inc., a Delaware Business Corporation Incorporated Under Delaware Law, dated as of April 17,</w:t>
              </w:r>
            </w:hyperlink>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940" w:type="dxa"/>
            <w:vAlign w:val="bottom"/>
            <w:tcBorders>
              <w:top w:val="single" w:sz="8" w:color="0000FF"/>
            </w:tcBorders>
            <w:gridSpan w:val="27"/>
          </w:tcPr>
          <w:p>
            <w:pPr>
              <w:spacing w:after="0" w:line="136" w:lineRule="exact"/>
              <w:rPr>
                <w:rFonts w:ascii="Times New Roman" w:cs="Times New Roman" w:eastAsia="Times New Roman" w:hAnsi="Times New Roman"/>
                <w:sz w:val="15"/>
                <w:szCs w:val="15"/>
                <w:color w:val="0000FF"/>
              </w:rPr>
            </w:pPr>
            <w:hyperlink r:id="rId62">
              <w:r>
                <w:rPr>
                  <w:rFonts w:ascii="Times New Roman" w:cs="Times New Roman" w:eastAsia="Times New Roman" w:hAnsi="Times New Roman"/>
                  <w:sz w:val="15"/>
                  <w:szCs w:val="15"/>
                  <w:color w:val="0000FF"/>
                </w:rPr>
                <w:t>2025 (incorporated by reference to Exhibit 3.3 to our Current Report on Form 8-K filed with the SEC on April 18, 2025).</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900" w:type="dxa"/>
            <w:vAlign w:val="bottom"/>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980" w:type="dxa"/>
            <w:vAlign w:val="bottom"/>
            <w:gridSpan w:val="29"/>
            <w:shd w:val="clear" w:color="auto" w:fill="CCEEFF"/>
          </w:tcPr>
          <w:p>
            <w:pPr>
              <w:spacing w:after="0" w:line="20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Credit Agreement, dated as of November 26, 2025, among Daktronics, Inc., the other Borrowers thereto, the other Loan</w:t>
              </w:r>
            </w:hyperlink>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8840" w:type="dxa"/>
            <w:vAlign w:val="bottom"/>
            <w:tcBorders>
              <w:top w:val="single" w:sz="8" w:color="0000FF"/>
              <w:bottom w:val="single" w:sz="8" w:color="0000FF"/>
            </w:tcBorders>
            <w:gridSpan w:val="22"/>
            <w:shd w:val="clear" w:color="auto" w:fill="CCEEFF"/>
          </w:tcPr>
          <w:p>
            <w:pPr>
              <w:spacing w:after="0" w:line="18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Parties thereto, the Lenders party thereto, and JPMorgan Chase Bank, N.A., in its capacity as administrative agent for the</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980" w:type="dxa"/>
            <w:vAlign w:val="bottom"/>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Lenders (incorporated by reference to Exhibit 10.1 to the Company’s Current Report on Form 8-K filed with the SEC on</w:t>
              </w:r>
            </w:hyperlink>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960" w:type="dxa"/>
            <w:vAlign w:val="bottom"/>
            <w:tcBorders>
              <w:top w:val="single" w:sz="8" w:color="0000FF"/>
            </w:tcBorders>
            <w:gridSpan w:val="28"/>
            <w:shd w:val="clear" w:color="auto" w:fill="CCEEFF"/>
          </w:tcPr>
          <w:p>
            <w:pPr>
              <w:spacing w:after="0" w:line="18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December 3, 2025).</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90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8980" w:type="dxa"/>
            <w:vAlign w:val="bottom"/>
            <w:gridSpan w:val="29"/>
          </w:tcPr>
          <w:p>
            <w:pPr>
              <w:spacing w:after="0" w:line="20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Pledge and Security Agreement, dated as of November 26, 2025, by and among Daktronics, Inc., Daktronics Installation,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880" w:type="dxa"/>
            <w:vAlign w:val="bottom"/>
            <w:tcBorders>
              <w:top w:val="single" w:sz="8" w:color="0000FF"/>
              <w:bottom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Inc., the other Grantors thereto, and JPMorgan Chase Bank, N.A., in its capacity as administrative agent for the Secured</w:t>
              </w:r>
            </w:hyperlink>
          </w:p>
        </w:tc>
        <w:tc>
          <w:tcPr>
            <w:tcW w:w="20" w:type="dxa"/>
            <w:vAlign w:val="bottom"/>
            <w:tcBorders>
              <w:top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980" w:type="dxa"/>
            <w:vAlign w:val="bottom"/>
            <w:gridSpan w:val="29"/>
          </w:tcPr>
          <w:p>
            <w:pPr>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Parties (incorporated by reference to Exhibit 10.2 to the Company’s Current Report on Form 8-K filed with the SEC on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8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December 3,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8980" w:type="dxa"/>
            <w:vAlign w:val="bottom"/>
            <w:gridSpan w:val="29"/>
            <w:shd w:val="clear" w:color="auto" w:fill="CCEEFF"/>
          </w:tcPr>
          <w:p>
            <w:pPr>
              <w:spacing w:after="0" w:line="189" w:lineRule="exact"/>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Letter Agreement, dated as of November 25, 2025, by and between Daktronics, Inc. and Ramesh Jayaraman (incorporated</w:t>
              </w:r>
            </w:hyperlink>
          </w:p>
        </w:tc>
        <w:tc>
          <w:tcPr>
            <w:tcW w:w="0" w:type="dxa"/>
            <w:vAlign w:val="bottom"/>
          </w:tcPr>
          <w:p>
            <w:pPr>
              <w:spacing w:after="0"/>
              <w:rPr>
                <w:sz w:val="1"/>
                <w:szCs w:val="1"/>
                <w:color w:val="auto"/>
              </w:rPr>
            </w:pPr>
          </w:p>
        </w:tc>
      </w:tr>
      <w:tr>
        <w:trPr>
          <w:trHeight w:val="68"/>
        </w:trPr>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240" w:type="dxa"/>
            <w:vAlign w:val="bottom"/>
            <w:tcBorders>
              <w:top w:val="single" w:sz="8" w:color="0000FF"/>
              <w:bottom w:val="single" w:sz="8" w:color="CCEEFF"/>
            </w:tcBorders>
            <w:shd w:val="clear" w:color="auto" w:fill="CCEEFF"/>
          </w:tcPr>
          <w:p>
            <w:pPr>
              <w:spacing w:after="0"/>
              <w:rPr>
                <w:sz w:val="5"/>
                <w:szCs w:val="5"/>
                <w:color w:val="auto"/>
              </w:rPr>
            </w:pPr>
          </w:p>
        </w:tc>
        <w:tc>
          <w:tcPr>
            <w:tcW w:w="80" w:type="dxa"/>
            <w:vAlign w:val="bottom"/>
            <w:tcBorders>
              <w:top w:val="single" w:sz="8" w:color="0000FF"/>
              <w:bottom w:val="single" w:sz="8" w:color="CCEEFF"/>
            </w:tcBorders>
            <w:shd w:val="clear" w:color="auto" w:fill="CCEEFF"/>
          </w:tcPr>
          <w:p>
            <w:pPr>
              <w:spacing w:after="0"/>
              <w:rPr>
                <w:sz w:val="5"/>
                <w:szCs w:val="5"/>
                <w:color w:val="auto"/>
              </w:rPr>
            </w:pPr>
          </w:p>
        </w:tc>
        <w:tc>
          <w:tcPr>
            <w:tcW w:w="560" w:type="dxa"/>
            <w:vAlign w:val="bottom"/>
            <w:tcBorders>
              <w:top w:val="single" w:sz="8" w:color="CCEEFF"/>
              <w:bottom w:val="single" w:sz="8" w:color="CCEEFF"/>
            </w:tcBorders>
            <w:shd w:val="clear" w:color="auto" w:fill="CCEEFF"/>
          </w:tcPr>
          <w:p>
            <w:pPr>
              <w:spacing w:after="0"/>
              <w:rPr>
                <w:sz w:val="5"/>
                <w:szCs w:val="5"/>
                <w:color w:val="auto"/>
              </w:rPr>
            </w:pPr>
          </w:p>
        </w:tc>
        <w:tc>
          <w:tcPr>
            <w:tcW w:w="20" w:type="dxa"/>
            <w:vAlign w:val="bottom"/>
            <w:tcBorders>
              <w:top w:val="single" w:sz="8" w:color="CCEEFF"/>
              <w:bottom w:val="single" w:sz="8" w:color="CCEEFF"/>
            </w:tcBorders>
            <w:vMerge w:val="restart"/>
            <w:shd w:val="clear" w:color="auto" w:fill="CCEEFF"/>
          </w:tcPr>
          <w:p>
            <w:pPr>
              <w:spacing w:after="0"/>
              <w:rPr>
                <w:sz w:val="5"/>
                <w:szCs w:val="5"/>
                <w:color w:val="auto"/>
              </w:rPr>
            </w:pPr>
          </w:p>
        </w:tc>
        <w:tc>
          <w:tcPr>
            <w:tcW w:w="8500" w:type="dxa"/>
            <w:vAlign w:val="bottom"/>
            <w:tcBorders>
              <w:top w:val="single" w:sz="8" w:color="CCEEFF"/>
              <w:bottom w:val="single" w:sz="8" w:color="CCEEFF"/>
            </w:tcBorders>
            <w:gridSpan w:val="17"/>
            <w:vMerge w:val="restart"/>
            <w:shd w:val="clear" w:color="auto" w:fill="CCEEFF"/>
          </w:tcPr>
          <w:p>
            <w:pPr>
              <w:spacing w:after="0" w:line="189"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by reference to Exhibit 10.1 to the Company’s Current Report on Form 8-K filed with the SEC on December 3, 2025).</w:t>
              </w:r>
            </w:hyperlink>
          </w:p>
        </w:tc>
        <w:tc>
          <w:tcPr>
            <w:tcW w:w="140" w:type="dxa"/>
            <w:vAlign w:val="bottom"/>
            <w:tcBorders>
              <w:top w:val="single" w:sz="8" w:color="CCEEFF"/>
              <w:bottom w:val="single" w:sz="8" w:color="0000FF"/>
            </w:tcBorders>
            <w:shd w:val="clear" w:color="auto" w:fill="CCEEFF"/>
          </w:tcPr>
          <w:p>
            <w:pPr>
              <w:jc w:val="right"/>
              <w:spacing w:after="0" w:line="48" w:lineRule="exact"/>
              <w:rPr>
                <w:rFonts w:ascii="Times New Roman" w:cs="Times New Roman" w:eastAsia="Times New Roman" w:hAnsi="Times New Roman"/>
                <w:sz w:val="5"/>
                <w:szCs w:val="5"/>
                <w:color w:val="0000FF"/>
              </w:rPr>
            </w:pPr>
            <w:hyperlink r:id="rId65">
              <w:r>
                <w:rPr>
                  <w:rFonts w:ascii="Times New Roman" w:cs="Times New Roman" w:eastAsia="Times New Roman" w:hAnsi="Times New Roman"/>
                  <w:sz w:val="5"/>
                  <w:szCs w:val="5"/>
                  <w:color w:val="0000FF"/>
                </w:rPr>
                <w:t>(3)</w:t>
              </w:r>
            </w:hyperlink>
          </w:p>
        </w:tc>
        <w:tc>
          <w:tcPr>
            <w:tcW w:w="240" w:type="dxa"/>
            <w:vAlign w:val="bottom"/>
            <w:tcBorders>
              <w:top w:val="single" w:sz="8" w:color="CCEEFF"/>
              <w:bottom w:val="single" w:sz="8" w:color="CCEEFF"/>
            </w:tcBorders>
            <w:gridSpan w:val="6"/>
            <w:vMerge w:val="restart"/>
            <w:shd w:val="clear" w:color="auto" w:fill="CCEEFF"/>
          </w:tcPr>
          <w:p>
            <w:pPr>
              <w:spacing w:after="0"/>
              <w:rPr>
                <w:sz w:val="5"/>
                <w:szCs w:val="5"/>
                <w:color w:val="auto"/>
              </w:rPr>
            </w:pPr>
          </w:p>
        </w:tc>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60" w:type="dxa"/>
            <w:vAlign w:val="bottom"/>
            <w:tcBorders>
              <w:top w:val="single" w:sz="8" w:color="CCEEFF"/>
              <w:bottom w:val="single" w:sz="8" w:color="CCEEFF"/>
            </w:tcBorders>
            <w:gridSpan w:val="3"/>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vMerge w:val="continue"/>
            <w:shd w:val="clear" w:color="auto" w:fill="CCEEFF"/>
          </w:tcPr>
          <w:p>
            <w:pPr>
              <w:spacing w:after="0"/>
              <w:rPr>
                <w:sz w:val="12"/>
                <w:szCs w:val="12"/>
                <w:color w:val="auto"/>
              </w:rPr>
            </w:pPr>
          </w:p>
        </w:tc>
        <w:tc>
          <w:tcPr>
            <w:tcW w:w="8500" w:type="dxa"/>
            <w:vAlign w:val="bottom"/>
            <w:tcBorders>
              <w:bottom w:val="single" w:sz="8" w:color="0000FF"/>
            </w:tcBorders>
            <w:gridSpan w:val="17"/>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6"/>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900" w:type="dxa"/>
            <w:vAlign w:val="bottom"/>
            <w:tcBorders>
              <w:top w:val="single" w:sz="8" w:color="CCEEFF"/>
            </w:tcBorders>
            <w:gridSpan w:val="4"/>
          </w:tcPr>
          <w:p>
            <w:pPr>
              <w:ind w:left="20"/>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8980" w:type="dxa"/>
            <w:vAlign w:val="bottom"/>
            <w:tcBorders>
              <w:top w:val="single" w:sz="8" w:color="CCEEFF"/>
            </w:tcBorders>
            <w:gridSpan w:val="29"/>
          </w:tcPr>
          <w:p>
            <w:pPr>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Separation and Release Agreement, effective January 31, 2026, by and between Carla S. Gatzke and Daktronics, Inc.</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(incorporated by reference to Exhibit 10.1 to the Company’s Current Report on Form 8-K filed with the SEC on January</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720" w:type="dxa"/>
            <w:vAlign w:val="bottom"/>
            <w:gridSpan w:val="3"/>
            <w:vMerge w:val="restart"/>
          </w:tcPr>
          <w:p>
            <w:pPr>
              <w:spacing w:after="0"/>
              <w:rPr>
                <w:rFonts w:ascii="Times New Roman" w:cs="Times New Roman" w:eastAsia="Times New Roman" w:hAnsi="Times New Roman"/>
                <w:sz w:val="18"/>
                <w:szCs w:val="18"/>
                <w:color w:val="0000FF"/>
                <w:w w:val="95"/>
              </w:rPr>
            </w:pPr>
            <w:hyperlink r:id="rId66">
              <w:r>
                <w:rPr>
                  <w:rFonts w:ascii="Times New Roman" w:cs="Times New Roman" w:eastAsia="Times New Roman" w:hAnsi="Times New Roman"/>
                  <w:sz w:val="18"/>
                  <w:szCs w:val="18"/>
                  <w:color w:val="0000FF"/>
                  <w:w w:val="95"/>
                </w:rPr>
                <w:t>21, 2026).</w:t>
              </w:r>
            </w:hyperlink>
          </w:p>
        </w:tc>
        <w:tc>
          <w:tcPr>
            <w:tcW w:w="140" w:type="dxa"/>
            <w:vAlign w:val="bottom"/>
            <w:tcBorders>
              <w:bottom w:val="single" w:sz="8" w:color="0000FF"/>
            </w:tcBorders>
          </w:tcPr>
          <w:p>
            <w:pPr>
              <w:jc w:val="right"/>
              <w:spacing w:after="0" w:line="75" w:lineRule="exact"/>
              <w:rPr>
                <w:rFonts w:ascii="Times New Roman" w:cs="Times New Roman" w:eastAsia="Times New Roman" w:hAnsi="Times New Roman"/>
                <w:sz w:val="8"/>
                <w:szCs w:val="8"/>
                <w:color w:val="0000FF"/>
              </w:rPr>
            </w:pPr>
            <w:hyperlink r:id="rId66">
              <w:r>
                <w:rPr>
                  <w:rFonts w:ascii="Times New Roman" w:cs="Times New Roman" w:eastAsia="Times New Roman" w:hAnsi="Times New Roman"/>
                  <w:sz w:val="8"/>
                  <w:szCs w:val="8"/>
                  <w:color w:val="0000FF"/>
                </w:rPr>
                <w:t>(3)</w:t>
              </w:r>
            </w:hyperlink>
          </w:p>
        </w:tc>
        <w:tc>
          <w:tcPr>
            <w:tcW w:w="18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720" w:type="dxa"/>
            <w:vAlign w:val="bottom"/>
            <w:tcBorders>
              <w:bottom w:val="single" w:sz="8" w:color="0000FF"/>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8980" w:type="dxa"/>
            <w:vAlign w:val="bottom"/>
            <w:gridSpan w:val="29"/>
            <w:shd w:val="clear" w:color="auto" w:fill="CCEEFF"/>
          </w:tcPr>
          <w:p>
            <w:pPr>
              <w:spacing w:after="0" w:line="189" w:lineRule="exact"/>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Consulting Agreement, effective January 31, 2026, by and between Carla S. Gatzke and Daktronics, Inc. (incorporated by</w:t>
              </w:r>
            </w:hyperlink>
          </w:p>
        </w:tc>
        <w:tc>
          <w:tcPr>
            <w:tcW w:w="0" w:type="dxa"/>
            <w:vAlign w:val="bottom"/>
          </w:tcPr>
          <w:p>
            <w:pPr>
              <w:spacing w:after="0"/>
              <w:rPr>
                <w:sz w:val="1"/>
                <w:szCs w:val="1"/>
                <w:color w:val="auto"/>
              </w:rPr>
            </w:pPr>
          </w:p>
        </w:tc>
      </w:tr>
      <w:tr>
        <w:trPr>
          <w:trHeight w:val="68"/>
        </w:trPr>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240" w:type="dxa"/>
            <w:vAlign w:val="bottom"/>
            <w:tcBorders>
              <w:top w:val="single" w:sz="8" w:color="0000FF"/>
              <w:bottom w:val="single" w:sz="8" w:color="CCEEFF"/>
            </w:tcBorders>
            <w:shd w:val="clear" w:color="auto" w:fill="CCEEFF"/>
          </w:tcPr>
          <w:p>
            <w:pPr>
              <w:spacing w:after="0"/>
              <w:rPr>
                <w:sz w:val="5"/>
                <w:szCs w:val="5"/>
                <w:color w:val="auto"/>
              </w:rPr>
            </w:pPr>
          </w:p>
        </w:tc>
        <w:tc>
          <w:tcPr>
            <w:tcW w:w="80" w:type="dxa"/>
            <w:vAlign w:val="bottom"/>
            <w:tcBorders>
              <w:top w:val="single" w:sz="8" w:color="0000FF"/>
              <w:bottom w:val="single" w:sz="8" w:color="CCEEFF"/>
            </w:tcBorders>
            <w:shd w:val="clear" w:color="auto" w:fill="CCEEFF"/>
          </w:tcPr>
          <w:p>
            <w:pPr>
              <w:spacing w:after="0"/>
              <w:rPr>
                <w:sz w:val="5"/>
                <w:szCs w:val="5"/>
                <w:color w:val="auto"/>
              </w:rPr>
            </w:pPr>
          </w:p>
        </w:tc>
        <w:tc>
          <w:tcPr>
            <w:tcW w:w="560" w:type="dxa"/>
            <w:vAlign w:val="bottom"/>
            <w:tcBorders>
              <w:top w:val="single" w:sz="8" w:color="CCEEFF"/>
              <w:bottom w:val="single" w:sz="8" w:color="CCEEFF"/>
            </w:tcBorders>
            <w:shd w:val="clear" w:color="auto" w:fill="CCEEFF"/>
          </w:tcPr>
          <w:p>
            <w:pPr>
              <w:spacing w:after="0"/>
              <w:rPr>
                <w:sz w:val="5"/>
                <w:szCs w:val="5"/>
                <w:color w:val="auto"/>
              </w:rPr>
            </w:pPr>
          </w:p>
        </w:tc>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8180" w:type="dxa"/>
            <w:vAlign w:val="bottom"/>
            <w:tcBorders>
              <w:top w:val="single" w:sz="8" w:color="CCEEFF"/>
              <w:bottom w:val="single" w:sz="8" w:color="CCEEFF"/>
            </w:tcBorders>
            <w:gridSpan w:val="15"/>
            <w:vMerge w:val="restart"/>
            <w:shd w:val="clear" w:color="auto" w:fill="CCEEFF"/>
          </w:tcPr>
          <w:p>
            <w:pPr>
              <w:spacing w:after="0" w:line="189"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reference to Exhibit 10.2 to the Company’s Current Report on Form 8-K filed with the SEC on January 21, 2026).</w:t>
              </w:r>
            </w:hyperlink>
          </w:p>
        </w:tc>
        <w:tc>
          <w:tcPr>
            <w:tcW w:w="140" w:type="dxa"/>
            <w:vAlign w:val="bottom"/>
            <w:tcBorders>
              <w:top w:val="single" w:sz="8" w:color="CCEEFF"/>
              <w:bottom w:val="single" w:sz="8" w:color="0000FF"/>
            </w:tcBorders>
            <w:shd w:val="clear" w:color="auto" w:fill="CCEEFF"/>
          </w:tcPr>
          <w:p>
            <w:pPr>
              <w:jc w:val="right"/>
              <w:spacing w:after="0" w:line="48" w:lineRule="exact"/>
              <w:rPr>
                <w:rFonts w:ascii="Times New Roman" w:cs="Times New Roman" w:eastAsia="Times New Roman" w:hAnsi="Times New Roman"/>
                <w:sz w:val="5"/>
                <w:szCs w:val="5"/>
                <w:color w:val="0000FF"/>
              </w:rPr>
            </w:pPr>
            <w:hyperlink r:id="rId67">
              <w:r>
                <w:rPr>
                  <w:rFonts w:ascii="Times New Roman" w:cs="Times New Roman" w:eastAsia="Times New Roman" w:hAnsi="Times New Roman"/>
                  <w:sz w:val="5"/>
                  <w:szCs w:val="5"/>
                  <w:color w:val="0000FF"/>
                </w:rPr>
                <w:t>(3)</w:t>
              </w:r>
            </w:hyperlink>
          </w:p>
        </w:tc>
        <w:tc>
          <w:tcPr>
            <w:tcW w:w="540" w:type="dxa"/>
            <w:vAlign w:val="bottom"/>
            <w:tcBorders>
              <w:top w:val="single" w:sz="8" w:color="CCEEFF"/>
              <w:bottom w:val="single" w:sz="8" w:color="CCEEFF"/>
            </w:tcBorders>
            <w:gridSpan w:val="7"/>
            <w:vMerge w:val="restart"/>
            <w:shd w:val="clear" w:color="auto" w:fill="CCEEFF"/>
          </w:tcPr>
          <w:p>
            <w:pPr>
              <w:spacing w:after="0"/>
              <w:rPr>
                <w:sz w:val="5"/>
                <w:szCs w:val="5"/>
                <w:color w:val="auto"/>
              </w:rPr>
            </w:pPr>
          </w:p>
        </w:tc>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60" w:type="dxa"/>
            <w:vAlign w:val="bottom"/>
            <w:tcBorders>
              <w:top w:val="single" w:sz="8" w:color="CCEEFF"/>
              <w:bottom w:val="single" w:sz="8" w:color="CCEEFF"/>
            </w:tcBorders>
            <w:gridSpan w:val="3"/>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180" w:type="dxa"/>
            <w:vAlign w:val="bottom"/>
            <w:tcBorders>
              <w:bottom w:val="single" w:sz="8" w:color="0000FF"/>
            </w:tcBorders>
            <w:gridSpan w:val="15"/>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7"/>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00" w:type="dxa"/>
            <w:vAlign w:val="bottom"/>
            <w:tcBorders>
              <w:top w:val="single" w:sz="8" w:color="CCEEFF"/>
            </w:tcBorders>
            <w:gridSpan w:val="4"/>
          </w:tcPr>
          <w:p>
            <w:pPr>
              <w:ind w:left="20"/>
              <w:spacing w:after="0" w:line="20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8980" w:type="dxa"/>
            <w:vAlign w:val="bottom"/>
            <w:tcBorders>
              <w:top w:val="single" w:sz="8" w:color="CCEEFF"/>
            </w:tcBorders>
            <w:gridSpan w:val="29"/>
          </w:tcPr>
          <w:p>
            <w:pPr>
              <w:spacing w:after="0" w:line="20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Second Amendment to the Consulting Agreement, effective February 1, 2026, by and between Reece A. Kurtenbach and</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2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Daktronics, Inc. (incorporated by reference to Exhibit 10.1 to the Company’s Current Report on Form 8-K filed with the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920" w:type="dxa"/>
            <w:vAlign w:val="bottom"/>
            <w:gridSpan w:val="8"/>
            <w:vMerge w:val="restart"/>
          </w:tcPr>
          <w:p>
            <w:pPr>
              <w:spacing w:after="0"/>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SEC on February 2, 2026).</w:t>
              </w:r>
            </w:hyperlink>
          </w:p>
        </w:tc>
        <w:tc>
          <w:tcPr>
            <w:tcW w:w="140" w:type="dxa"/>
            <w:vAlign w:val="bottom"/>
            <w:tcBorders>
              <w:bottom w:val="single" w:sz="8" w:color="0000FF"/>
            </w:tcBorders>
          </w:tcPr>
          <w:p>
            <w:pPr>
              <w:jc w:val="right"/>
              <w:spacing w:after="0" w:line="75" w:lineRule="exact"/>
              <w:rPr>
                <w:rFonts w:ascii="Times New Roman" w:cs="Times New Roman" w:eastAsia="Times New Roman" w:hAnsi="Times New Roman"/>
                <w:sz w:val="8"/>
                <w:szCs w:val="8"/>
                <w:color w:val="0000FF"/>
              </w:rPr>
            </w:pPr>
            <w:hyperlink r:id="rId68">
              <w:r>
                <w:rPr>
                  <w:rFonts w:ascii="Times New Roman" w:cs="Times New Roman" w:eastAsia="Times New Roman" w:hAnsi="Times New Roman"/>
                  <w:sz w:val="8"/>
                  <w:szCs w:val="8"/>
                  <w:color w:val="0000FF"/>
                </w:rPr>
                <w:t>(3)</w:t>
              </w:r>
            </w:hyperlink>
          </w:p>
        </w:tc>
        <w:tc>
          <w:tcPr>
            <w:tcW w:w="4160" w:type="dxa"/>
            <w:vAlign w:val="bottom"/>
            <w:gridSpan w:val="4"/>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560" w:type="dxa"/>
            <w:vAlign w:val="bottom"/>
            <w:gridSpan w:val="6"/>
            <w:vMerge w:val="restart"/>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1920" w:type="dxa"/>
            <w:vAlign w:val="bottom"/>
            <w:tcBorders>
              <w:bottom w:val="single" w:sz="8" w:color="0000FF"/>
            </w:tcBorders>
            <w:gridSpan w:val="8"/>
            <w:vMerge w:val="continue"/>
          </w:tcPr>
          <w:p>
            <w:pPr>
              <w:spacing w:after="0"/>
              <w:rPr>
                <w:sz w:val="10"/>
                <w:szCs w:val="10"/>
                <w:color w:val="auto"/>
              </w:rPr>
            </w:pPr>
          </w:p>
        </w:tc>
        <w:tc>
          <w:tcPr>
            <w:tcW w:w="140" w:type="dxa"/>
            <w:vAlign w:val="bottom"/>
          </w:tcPr>
          <w:p>
            <w:pPr>
              <w:spacing w:after="0"/>
              <w:rPr>
                <w:sz w:val="10"/>
                <w:szCs w:val="10"/>
                <w:color w:val="auto"/>
              </w:rPr>
            </w:pPr>
          </w:p>
        </w:tc>
        <w:tc>
          <w:tcPr>
            <w:tcW w:w="4160" w:type="dxa"/>
            <w:vAlign w:val="bottom"/>
            <w:gridSpan w:val="4"/>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56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898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u w:val="single" w:color="auto"/>
                <w:color w:val="0000EE"/>
              </w:rPr>
              <w:t>Certification of the Chief Executive Officer required by Rule 13a-14(a) or Rule 15d-14(a) under the Securities Exchange</w:t>
            </w:r>
          </w:p>
        </w:tc>
        <w:tc>
          <w:tcPr>
            <w:tcW w:w="0" w:type="dxa"/>
            <w:vAlign w:val="bottom"/>
          </w:tcPr>
          <w:p>
            <w:pPr>
              <w:spacing w:after="0"/>
              <w:rPr>
                <w:sz w:val="1"/>
                <w:szCs w:val="1"/>
                <w:color w:val="auto"/>
              </w:rPr>
            </w:pPr>
          </w:p>
        </w:tc>
      </w:tr>
      <w:tr>
        <w:trPr>
          <w:trHeight w:val="68"/>
        </w:trPr>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240" w:type="dxa"/>
            <w:vAlign w:val="bottom"/>
            <w:tcBorders>
              <w:top w:val="single" w:sz="8" w:color="0000FF"/>
              <w:bottom w:val="single" w:sz="8" w:color="CCEEFF"/>
            </w:tcBorders>
            <w:shd w:val="clear" w:color="auto" w:fill="CCEEFF"/>
          </w:tcPr>
          <w:p>
            <w:pPr>
              <w:spacing w:after="0"/>
              <w:rPr>
                <w:sz w:val="5"/>
                <w:szCs w:val="5"/>
                <w:color w:val="auto"/>
              </w:rPr>
            </w:pPr>
          </w:p>
        </w:tc>
        <w:tc>
          <w:tcPr>
            <w:tcW w:w="80" w:type="dxa"/>
            <w:vAlign w:val="bottom"/>
            <w:tcBorders>
              <w:top w:val="single" w:sz="8" w:color="0000FF"/>
              <w:bottom w:val="single" w:sz="8" w:color="CCEEFF"/>
            </w:tcBorders>
            <w:shd w:val="clear" w:color="auto" w:fill="CCEEFF"/>
          </w:tcPr>
          <w:p>
            <w:pPr>
              <w:spacing w:after="0"/>
              <w:rPr>
                <w:sz w:val="5"/>
                <w:szCs w:val="5"/>
                <w:color w:val="auto"/>
              </w:rPr>
            </w:pPr>
          </w:p>
        </w:tc>
        <w:tc>
          <w:tcPr>
            <w:tcW w:w="560" w:type="dxa"/>
            <w:vAlign w:val="bottom"/>
            <w:tcBorders>
              <w:top w:val="single" w:sz="8" w:color="CCEEFF"/>
              <w:bottom w:val="single" w:sz="8" w:color="CCEEFF"/>
            </w:tcBorders>
            <w:shd w:val="clear" w:color="auto" w:fill="CCEEFF"/>
          </w:tcPr>
          <w:p>
            <w:pPr>
              <w:spacing w:after="0"/>
              <w:rPr>
                <w:sz w:val="5"/>
                <w:szCs w:val="5"/>
                <w:color w:val="auto"/>
              </w:rPr>
            </w:pPr>
          </w:p>
        </w:tc>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6100" w:type="dxa"/>
            <w:vAlign w:val="bottom"/>
            <w:tcBorders>
              <w:top w:val="single" w:sz="8" w:color="CCEEFF"/>
              <w:bottom w:val="single" w:sz="8" w:color="CCEEFF"/>
            </w:tcBorders>
            <w:gridSpan w:val="12"/>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Act of 1934, as adopted pursuant to Section 302 of the Sarbanes-Oxley Act of 2002.</w:t>
            </w:r>
          </w:p>
        </w:tc>
        <w:tc>
          <w:tcPr>
            <w:tcW w:w="140" w:type="dxa"/>
            <w:vAlign w:val="bottom"/>
            <w:tcBorders>
              <w:top w:val="single" w:sz="8" w:color="CCEEFF"/>
              <w:bottom w:val="single" w:sz="8" w:color="0000EE"/>
            </w:tcBorders>
            <w:gridSpan w:val="2"/>
            <w:shd w:val="clear" w:color="auto" w:fill="CCEEFF"/>
          </w:tcPr>
          <w:p>
            <w:pPr>
              <w:jc w:val="right"/>
              <w:spacing w:after="0" w:line="48" w:lineRule="exact"/>
              <w:rPr>
                <w:sz w:val="20"/>
                <w:szCs w:val="20"/>
                <w:color w:val="auto"/>
              </w:rPr>
            </w:pPr>
            <w:r>
              <w:rPr>
                <w:rFonts w:ascii="Times New Roman" w:cs="Times New Roman" w:eastAsia="Times New Roman" w:hAnsi="Times New Roman"/>
                <w:sz w:val="5"/>
                <w:szCs w:val="5"/>
                <w:color w:val="0000EE"/>
              </w:rPr>
              <w:t>(1)</w:t>
            </w:r>
          </w:p>
        </w:tc>
        <w:tc>
          <w:tcPr>
            <w:tcW w:w="2560" w:type="dxa"/>
            <w:vAlign w:val="bottom"/>
            <w:tcBorders>
              <w:top w:val="single" w:sz="8" w:color="CCEEFF"/>
              <w:bottom w:val="single" w:sz="8" w:color="CCEEFF"/>
            </w:tcBorders>
            <w:gridSpan w:val="6"/>
            <w:vMerge w:val="restart"/>
            <w:shd w:val="clear" w:color="auto" w:fill="CCEEFF"/>
          </w:tcPr>
          <w:p>
            <w:pPr>
              <w:spacing w:after="0"/>
              <w:rPr>
                <w:sz w:val="5"/>
                <w:szCs w:val="5"/>
                <w:color w:val="auto"/>
              </w:rPr>
            </w:pPr>
          </w:p>
        </w:tc>
        <w:tc>
          <w:tcPr>
            <w:tcW w:w="40" w:type="dxa"/>
            <w:vAlign w:val="bottom"/>
            <w:tcBorders>
              <w:top w:val="single" w:sz="8" w:color="CCEEFF"/>
              <w:bottom w:val="single" w:sz="8" w:color="CCEEFF"/>
            </w:tcBorders>
            <w:gridSpan w:val="2"/>
            <w:shd w:val="clear" w:color="auto" w:fill="CCEEFF"/>
          </w:tcPr>
          <w:p>
            <w:pPr>
              <w:spacing w:after="0"/>
              <w:rPr>
                <w:sz w:val="5"/>
                <w:szCs w:val="5"/>
                <w:color w:val="auto"/>
              </w:rPr>
            </w:pPr>
          </w:p>
        </w:tc>
        <w:tc>
          <w:tcPr>
            <w:tcW w:w="40" w:type="dxa"/>
            <w:vAlign w:val="bottom"/>
            <w:tcBorders>
              <w:top w:val="single" w:sz="8" w:color="CCEEFF"/>
              <w:bottom w:val="single" w:sz="8" w:color="CCEEFF"/>
            </w:tcBorders>
            <w:gridSpan w:val="2"/>
            <w:shd w:val="clear" w:color="auto" w:fill="CCEEFF"/>
          </w:tcPr>
          <w:p>
            <w:pPr>
              <w:spacing w:after="0"/>
              <w:rPr>
                <w:sz w:val="5"/>
                <w:szCs w:val="5"/>
                <w:color w:val="auto"/>
              </w:rPr>
            </w:pPr>
          </w:p>
        </w:tc>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60" w:type="dxa"/>
            <w:vAlign w:val="bottom"/>
            <w:tcBorders>
              <w:top w:val="single" w:sz="8" w:color="CCEEFF"/>
              <w:bottom w:val="single" w:sz="8" w:color="CCEEFF"/>
            </w:tcBorders>
            <w:gridSpan w:val="3"/>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100" w:type="dxa"/>
            <w:vAlign w:val="bottom"/>
            <w:tcBorders>
              <w:bottom w:val="single" w:sz="8" w:color="0000EE"/>
            </w:tcBorders>
            <w:gridSpan w:val="1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560" w:type="dxa"/>
            <w:vAlign w:val="bottom"/>
            <w:tcBorders>
              <w:bottom w:val="single" w:sz="8" w:color="CCEEFF"/>
            </w:tcBorders>
            <w:gridSpan w:val="6"/>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CCEEFF"/>
            </w:tcBorders>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8980" w:type="dxa"/>
            <w:vAlign w:val="bottom"/>
            <w:tcBorders>
              <w:top w:val="single" w:sz="8" w:color="CCEEFF"/>
            </w:tcBorders>
            <w:gridSpan w:val="29"/>
          </w:tcPr>
          <w:p>
            <w:pPr>
              <w:spacing w:after="0" w:line="189" w:lineRule="exact"/>
              <w:rPr>
                <w:sz w:val="20"/>
                <w:szCs w:val="20"/>
                <w:color w:val="auto"/>
              </w:rPr>
            </w:pPr>
            <w:r>
              <w:rPr>
                <w:rFonts w:ascii="Times New Roman" w:cs="Times New Roman" w:eastAsia="Times New Roman" w:hAnsi="Times New Roman"/>
                <w:sz w:val="18"/>
                <w:szCs w:val="18"/>
                <w:u w:val="single" w:color="auto"/>
                <w:color w:val="0000EE"/>
              </w:rPr>
              <w:t>Certification of the Chief Financial Officer required by Rule 13a-14(a) or Rule 15d-14(a) under the Securities Exchange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40" w:type="dxa"/>
            <w:vAlign w:val="bottom"/>
            <w:gridSpan w:val="11"/>
            <w:vMerge w:val="restart"/>
          </w:tcPr>
          <w:p>
            <w:pPr>
              <w:spacing w:after="0" w:line="189" w:lineRule="exact"/>
              <w:rPr>
                <w:sz w:val="20"/>
                <w:szCs w:val="20"/>
                <w:color w:val="auto"/>
              </w:rPr>
            </w:pPr>
            <w:r>
              <w:rPr>
                <w:rFonts w:ascii="Times New Roman" w:cs="Times New Roman" w:eastAsia="Times New Roman" w:hAnsi="Times New Roman"/>
                <w:sz w:val="18"/>
                <w:szCs w:val="18"/>
                <w:color w:val="0000EE"/>
                <w:w w:val="99"/>
              </w:rPr>
              <w:t>Act of 1934, as adopted pursuant to Section 302 of the Sarbanes-Oxley Act of 2002.</w:t>
            </w:r>
          </w:p>
        </w:tc>
        <w:tc>
          <w:tcPr>
            <w:tcW w:w="180" w:type="dxa"/>
            <w:vAlign w:val="bottom"/>
            <w:tcBorders>
              <w:bottom w:val="single" w:sz="8" w:color="0000EE"/>
            </w:tcBorders>
            <w:gridSpan w:val="2"/>
          </w:tcPr>
          <w:p>
            <w:pPr>
              <w:jc w:val="right"/>
              <w:spacing w:after="0" w:line="48" w:lineRule="exact"/>
              <w:rPr>
                <w:sz w:val="20"/>
                <w:szCs w:val="20"/>
                <w:color w:val="auto"/>
              </w:rPr>
            </w:pPr>
            <w:r>
              <w:rPr>
                <w:rFonts w:ascii="Times New Roman" w:cs="Times New Roman" w:eastAsia="Times New Roman" w:hAnsi="Times New Roman"/>
                <w:sz w:val="5"/>
                <w:szCs w:val="5"/>
                <w:color w:val="0000EE"/>
              </w:rPr>
              <w:t>(1)</w:t>
            </w:r>
          </w:p>
        </w:tc>
        <w:tc>
          <w:tcPr>
            <w:tcW w:w="2660" w:type="dxa"/>
            <w:vAlign w:val="bottom"/>
            <w:gridSpan w:val="11"/>
            <w:vMerge w:val="restart"/>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40" w:type="dxa"/>
            <w:vAlign w:val="bottom"/>
            <w:tcBorders>
              <w:bottom w:val="single" w:sz="8" w:color="0000EE"/>
            </w:tcBorders>
            <w:gridSpan w:val="11"/>
            <w:vMerge w:val="continue"/>
          </w:tcPr>
          <w:p>
            <w:pPr>
              <w:spacing w:after="0"/>
              <w:rPr>
                <w:sz w:val="8"/>
                <w:szCs w:val="8"/>
                <w:color w:val="auto"/>
              </w:rPr>
            </w:pPr>
          </w:p>
        </w:tc>
        <w:tc>
          <w:tcPr>
            <w:tcW w:w="180" w:type="dxa"/>
            <w:vAlign w:val="bottom"/>
            <w:gridSpan w:val="2"/>
          </w:tcPr>
          <w:p>
            <w:pPr>
              <w:spacing w:after="0"/>
              <w:rPr>
                <w:sz w:val="8"/>
                <w:szCs w:val="8"/>
                <w:color w:val="auto"/>
              </w:rPr>
            </w:pPr>
          </w:p>
        </w:tc>
        <w:tc>
          <w:tcPr>
            <w:tcW w:w="266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9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898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u w:val="single" w:color="auto"/>
                <w:color w:val="0000EE"/>
              </w:rPr>
              <w:t>Certification of the Chief Executive Officer pursuant to Section 906 of the Sarbanes-Oxley Act of 2002 (18 U.S.C.</w:t>
            </w:r>
          </w:p>
        </w:tc>
        <w:tc>
          <w:tcPr>
            <w:tcW w:w="0" w:type="dxa"/>
            <w:vAlign w:val="bottom"/>
          </w:tcPr>
          <w:p>
            <w:pPr>
              <w:spacing w:after="0"/>
              <w:rPr>
                <w:sz w:val="1"/>
                <w:szCs w:val="1"/>
                <w:color w:val="auto"/>
              </w:rPr>
            </w:pPr>
          </w:p>
        </w:tc>
      </w:tr>
      <w:tr>
        <w:trPr>
          <w:trHeight w:val="68"/>
        </w:trPr>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240" w:type="dxa"/>
            <w:vAlign w:val="bottom"/>
            <w:tcBorders>
              <w:top w:val="single" w:sz="8" w:color="0000FF"/>
              <w:bottom w:val="single" w:sz="8" w:color="CCEEFF"/>
            </w:tcBorders>
            <w:shd w:val="clear" w:color="auto" w:fill="CCEEFF"/>
          </w:tcPr>
          <w:p>
            <w:pPr>
              <w:spacing w:after="0"/>
              <w:rPr>
                <w:sz w:val="5"/>
                <w:szCs w:val="5"/>
                <w:color w:val="auto"/>
              </w:rPr>
            </w:pPr>
          </w:p>
        </w:tc>
        <w:tc>
          <w:tcPr>
            <w:tcW w:w="80" w:type="dxa"/>
            <w:vAlign w:val="bottom"/>
            <w:tcBorders>
              <w:top w:val="single" w:sz="8" w:color="0000FF"/>
              <w:bottom w:val="single" w:sz="8" w:color="CCEEFF"/>
            </w:tcBorders>
            <w:shd w:val="clear" w:color="auto" w:fill="CCEEFF"/>
          </w:tcPr>
          <w:p>
            <w:pPr>
              <w:spacing w:after="0"/>
              <w:rPr>
                <w:sz w:val="5"/>
                <w:szCs w:val="5"/>
                <w:color w:val="auto"/>
              </w:rPr>
            </w:pPr>
          </w:p>
        </w:tc>
        <w:tc>
          <w:tcPr>
            <w:tcW w:w="560" w:type="dxa"/>
            <w:vAlign w:val="bottom"/>
            <w:tcBorders>
              <w:top w:val="single" w:sz="8" w:color="CCEEFF"/>
              <w:bottom w:val="single" w:sz="8" w:color="CCEEFF"/>
            </w:tcBorders>
            <w:shd w:val="clear" w:color="auto" w:fill="CCEEFF"/>
          </w:tcPr>
          <w:p>
            <w:pPr>
              <w:spacing w:after="0"/>
              <w:rPr>
                <w:sz w:val="5"/>
                <w:szCs w:val="5"/>
                <w:color w:val="auto"/>
              </w:rPr>
            </w:pPr>
          </w:p>
        </w:tc>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1040" w:type="dxa"/>
            <w:vAlign w:val="bottom"/>
            <w:tcBorders>
              <w:top w:val="single" w:sz="8" w:color="CCEEFF"/>
              <w:bottom w:val="single" w:sz="8" w:color="CCEEFF"/>
            </w:tcBorders>
            <w:gridSpan w:val="5"/>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Section 1350).</w:t>
            </w:r>
          </w:p>
        </w:tc>
        <w:tc>
          <w:tcPr>
            <w:tcW w:w="160" w:type="dxa"/>
            <w:vAlign w:val="bottom"/>
            <w:tcBorders>
              <w:top w:val="single" w:sz="8" w:color="CCEEFF"/>
              <w:bottom w:val="single" w:sz="8" w:color="0000EE"/>
            </w:tcBorders>
            <w:shd w:val="clear" w:color="auto" w:fill="CCEEFF"/>
          </w:tcPr>
          <w:p>
            <w:pPr>
              <w:jc w:val="right"/>
              <w:spacing w:after="0" w:line="48" w:lineRule="exact"/>
              <w:rPr>
                <w:sz w:val="20"/>
                <w:szCs w:val="20"/>
                <w:color w:val="auto"/>
              </w:rPr>
            </w:pPr>
            <w:r>
              <w:rPr>
                <w:rFonts w:ascii="Times New Roman" w:cs="Times New Roman" w:eastAsia="Times New Roman" w:hAnsi="Times New Roman"/>
                <w:sz w:val="5"/>
                <w:szCs w:val="5"/>
                <w:color w:val="0000EE"/>
              </w:rPr>
              <w:t>(2)</w:t>
            </w:r>
          </w:p>
        </w:tc>
        <w:tc>
          <w:tcPr>
            <w:tcW w:w="7700" w:type="dxa"/>
            <w:vAlign w:val="bottom"/>
            <w:tcBorders>
              <w:top w:val="single" w:sz="8" w:color="CCEEFF"/>
              <w:bottom w:val="single" w:sz="8" w:color="CCEEFF"/>
            </w:tcBorders>
            <w:gridSpan w:val="19"/>
            <w:vMerge w:val="restart"/>
            <w:shd w:val="clear" w:color="auto" w:fill="CCEEFF"/>
          </w:tcPr>
          <w:p>
            <w:pPr>
              <w:spacing w:after="0"/>
              <w:rPr>
                <w:sz w:val="5"/>
                <w:szCs w:val="5"/>
                <w:color w:val="auto"/>
              </w:rPr>
            </w:pPr>
          </w:p>
        </w:tc>
        <w:tc>
          <w:tcPr>
            <w:tcW w:w="60" w:type="dxa"/>
            <w:vAlign w:val="bottom"/>
            <w:tcBorders>
              <w:top w:val="single" w:sz="8" w:color="CCEEFF"/>
              <w:bottom w:val="single" w:sz="8" w:color="CCEEFF"/>
            </w:tcBorders>
            <w:gridSpan w:val="3"/>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0000EE"/>
            </w:tcBorders>
            <w:gridSpan w:val="5"/>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700" w:type="dxa"/>
            <w:vAlign w:val="bottom"/>
            <w:tcBorders>
              <w:bottom w:val="single" w:sz="8" w:color="CCEEFF"/>
            </w:tcBorders>
            <w:gridSpan w:val="19"/>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CCEEFF"/>
            </w:tcBorders>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8980" w:type="dxa"/>
            <w:vAlign w:val="bottom"/>
            <w:tcBorders>
              <w:top w:val="single" w:sz="8" w:color="CCEEFF"/>
            </w:tcBorders>
            <w:gridSpan w:val="29"/>
          </w:tcPr>
          <w:p>
            <w:pPr>
              <w:spacing w:after="0" w:line="189" w:lineRule="exact"/>
              <w:rPr>
                <w:sz w:val="20"/>
                <w:szCs w:val="20"/>
                <w:color w:val="auto"/>
              </w:rPr>
            </w:pPr>
            <w:r>
              <w:rPr>
                <w:rFonts w:ascii="Times New Roman" w:cs="Times New Roman" w:eastAsia="Times New Roman" w:hAnsi="Times New Roman"/>
                <w:sz w:val="18"/>
                <w:szCs w:val="18"/>
                <w:u w:val="single" w:color="auto"/>
                <w:color w:val="0000EE"/>
              </w:rPr>
              <w:t>Certification of the Chief Financial Officer pursuant to Section 906 of the Sarbanes-Oxley Act of 2002 (18 U.S.C. Section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0000EE"/>
                <w:w w:val="90"/>
              </w:rPr>
              <w:t>1350).</w:t>
            </w:r>
          </w:p>
        </w:tc>
        <w:tc>
          <w:tcPr>
            <w:tcW w:w="180" w:type="dxa"/>
            <w:vAlign w:val="bottom"/>
            <w:tcBorders>
              <w:bottom w:val="single" w:sz="8" w:color="0000EE"/>
            </w:tcBorders>
          </w:tcPr>
          <w:p>
            <w:pPr>
              <w:jc w:val="right"/>
              <w:spacing w:after="0" w:line="48" w:lineRule="exact"/>
              <w:rPr>
                <w:sz w:val="20"/>
                <w:szCs w:val="20"/>
                <w:color w:val="auto"/>
              </w:rPr>
            </w:pPr>
            <w:r>
              <w:rPr>
                <w:rFonts w:ascii="Times New Roman" w:cs="Times New Roman" w:eastAsia="Times New Roman" w:hAnsi="Times New Roman"/>
                <w:sz w:val="5"/>
                <w:szCs w:val="5"/>
                <w:color w:val="0000EE"/>
              </w:rPr>
              <w:t>(2)</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0000EE"/>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9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6189345"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189345" cy="162560"/>
                    </a:xfrm>
                    <a:prstGeom prst="rect">
                      <a:avLst/>
                    </a:prstGeom>
                    <a:noFill/>
                  </pic:spPr>
                </pic:pic>
              </a:graphicData>
            </a:graphic>
          </wp:anchor>
        </w:drawing>
      </w:r>
    </w:p>
    <w:p>
      <w:pPr>
        <w:spacing w:after="0" w:line="2" w:lineRule="exact"/>
        <w:rPr>
          <w:sz w:val="20"/>
          <w:szCs w:val="20"/>
          <w:color w:val="auto"/>
        </w:rPr>
      </w:pPr>
    </w:p>
    <w:p>
      <w:pPr>
        <w:ind w:left="900" w:hanging="87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49"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63"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electronically.</w:t>
      </w:r>
    </w:p>
    <w:p>
      <w:pPr>
        <w:spacing w:after="0" w:line="63"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u w:val="single" w:color="auto"/>
          <w:color w:val="auto"/>
        </w:rPr>
        <w:t>Daktronics, Inc.</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 Howard I. Atkins</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Howard I. Atkins</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2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Date: March 4,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Ramesh Jayaraman, certify that:</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31, 2026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Ramesh Jayaraman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Ramesh Jayaraman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4, 2026</w:t>
      </w:r>
    </w:p>
    <w:p>
      <w:pPr>
        <w:sectPr>
          <w:pgSz w:w="11900" w:h="16838" w:orient="portrait"/>
          <w:cols w:equalWidth="0" w:num="1">
            <w:col w:w="11240"/>
          </w:cols>
          <w:pgMar w:left="320" w:top="93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Howard I. Atkins,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31, 2026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Howard I. Atkins</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Howard I. Atkins</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50" w:lineRule="exact"/>
        <w:rPr>
          <w:sz w:val="20"/>
          <w:szCs w:val="20"/>
          <w:color w:val="auto"/>
        </w:rPr>
      </w:pPr>
    </w:p>
    <w:p>
      <w:pPr>
        <w:ind w:left="5680"/>
        <w:spacing w:after="0"/>
        <w:tabs>
          <w:tab w:leader="none" w:pos="8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4, 2026</w:t>
      </w:r>
    </w:p>
    <w:p>
      <w:pPr>
        <w:sectPr>
          <w:pgSz w:w="11900" w:h="16838" w:orient="portrait"/>
          <w:cols w:equalWidth="0" w:num="1">
            <w:col w:w="11240"/>
          </w:cols>
          <w:pgMar w:left="320" w:top="93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31, 2026 as filed with the Securities and Exchange Commission on the date hereof (the “Report”), I, Ramesh Jayaraman,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Ramesh Jayaraman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Ramesh Jayaraman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4, 2026</w:t>
      </w:r>
    </w:p>
    <w:p>
      <w:pPr>
        <w:sectPr>
          <w:pgSz w:w="11900" w:h="16838" w:orient="portrait"/>
          <w:cols w:equalWidth="0" w:num="1">
            <w:col w:w="11240"/>
          </w:cols>
          <w:pgMar w:left="320" w:top="93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31, 2026 as filed with the Securities and Exchange Commission on the date hereof (the “Report”), I, Howard I. Atkins, Acting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Howard I. Atkins</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Howard I. Atkins</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50" w:lineRule="exact"/>
        <w:rPr>
          <w:sz w:val="20"/>
          <w:szCs w:val="20"/>
          <w:color w:val="auto"/>
        </w:rPr>
      </w:pPr>
    </w:p>
    <w:p>
      <w:pPr>
        <w:ind w:left="5980"/>
        <w:spacing w:after="0"/>
        <w:tabs>
          <w:tab w:leader="none" w:pos="92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4, 2026</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04"/>
    </w:lvl>
    <w:lvl w:ilvl="1">
      <w:lvlJc w:val="left"/>
      <w:lvlText w:val="(%2)"/>
      <w:numFmt w:val="decimal"/>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61" Type="http://schemas.openxmlformats.org/officeDocument/2006/relationships/hyperlink" Target="https://www.sec.gov/Archives/edgar/data/915779/000119312525084867/d894627dex32.htm" TargetMode="External"/><Relationship Id="rId62" Type="http://schemas.openxmlformats.org/officeDocument/2006/relationships/hyperlink" Target="https://www.sec.gov/Archives/edgar/data/915779/000119312525084867/d894627dex33.htm" TargetMode="External"/><Relationship Id="rId63" Type="http://schemas.openxmlformats.org/officeDocument/2006/relationships/hyperlink" Target="https://www.sec.gov/Archives/edgar/data/915779/000162828025055114/executed2025creditagreem.htm" TargetMode="External"/><Relationship Id="rId64" Type="http://schemas.openxmlformats.org/officeDocument/2006/relationships/hyperlink" Target="https://www.sec.gov/Archives/edgar/data/915779/000162828025055114/executed2025pledgeandsec.htm" TargetMode="External"/><Relationship Id="rId65" Type="http://schemas.openxmlformats.org/officeDocument/2006/relationships/hyperlink" Target="https://www.sec.gov/Archives/edgar/data/915779/000162828025054909/rameshjayaraman_offerlette.htm" TargetMode="External"/><Relationship Id="rId66" Type="http://schemas.openxmlformats.org/officeDocument/2006/relationships/hyperlink" Target="https://www.sec.gov/Archives/edgar/data/915779/000162828026002798/daktronics-separationandre.htm" TargetMode="External"/><Relationship Id="rId67" Type="http://schemas.openxmlformats.org/officeDocument/2006/relationships/hyperlink" Target="https://www.sec.gov/Archives/edgar/data/915779/000162828026002798/daktronics-consultingagree.htm" TargetMode="External"/><Relationship Id="rId68" Type="http://schemas.openxmlformats.org/officeDocument/2006/relationships/hyperlink" Target="https://www.sec.gov/Archives/edgar/data/915779/000162828026004636/secondamendment_toxconsul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2026-03-04T14:20:23Z</dcterms:created>
  <dcterms:modified xsi:type="dcterms:W3CDTF">2026-03-04T14:20:23Z</dcterms:modified>
</cp:coreProperties>
</file>