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345440</wp:posOffset>
            </wp:positionV>
            <wp:extent cx="109728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001-38747</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52"/>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31"/>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 Daktronics Drive</w:t>
            </w:r>
          </w:p>
        </w:tc>
        <w:tc>
          <w:tcPr>
            <w:tcW w:w="188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Brookings, SD 57006</w:t>
            </w:r>
          </w:p>
        </w:tc>
        <w:tc>
          <w:tcPr>
            <w:tcW w:w="1880" w:type="dxa"/>
            <w:vAlign w:val="bottom"/>
          </w:tcPr>
          <w:p>
            <w:pPr>
              <w:spacing w:after="0"/>
              <w:rPr>
                <w:sz w:val="19"/>
                <w:szCs w:val="19"/>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880" w:type="dxa"/>
            <w:vAlign w:val="bottom"/>
          </w:tcPr>
          <w:p>
            <w:pPr>
              <w:spacing w:after="0"/>
              <w:rPr>
                <w:sz w:val="20"/>
                <w:szCs w:val="20"/>
                <w:color w:val="auto"/>
              </w:rPr>
            </w:pPr>
          </w:p>
        </w:tc>
      </w:tr>
      <w:tr>
        <w:trPr>
          <w:trHeight w:val="414"/>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188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80" w:type="dxa"/>
            <w:vAlign w:val="bottom"/>
          </w:tcPr>
          <w:p>
            <w:pPr>
              <w:spacing w:after="0"/>
              <w:rPr>
                <w:sz w:val="20"/>
                <w:szCs w:val="20"/>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60" w:type="dxa"/>
            <w:vAlign w:val="bottom"/>
            <w:tcBorders>
              <w:top w:val="single" w:sz="8" w:color="auto"/>
              <w:left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$0.00001 Par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DAKT</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60"/>
          </w:cols>
          <w:pgMar w:left="320" w:top="1402" w:right="319" w:bottom="5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4340"/>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4, 2026, Daktronics Inc. (the “Company”) issued a press release announcing its financial results for the fiscal quarter ended January 31, 2026 (the “Press Release”). A copy of the Press Release is furnished with this Current Report on Form 8-K (this “Report”) as Exhibit 99.1 and is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Report, including the Press Release, is being furnished and shall not be deemed to be “filed” for purposes of Section 18 of the Securities Exchange Act of 1934, as amended (the “Exchange Act”), or otherwise be subject to liability under that section, nor shall such information be deemed incorporated by reference in any filing under the Securities Act of 1933, as amended, or the Exchange Act, regardless of any general incorporation language in such filing, except as shall be expressly set forth by specific reference in such filing.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 Exhibits. The following exhibit is furnished as part of this Report:</w:t>
      </w:r>
    </w:p>
    <w:p>
      <w:pPr>
        <w:spacing w:after="0" w:line="279" w:lineRule="exact"/>
        <w:rPr>
          <w:sz w:val="20"/>
          <w:szCs w:val="20"/>
          <w:color w:val="auto"/>
        </w:rPr>
      </w:pPr>
    </w:p>
    <w:p>
      <w:pPr>
        <w:ind w:left="840"/>
        <w:spacing w:after="0"/>
        <w:tabs>
          <w:tab w:leader="none" w:pos="20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60090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u w:val="single" w:color="auto"/>
          <w:color w:val="0000FF"/>
        </w:rPr>
        <w:t>99.1  Press Release dated March 4, 2026, issued by Daktronics, Inc. regarding third quarter fiscal 2026 results.</w:t>
      </w:r>
    </w:p>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2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6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Howard I. Atkins</w:t>
      </w:r>
    </w:p>
    <w:p>
      <w:pPr>
        <w:spacing w:after="0" w:line="6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6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Date: March 4, 2026</w:t>
      </w:r>
    </w:p>
    <w:p>
      <w:pPr>
        <w:sectPr>
          <w:pgSz w:w="11900" w:h="16838" w:orient="portrait"/>
          <w:cols w:equalWidth="0" w:num="1">
            <w:col w:w="11240"/>
          </w:cols>
          <w:pgMar w:left="320" w:top="927" w:right="339" w:bottom="1440" w:gutter="0" w:footer="0" w:header="0"/>
        </w:sectPr>
      </w:pPr>
    </w:p>
    <w:bookmarkStart w:id="4" w:name="page5"/>
    <w:bookmarkEnd w:id="4"/>
    <w:p>
      <w:pPr>
        <w:spacing w:after="0" w:line="21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85875"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Daktronics, Inc. Announces 2026 Fiscal Third Quarter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+22% YoY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Orders +8% YoY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Backlog entering Q4 of $342 million, up 25% from prior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and financial results on track with long-term financial goals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BROOKINGS, S.D., March 4, 2026 – Daktronics, Inc. (NASDAQ: DAKT) (the “Company”, “Daktronics”, “we”, or “us”), a recognized industry leader in the design and manufacturing of best-in-class dynamic video communication displays and control systems for customers worldwide, today reported results for its fiscal 2026 third quarter which ended January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Q3 2026 financial highlights include:</w:t>
      </w:r>
    </w:p>
    <w:p>
      <w:pPr>
        <w:spacing w:after="0" w:line="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Sales of $181.9 million, 21.6% growth from $149.5 million for the third quarter of fiscal 2025</w:t>
      </w:r>
    </w:p>
    <w:p>
      <w:pPr>
        <w:spacing w:after="0" w:line="9" w:lineRule="exact"/>
        <w:rPr>
          <w:rFonts w:ascii="Times New Roman" w:cs="Times New Roman" w:eastAsia="Times New Roman" w:hAnsi="Times New Roman"/>
          <w:sz w:val="18"/>
          <w:szCs w:val="18"/>
          <w:b w:val="1"/>
          <w:bCs w:val="1"/>
          <w:i w:val="1"/>
          <w:iCs w:val="1"/>
          <w:color w:val="auto"/>
        </w:rPr>
      </w:pPr>
    </w:p>
    <w:p>
      <w:pPr>
        <w:ind w:left="660" w:hanging="328"/>
        <w:spacing w:after="0" w:line="22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to $1.9 million, compared to operating loss of $3.6 million for the third quarter of fiscal 2025; 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$4.0 million, compared to $1.2 million in the prior-year quarter</w:t>
      </w:r>
    </w:p>
    <w:p>
      <w:pPr>
        <w:spacing w:after="0" w:line="1" w:lineRule="exact"/>
        <w:rPr>
          <w:rFonts w:ascii="Times New Roman" w:cs="Times New Roman" w:eastAsia="Times New Roman" w:hAnsi="Times New Roman"/>
          <w:sz w:val="18"/>
          <w:szCs w:val="18"/>
          <w:color w:val="auto"/>
        </w:rPr>
      </w:pPr>
    </w:p>
    <w:p>
      <w:pPr>
        <w:ind w:left="660" w:right="20" w:hanging="328"/>
        <w:spacing w:after="0" w:line="21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as a percentage of net sales was 1.1%, compared to an operating loss of 2.4% for the third quarter of fiscal 2025; adjusted operating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as a percentage of sales was 2.2%, compared to an adjusted operating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0.8% in the prior-year quarter</w:t>
      </w:r>
    </w:p>
    <w:p>
      <w:pPr>
        <w:spacing w:after="0" w:line="1" w:lineRule="exact"/>
        <w:rPr>
          <w:rFonts w:ascii="Times New Roman" w:cs="Times New Roman" w:eastAsia="Times New Roman" w:hAnsi="Times New Roman"/>
          <w:sz w:val="18"/>
          <w:szCs w:val="18"/>
          <w:color w:val="auto"/>
        </w:rPr>
      </w:pPr>
    </w:p>
    <w:p>
      <w:pPr>
        <w:ind w:left="660" w:right="20" w:hanging="328"/>
        <w:spacing w:after="0" w:line="219" w:lineRule="auto"/>
        <w:tabs>
          <w:tab w:leader="none" w:pos="65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New orders for products and services rose to $201.1 million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quarter, compared to $186.9 million from the third quarter of fiscal 2025, up 7.6%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backlog increased to $342.3 million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quarter, up 25.3% from $273.2 million at the end of the third quarter of fiscal 2025</w:t>
      </w:r>
    </w:p>
    <w:p>
      <w:pPr>
        <w:spacing w:after="0" w:line="1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Ramesh Jayaraman, Daktronics</w:t>
      </w:r>
      <w:r>
        <w:rPr>
          <w:rFonts w:ascii="Arial" w:cs="Arial" w:eastAsia="Arial" w:hAnsi="Arial"/>
          <w:sz w:val="18"/>
          <w:szCs w:val="18"/>
          <w:color w:val="auto"/>
        </w:rPr>
        <w:t>ʹ</w:t>
      </w:r>
      <w:r>
        <w:rPr>
          <w:rFonts w:ascii="Times New Roman" w:cs="Times New Roman" w:eastAsia="Times New Roman" w:hAnsi="Times New Roman"/>
          <w:sz w:val="18"/>
          <w:szCs w:val="18"/>
          <w:color w:val="auto"/>
        </w:rPr>
        <w:t xml:space="preserve"> President and Chief Executive Officer, commented, “Our team continued to execute well during the fiscal third quarter, driving year-over-year revenue growth of 21.6 percent and more than tripling adjusted operating income through value-based pricing and operational efficiencies. The quarter unfolded as we expected, with efficient order conversion to revenue and the commencement of five MLB stadium projects with planned installation this spring. New orders grew 7.6 percent, supported by order growth in High School Parks and Recreation, particularly through video scoreboards, record order bookings in Transportation led by the aviation sector, and continued success in stadium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Daktronics’ product backlog of $342.3 million at quarter end provides continued strong tailwind for future revenue growth. The Company has moved through the seasonally slower third fiscal quarter with strong year-over-year growth and continued momentum leading into the final quarter of fiscal 2026.</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Daktronics remains agile and ready to implement measures to maintain profitability in the dynamic global trade environment. We continue to monitor the evolving tariff landscape and inflationary electronic component cost landscape and are taking actions accordingly in pricing, supply chain and contractual protections.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3" w:lineRule="auto"/>
        <w:tabs>
          <w:tab w:leader="none" w:pos="18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adjusted operating margin, and adjusted net income are not measures defined by accounting principles generally accepted in the United States of America ("GAAP"), to report our results exclusive of items that are non-recurring or not core to our operating business. We believe presenting this non-GAAP financial measurement provides investors with a consistent way to analyze our performance. For more information, see the supplemental calculation contained later in this release.</w:t>
      </w:r>
    </w:p>
    <w:p>
      <w:pPr>
        <w:ind w:firstLine="8"/>
        <w:spacing w:after="0" w:line="239" w:lineRule="auto"/>
        <w:tabs>
          <w:tab w:leader="none" w:pos="18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April 26, 2025.</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18"/>
          <w:szCs w:val="18"/>
          <w:color w:val="auto"/>
        </w:rPr>
        <w:t>Mr. Jayaraman added, “Over the past several quarters, Daktronics has further strengthened its unique position in the dynamic audiovisual space by building trust and reliability through continued innovation and sophistication, enhanced service delivery, and is firmly on a path of accelerating execution. We enter the fourth quarter in a solid position and will focus on closing the year on a strong note. The executive team and I very much look forward to sharing the next phase of Daktronics’ strategic growth at our Investor Day in April.”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Orders for the third quarter of fiscal 2026 increased by 7.6 percent compared to the third quarter of fiscal 2025. Order volume for the quarter reflected growth in the High School Parks and Recreation and Transportation business units, partially offset by lower order volume in the Live Events and International business units.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fiscal 2026 increased by 21.6 percent as compared to the third quarter of fiscal 2025. Howard Atkins, Daktronics’ Acting Chief Financial Officer, noted, “The main driver of the net sales increase in the quarter was the efficient fulfillment of the backlog coming into the quarter which we see continuing into the final quarter of fiscal 2026.”</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profit as a percentage of net sales was 24.0 percent for the third quarter of fiscal 2026 as compared to 24.6 percent a year earlier with the benefit of fixed cost operating leverage on the gross profit margin offset by revenue fulfillment mix, particularly with a higher percentage of mix in the Live Events business unit.</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Operating expenses increased slightly to $41.7 million in the third quarter of fiscal 2026 as compared to $40.4 million for the third quarter of fiscal 2025. During the third quarter of fiscal 2026, the Company incurred $2.1 million of expenses related to management transition, advisory costs, and legal expenses in connection with an acquisition. Last year, during the third quarter of fiscal 2025, the Company incurred $4.8 million of consultant related expenses associated with its strategic and digital transformation initiatives and corporate governance matters. The Company remains focused on maintaining cost discipline while continuing to target investments in innovative product development.</w:t>
      </w:r>
    </w:p>
    <w:p>
      <w:pPr>
        <w:spacing w:after="0" w:line="21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Operating margin for the third quarter of fiscal 2026 was 1.1 percent as compared to an operating loss of 2.4 percent for the third quarter of fiscal 2025. Excluding the above-mentioned $2.1 million of management transition, advisory and legal expenses and excluding the $4.8 million of consultant related expenses, adjusted operating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third quarter of fiscal 2026 was 2.2 percent as compared to an adjusted operating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0.8 percent for the third quarter of fiscal 2025. The impact on operating income from higher sales and well-managed costs offset the additional tariff expense between fiscal 2025 and 2026.</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interest income (expense), net for the third quarter of fiscal 2026 compared to the same period a year ago is primarily due to higher cash levels invested in interest-bearing accounts. During the third quarter of fiscal 2025, interest expense included interest on the convertible note payable to Alta Fox Opportunities, LP (the “Convertible Note”) which was settled during fiscal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31, 2026, the effective tax rate was 14.3 percent compared to an effective tax rate of 3.7 percent for the three months ended January 25, 2025. The lower tax rate in the third quarter of fiscal 2025 is due to the reduction of the Convertible Note fair value adjustment to expense in proportion to the period's decrease in pre-tax income, whereas in the third quarter of fiscal 2026, the tax rate was reduced by increases to discrete tax benefits and a reversal of a valuation allowance with no fair value adjustments applicable.</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for the third quarter of fiscal 2026 was $3.0 million, compared to a net loss of $17.2 million for the third quarter of fiscal 2025. For the third quarter of fiscal 2026, excluding the management transition, advisory and legal expenses,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$4.6 million. For the third quarter of fiscal 2025, excluding the non-operating non-cash debt fair value adjustment, operating adjustment for consultant related expenses associated with business and digital transformation initiatives, and corporate governance matters,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$0.5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January 31, 2026, earnings per diluted share was $0.06 compared to loss per diluted share of $0.36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8"/>
        <w:spacing w:after="0" w:line="245" w:lineRule="auto"/>
        <w:tabs>
          <w:tab w:leader="none" w:pos="187"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adjusted operating margin, and adjusted net income are not measures defined by accounting principles generally accepted in the United States of America ("GAAP"), to report our results exclusive of items that are non-recurring or not core to our operating business. We believe presenting this non-GAAP financial measurement provides investors with a consistent way to analyze our performance. For more information, see the supplemental calculation contained later in this release.</w:t>
      </w:r>
    </w:p>
    <w:p>
      <w:pPr>
        <w:spacing w:after="0" w:line="1" w:lineRule="exact"/>
        <w:rPr>
          <w:rFonts w:ascii="Times New Roman" w:cs="Times New Roman" w:eastAsia="Times New Roman" w:hAnsi="Times New Roman"/>
          <w:sz w:val="13"/>
          <w:szCs w:val="13"/>
          <w:color w:val="auto"/>
        </w:rPr>
      </w:pPr>
    </w:p>
    <w:p>
      <w:pPr>
        <w:ind w:firstLine="8"/>
        <w:spacing w:after="0" w:line="239" w:lineRule="auto"/>
        <w:tabs>
          <w:tab w:leader="none" w:pos="18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April 26, 2025.</w:t>
      </w:r>
    </w:p>
    <w:p>
      <w:pPr>
        <w:sectPr>
          <w:pgSz w:w="11900" w:h="16838" w:orient="portrait"/>
          <w:cols w:equalWidth="0" w:num="1">
            <w:col w:w="11240"/>
          </w:cols>
          <w:pgMar w:left="320" w:top="9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Balance Sheet and Cash Flow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totaled $144.4 million at January 31, 2026, and $11.1 million of total current and long-term debt was outstanding as of that date, which included $11.2 million of face value and is net of $0.1 million of debt issuance costs.</w:t>
      </w:r>
    </w:p>
    <w:p>
      <w:pPr>
        <w:spacing w:after="0" w:line="18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November 26, 2025, the Company entered into a new $71.5 million senior credit facility (the “New Credit Facility”) pursuant to a Credit Agreement. The New Credit Facility consists of a cash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revolving line of credit and a term loan that is not collateralized by real estate. The Company believes the New Credit Facility enhances financial flexibility in managing its operations and capital structure by extending maturities and providing committed liquidity. As of January 31, 2026, there were no advances under the loan portion of our line of credit, and the balance of letters of credit outstanding was $1.9 million.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2025, the Company acquired the Display Business from X Display Company Technology Limited (“XDC”), which consisted of intellectual property, equipment assets, technical expertise, contract rights, other personal property and related assets. The acquisition did not materially impact the Company’s financial statements.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fiscal 2026, Daktronics generated $54.3 million of cash from operations and used $10.4 million for purchases of property and equipment. We repurchased 1.3 million shares of common stock in the first nine months of fiscal 2026 at the volume-weighted average price of $17.61, equaling $22.8 million of share repurchases.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fiscal 2026 third quarter, the Company’s working capital ratio was 2.2 to 1. The Company efficiently manages working capital to support profitable growth while taking into account the seasonal dynamics of its component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and webcast to discuss its financial results today at 10:00 a.m. (Central Time). This call will be broadcast live at http://investor.daktronics.com where related presentation materials will also be posted prior to the conference call. A webcast will be available for replay shortly after the event.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Daktronics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Daktronics has strong leadership positions in, and is the world’s largest supplier of, large-screen video displays, electronic scoreboards, LED text and graphics displays, and related control systems. The Company excels in the control of display 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Cautionary Notice: In addition to statements of historical fact, this news release contains forward-looking statements within the meaning of the federal securities laws and is intended to receive the protections of such laws.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All statements, other than historical facts, included or incorporated in this release could be deemed forward-looking statements, particularly statements that reflect our expectations or beliefs of Daktronics, Inc. (the “Company,” “Daktronics,” “we,” or “us”) concerning future events or our future financial performance. You are cautioned not to place undue reliance on forward-looking statements, which are often characterized by discussions of strategy, plans, or intentions or by the use of words such as “may,” “would,” “could,” “should,” “will,” “expect,” “estimate,” “anticipate,” “believe,” “intend,” “plan,” “forecast,” “project,” “predict,” “potential,” “continue,” or “intend,” the negative or other variants of such terms, or other comparable terminology. The Company cautions that these forward-looking statements are subject to risks and uncertainties that could cause actual results to differ materially from our expectations as a result of various factors, including, but not limited to, changes in economic and market conditions, management of growth, timing and magnitude of future contracts, orders, and capital investment projects, fluctuations in margins, the introduction of new products and technology, the impact of adverse weather conditions, increased regulation, the imposition of tariffs, trade wars, the availability and costs of raw materials, components, and shipping services, geopolitical and governmental actions, expansion into new geographical markets, the Company’s recent leadership transition, transformation initiatives, future strategy, and other risks, trends, and uncertainties described more fully in the Company’s Annual Report on Form 10-K for its 2025 fiscal year (the “Form 10-K”) and in other reports filed with or furnished to the U.S. Securities and Exchange Commission (the "SEC") by the Company. You should carefully consider the trends, risks, and uncertainties described in this presentation, the Form 10-K, and other reports filed with or furnished to the SEC by the Company before making any</w:t>
      </w:r>
    </w:p>
    <w:p>
      <w:pPr>
        <w:spacing w:after="0" w:line="200" w:lineRule="exact"/>
        <w:rPr>
          <w:sz w:val="20"/>
          <w:szCs w:val="20"/>
          <w:color w:val="auto"/>
        </w:rPr>
      </w:pPr>
    </w:p>
    <w:p>
      <w:pPr>
        <w:spacing w:after="0" w:line="321" w:lineRule="exact"/>
        <w:rPr>
          <w:sz w:val="20"/>
          <w:szCs w:val="20"/>
          <w:color w:val="auto"/>
        </w:rPr>
      </w:pPr>
    </w:p>
    <w:p>
      <w:pPr>
        <w:jc w:val="both"/>
        <w:ind w:firstLine="8"/>
        <w:spacing w:after="0" w:line="245" w:lineRule="auto"/>
        <w:tabs>
          <w:tab w:leader="none" w:pos="18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adjusted operating margin, and adjusted net income are not measures defined by accounting principles generally accepted in the United States of America ("GAAP"), to report our results exclusive of items that are non-recurring or not core to our operating business. We believe presenting this non-GAAP financial measurement provides investors with a consistent way to analyze our performance. For more information, see the supplemental calculation contained later in this release.</w:t>
      </w:r>
    </w:p>
    <w:p>
      <w:pPr>
        <w:spacing w:after="0" w:line="1" w:lineRule="exact"/>
        <w:rPr>
          <w:rFonts w:ascii="Times New Roman" w:cs="Times New Roman" w:eastAsia="Times New Roman" w:hAnsi="Times New Roman"/>
          <w:sz w:val="13"/>
          <w:szCs w:val="13"/>
          <w:color w:val="auto"/>
        </w:rPr>
      </w:pPr>
    </w:p>
    <w:p>
      <w:pPr>
        <w:ind w:firstLine="8"/>
        <w:spacing w:after="0" w:line="261" w:lineRule="auto"/>
        <w:tabs>
          <w:tab w:leader="none" w:pos="18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April 26, 2025.</w:t>
      </w:r>
    </w:p>
    <w:p>
      <w:pPr>
        <w:sectPr>
          <w:pgSz w:w="11900" w:h="16838" w:orient="portrait"/>
          <w:cols w:equalWidth="0" w:num="1">
            <w:col w:w="11240"/>
          </w:cols>
          <w:pgMar w:left="320" w:top="927"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are made in the context of information available as of the date of this news release and are based on our current expectations, forecasts, estimates, and assumptions. The Company undertakes no obligation to update or revise such statements to reflect circumstances or events occurring after this presentation except as may be required by applicable law. All forward-looking statements attributable to us or persons acting on our behalf are expressly qualified in their entirety by this cautionary statement.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END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I. Atkins, Acting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(605) 692-0200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Investor@daktronics.com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Capaccio / Jody Burfening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DAKTIRTeam@allianceadvisors.com</w:t>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431,584</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152,342</w:t>
            </w: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w:t>
            </w: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28,902</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w:t>
            </w:r>
          </w:p>
        </w:tc>
      </w:tr>
      <w:tr>
        <w:trPr>
          <w:trHeight w:val="23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46,757</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50"/>
        </w:trPr>
        <w:tc>
          <w:tcPr>
            <w:tcW w:w="49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70"/>
        </w:trPr>
        <w:tc>
          <w:tcPr>
            <w:tcW w:w="4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Fiscal 2026 is a 53-week year and fiscal 2025 was a 52-week year. As a result, the nine months ended January 31, 2026, includes 40 weeks of operating results, whereas the nine months ended January 25, 2025, includes 39 weeks of operating results.</w:t>
      </w:r>
    </w:p>
    <w:p>
      <w:pPr>
        <w:sectPr>
          <w:pgSz w:w="11900" w:h="16838" w:orient="portrait"/>
          <w:cols w:equalWidth="0" w:num="1">
            <w:col w:w="11240"/>
          </w:cols>
          <w:pgMar w:left="320" w:top="91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92,762</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381,451</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 xml:space="preserve">Consolidated Balance Sheets </w:t>
      </w:r>
      <w:r>
        <w:rPr>
          <w:rFonts w:ascii="Times New Roman" w:cs="Times New Roman" w:eastAsia="Times New Roman" w:hAnsi="Times New Roman"/>
          <w:sz w:val="17"/>
          <w:szCs w:val="17"/>
          <w:color w:val="auto"/>
        </w:rPr>
        <w:t>(continued)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172,005</w:t>
            </w:r>
          </w:p>
        </w:tc>
      </w:tr>
      <w:tr>
        <w:trPr>
          <w:trHeight w:val="237"/>
        </w:trPr>
        <w:tc>
          <w:tcPr>
            <w:tcW w:w="8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58,956</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$0.00001 par value, authorized 5,000 shares; no shares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$0.00001 par value, authorized 115,000 shares; 53,565 and 53,030 shares issued as of</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2026 and April 26, 2025, respectively</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5,272 and 3,979 shares as of January 31, 2026 and April 26, 2025,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271,931</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1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(Reversal of) allowance for credit losses on affiliate loan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(recoveries of) doubtful accounts,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0" w:type="dxa"/>
            <w:vAlign w:val="bottom"/>
          </w:tcPr>
          <w:p>
            <w:pPr>
              <w:spacing w:after="0"/>
              <w:rPr>
                <w:sz w:val="1"/>
                <w:szCs w:val="1"/>
                <w:color w:val="auto"/>
              </w:rPr>
            </w:pPr>
          </w:p>
        </w:tc>
      </w:tr>
      <w:tr>
        <w:trPr>
          <w:trHeight w:val="237"/>
        </w:trPr>
        <w:tc>
          <w:tcPr>
            <w:tcW w:w="81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Loans to equity investees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37"/>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1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Net Sales and Orders by Business Unit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Recreation</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95"/>
        </w:trPr>
        <w:tc>
          <w:tcPr>
            <w:tcW w:w="1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6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22"/>
                <w:szCs w:val="22"/>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10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Recreation</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6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47,803</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638,789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540,664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r>
        <w:rPr>
          <w:rFonts w:ascii="Times New Roman" w:cs="Times New Roman" w:eastAsia="Times New Roman" w:hAnsi="Times New Roman"/>
          <w:sz w:val="23"/>
          <w:szCs w:val="23"/>
          <w:b w:val="1"/>
          <w:b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60,383</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reconciles free cash flow to the most directly comparable GAAP financial measure. In evaluating its business, Daktronics considers and uses free cash flow as a key measure of its operating performance. The term free cash flow is not defined under accounting principles generally accepted in the United States of America ("GAAP"). It is not a measure of operating income, cash flows from operating activities or other GAAP figures and should not be considered alternatives to those computations. We define free cash flow as net cash provided by operating activities less payments for property, plant and equipment, plus proceeds from the sale of, insurance recovery for and grants for property, plant and equipment, if applicable. Our definition of free cash flow may not be comparable to similarly titled definitions used by other companies. Free cash flow is intended to provide information that may be useful for investors</w:t>
      </w:r>
    </w:p>
    <w:p>
      <w:pPr>
        <w:sectPr>
          <w:pgSz w:w="11900" w:h="16838" w:orient="portrait"/>
          <w:cols w:equalWidth="0" w:num="1">
            <w:col w:w="11240"/>
          </w:cols>
          <w:pgMar w:left="320" w:top="916" w:right="339" w:bottom="1440" w:gutter="0" w:footer="0" w:header="0"/>
        </w:sectPr>
      </w:pPr>
    </w:p>
    <w:bookmarkStart w:id="13" w:name="page14"/>
    <w:bookmarkEnd w:id="13"/>
    <w:p>
      <w:pPr>
        <w:ind w:left="340"/>
        <w:spacing w:after="0" w:line="282" w:lineRule="auto"/>
        <w:rPr>
          <w:sz w:val="20"/>
          <w:szCs w:val="20"/>
          <w:color w:val="auto"/>
        </w:rPr>
      </w:pPr>
      <w:r>
        <w:rPr>
          <w:rFonts w:ascii="Times New Roman" w:cs="Times New Roman" w:eastAsia="Times New Roman" w:hAnsi="Times New Roman"/>
          <w:sz w:val="18"/>
          <w:szCs w:val="18"/>
          <w:color w:val="auto"/>
        </w:rPr>
        <w:t>when assessing period to period results because it provides them with additional information in assessing our liquidity, capital resources and financial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(GAAP Measure)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46,757</w:t>
            </w: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34,858</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transition expenses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XDC acquisition, advisory and legal costs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related expenses associated with business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 measure)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43,856</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40" w:hanging="332"/>
        <w:spacing w:after="0" w:line="218" w:lineRule="exact"/>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its business, Daktronics considers and uses adjusted operating income as a key measure of its operating performance. The term adjusted operating income is not defined under GAAP and is not a measure of operating income, cash flows from operating activities, or other GAAP figures and should not be considered alternatives to those computations. We define adjusted operating income as operating income (loss) plus management transition expenses, acquisition related expenses, consulting related expenses related to our business transformation initiatives, and corporate governance expenses related to legal and advisory costs of reincorporation and shareholder relations. Management transition and acquisition related expenses incurred during the first and second quarters of fiscal 2026 were immaterial and, accordingly, were not previously disclosed as adjustments. These expenses became material during the third quarter of fiscal 2026 and are therefore reflected in the nine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adjusted operating income calculation. Management believes adjusted operating income is a useful indicator of our financial performance and our ability to generate cash flows from operations. Our definition of adjusted operating income may not be comparable to similarly titled definitions used by other companies. The table above reconciles adjusted operating income to comparable GAAP financial measures.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transition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XDC acquisition, advisory and legal costs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related expenses associated with business transformation</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initiatives, net of taxes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 expenses,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7" w:right="339" w:bottom="1440" w:gutter="0" w:footer="0" w:header="0"/>
        </w:sectPr>
      </w:pPr>
    </w:p>
    <w:bookmarkStart w:id="14" w:name="page15"/>
    <w:bookmarkEnd w:id="14"/>
    <w:p>
      <w:pPr>
        <w:jc w:val="both"/>
        <w:ind w:left="340" w:hanging="332"/>
        <w:spacing w:after="0" w:line="25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reconciles adjusted net income to the most directly comparable GAAP financial measure. In evaluating its business, Daktronics considers and uses adjusted net income as a key measure of its operating performance. The term adjusted net income is not defined under GAAP. It is not a measure of net income or other GAAP figures and should not be considered alternatives to those computations. We disclose adjusted net income as a non-GAAP financial measure in order to report our results exclusive of items that are non-recurring, unique, or not core to our operating business. Our definition of adjusted net income may not be comparable to similarly titled definitions used by other companies. Management believes presenting this non-GAAP financial measurement provides investors with a consistent way to analyze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Long-term Debt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4"/>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gross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2026-03-04T06:41:11Z</dcterms:created>
  <dcterms:modified xsi:type="dcterms:W3CDTF">2026-03-04T06:41:11Z</dcterms:modified>
</cp:coreProperties>
</file>