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346075</wp:posOffset>
            </wp:positionH>
            <wp:positionV relativeFrom="page">
              <wp:posOffset>492125</wp:posOffset>
            </wp:positionV>
            <wp:extent cx="6869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397510</wp:posOffset>
            </wp:positionV>
            <wp:extent cx="68694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17145"/>
                    </a:xfrm>
                    <a:prstGeom prst="rect">
                      <a:avLst/>
                    </a:prstGeom>
                    <a:noFill/>
                  </pic:spPr>
                </pic:pic>
              </a:graphicData>
            </a:graphic>
          </wp:anchor>
        </w:drawing>
        <w:t>UNITED STATES</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258445</wp:posOffset>
            </wp:positionV>
            <wp:extent cx="6869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 10-Q</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January 25, 2014</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94" w:lineRule="exact"/>
        <w:rPr>
          <w:sz w:val="24"/>
          <w:szCs w:val="24"/>
          <w:color w:val="auto"/>
        </w:rPr>
      </w:pPr>
    </w:p>
    <w:p>
      <w:pPr>
        <w:jc w:val="center"/>
        <w:ind w:left="4740" w:right="2480" w:hanging="2250"/>
        <w:spacing w:after="0" w:line="258" w:lineRule="auto"/>
        <w:tabs>
          <w:tab w:leader="none" w:pos="2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 w:lineRule="exact"/>
        <w:rPr>
          <w:sz w:val="24"/>
          <w:szCs w:val="24"/>
          <w:color w:val="auto"/>
        </w:rPr>
      </w:pPr>
    </w:p>
    <w:p>
      <w:pPr>
        <w:jc w:val="center"/>
        <w:spacing w:after="0"/>
        <w:tabs>
          <w:tab w:leader="none" w:pos="100" w:val="left"/>
        </w:tabs>
        <w:rPr>
          <w:sz w:val="20"/>
          <w:szCs w:val="20"/>
          <w:color w:val="auto"/>
        </w:rPr>
      </w:pPr>
      <w:r>
        <w:rPr>
          <w:rFonts w:ascii="Arial" w:cs="Arial" w:eastAsia="Arial" w:hAnsi="Arial"/>
          <w:sz w:val="16"/>
          <w:szCs w:val="16"/>
          <w:b w:val="1"/>
          <w:bCs w:val="1"/>
          <w:i w:val="1"/>
          <w:iCs w:val="1"/>
          <w:color w:val="auto"/>
        </w:rPr>
        <w:t>For the Transition Period From</w:t>
      </w:r>
      <w:r>
        <w:rPr>
          <w:sz w:val="20"/>
          <w:szCs w:val="20"/>
          <w:color w:val="auto"/>
        </w:rPr>
        <w:tab/>
      </w:r>
      <w:r>
        <w:rPr>
          <w:rFonts w:ascii="Arial" w:cs="Arial" w:eastAsia="Arial" w:hAnsi="Arial"/>
          <w:sz w:val="15"/>
          <w:szCs w:val="15"/>
          <w:b w:val="1"/>
          <w:bCs w:val="1"/>
          <w:i w:val="1"/>
          <w:iCs w:val="1"/>
          <w:color w:val="auto"/>
        </w:rPr>
        <w:t>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86360</wp:posOffset>
            </wp:positionV>
            <wp:extent cx="6869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-15875</wp:posOffset>
            </wp:positionV>
            <wp:extent cx="26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132080</wp:posOffset>
            </wp:positionV>
            <wp:extent cx="1097915"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9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DAKTRONICS,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2340" w:type="dxa"/>
        <w:tblCellMar>
          <w:top w:w="0" w:type="dxa"/>
          <w:left w:w="0" w:type="dxa"/>
          <w:bottom w:w="0" w:type="dxa"/>
          <w:right w:w="0" w:type="dxa"/>
        </w:tblCellMar>
      </w:tblPr>
      <w:tr>
        <w:trPr>
          <w:trHeight w:val="207"/>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3"/>
              </w:rPr>
              <w:t>South Dakota</w:t>
            </w:r>
          </w:p>
        </w:tc>
        <w:tc>
          <w:tcPr>
            <w:tcW w:w="2680" w:type="dxa"/>
            <w:vAlign w:val="bottom"/>
            <w:vMerge w:val="restart"/>
          </w:tcPr>
          <w:p>
            <w:pPr>
              <w:jc w:val="right"/>
              <w:ind w:right="859"/>
              <w:spacing w:after="0"/>
              <w:rPr>
                <w:sz w:val="20"/>
                <w:szCs w:val="20"/>
                <w:color w:val="auto"/>
              </w:rPr>
            </w:pPr>
            <w:r>
              <w:rPr>
                <w:rFonts w:ascii="Arial" w:cs="Arial" w:eastAsia="Arial" w:hAnsi="Arial"/>
                <w:sz w:val="16"/>
                <w:szCs w:val="16"/>
                <w:b w:val="1"/>
                <w:bCs w:val="1"/>
                <w:color w:val="auto"/>
              </w:rPr>
              <w:t>46-0306862</w:t>
            </w:r>
          </w:p>
        </w:tc>
        <w:tc>
          <w:tcPr>
            <w:tcW w:w="0" w:type="dxa"/>
            <w:vAlign w:val="bottom"/>
          </w:tcPr>
          <w:p>
            <w:pPr>
              <w:spacing w:after="0"/>
              <w:rPr>
                <w:sz w:val="1"/>
                <w:szCs w:val="1"/>
                <w:color w:val="auto"/>
              </w:rPr>
            </w:pPr>
          </w:p>
        </w:tc>
      </w:tr>
      <w:tr>
        <w:trPr>
          <w:trHeight w:val="203"/>
        </w:trPr>
        <w:tc>
          <w:tcPr>
            <w:tcW w:w="3920" w:type="dxa"/>
            <w:vAlign w:val="bottom"/>
          </w:tcPr>
          <w:p>
            <w:pPr>
              <w:jc w:val="center"/>
              <w:ind w:right="879"/>
              <w:spacing w:after="0"/>
              <w:rPr>
                <w:sz w:val="20"/>
                <w:szCs w:val="20"/>
                <w:color w:val="auto"/>
              </w:rPr>
            </w:pPr>
            <w:r>
              <w:rPr>
                <w:rFonts w:ascii="Arial" w:cs="Arial" w:eastAsia="Arial" w:hAnsi="Arial"/>
                <w:sz w:val="16"/>
                <w:szCs w:val="16"/>
                <w:color w:val="auto"/>
                <w:w w:val="93"/>
              </w:rPr>
              <w:t>(State or other jurisdiction of incorporation or</w:t>
            </w:r>
          </w:p>
        </w:tc>
        <w:tc>
          <w:tcPr>
            <w:tcW w:w="2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tcPr>
          <w:p>
            <w:pPr>
              <w:jc w:val="center"/>
              <w:ind w:right="859"/>
              <w:spacing w:after="0"/>
              <w:rPr>
                <w:sz w:val="20"/>
                <w:szCs w:val="20"/>
                <w:color w:val="auto"/>
              </w:rPr>
            </w:pPr>
            <w:r>
              <w:rPr>
                <w:rFonts w:ascii="Arial" w:cs="Arial" w:eastAsia="Arial" w:hAnsi="Arial"/>
                <w:sz w:val="16"/>
                <w:szCs w:val="16"/>
                <w:color w:val="auto"/>
                <w:w w:val="92"/>
              </w:rPr>
              <w:t>organization)</w:t>
            </w:r>
          </w:p>
        </w:tc>
        <w:tc>
          <w:tcPr>
            <w:tcW w:w="268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Number)</w:t>
            </w:r>
          </w:p>
        </w:tc>
        <w:tc>
          <w:tcPr>
            <w:tcW w:w="0" w:type="dxa"/>
            <w:vAlign w:val="bottom"/>
          </w:tcPr>
          <w:p>
            <w:pPr>
              <w:spacing w:after="0"/>
              <w:rPr>
                <w:sz w:val="1"/>
                <w:szCs w:val="1"/>
                <w:color w:val="auto"/>
              </w:rPr>
            </w:pPr>
          </w:p>
        </w:tc>
      </w:tr>
      <w:tr>
        <w:trPr>
          <w:trHeight w:val="492"/>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3"/>
              </w:rPr>
              <w:t>201 Daktronics Drive</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0"/>
              </w:rPr>
              <w:t>Brookings SD</w:t>
            </w:r>
          </w:p>
        </w:tc>
        <w:tc>
          <w:tcPr>
            <w:tcW w:w="2680" w:type="dxa"/>
            <w:vAlign w:val="bottom"/>
          </w:tcPr>
          <w:p>
            <w:pPr>
              <w:jc w:val="right"/>
              <w:ind w:right="1039"/>
              <w:spacing w:after="0"/>
              <w:rPr>
                <w:sz w:val="20"/>
                <w:szCs w:val="20"/>
                <w:color w:val="auto"/>
              </w:rPr>
            </w:pPr>
            <w:r>
              <w:rPr>
                <w:rFonts w:ascii="Arial" w:cs="Arial" w:eastAsia="Arial" w:hAnsi="Arial"/>
                <w:sz w:val="16"/>
                <w:szCs w:val="16"/>
                <w:b w:val="1"/>
                <w:bCs w:val="1"/>
                <w:color w:val="auto"/>
              </w:rPr>
              <w:t>57006</w:t>
            </w:r>
          </w:p>
        </w:tc>
        <w:tc>
          <w:tcPr>
            <w:tcW w:w="0" w:type="dxa"/>
            <w:vAlign w:val="bottom"/>
          </w:tcPr>
          <w:p>
            <w:pPr>
              <w:spacing w:after="0"/>
              <w:rPr>
                <w:sz w:val="1"/>
                <w:szCs w:val="1"/>
                <w:color w:val="auto"/>
              </w:rPr>
            </w:pPr>
          </w:p>
        </w:tc>
      </w:tr>
      <w:tr>
        <w:trPr>
          <w:trHeight w:val="257"/>
        </w:trPr>
        <w:tc>
          <w:tcPr>
            <w:tcW w:w="3920" w:type="dxa"/>
            <w:vAlign w:val="bottom"/>
          </w:tcPr>
          <w:p>
            <w:pPr>
              <w:jc w:val="center"/>
              <w:ind w:right="879"/>
              <w:spacing w:after="0"/>
              <w:rPr>
                <w:sz w:val="20"/>
                <w:szCs w:val="20"/>
                <w:color w:val="auto"/>
              </w:rPr>
            </w:pPr>
            <w:r>
              <w:rPr>
                <w:rFonts w:ascii="Arial" w:cs="Arial" w:eastAsia="Arial" w:hAnsi="Arial"/>
                <w:sz w:val="16"/>
                <w:szCs w:val="16"/>
                <w:color w:val="auto"/>
                <w:w w:val="93"/>
              </w:rPr>
              <w:t>(Address of principal executive offices)</w:t>
            </w:r>
          </w:p>
        </w:tc>
        <w:tc>
          <w:tcPr>
            <w:tcW w:w="2680" w:type="dxa"/>
            <w:vAlign w:val="bottom"/>
          </w:tcPr>
          <w:p>
            <w:pPr>
              <w:jc w:val="center"/>
              <w:spacing w:after="0"/>
              <w:rPr>
                <w:sz w:val="20"/>
                <w:szCs w:val="20"/>
                <w:color w:val="auto"/>
              </w:rPr>
            </w:pPr>
            <w:r>
              <w:rPr>
                <w:rFonts w:ascii="Arial" w:cs="Arial" w:eastAsia="Arial" w:hAnsi="Arial"/>
                <w:sz w:val="16"/>
                <w:szCs w:val="16"/>
                <w:color w:val="auto"/>
                <w:w w:val="92"/>
              </w:rPr>
              <w:t>(Zip Code)</w:t>
            </w:r>
          </w:p>
        </w:tc>
        <w:tc>
          <w:tcPr>
            <w:tcW w:w="0" w:type="dxa"/>
            <w:vAlign w:val="bottom"/>
          </w:tcPr>
          <w:p>
            <w:pPr>
              <w:spacing w:after="0"/>
              <w:rPr>
                <w:sz w:val="1"/>
                <w:szCs w:val="1"/>
                <w:color w:val="auto"/>
              </w:rPr>
            </w:pPr>
          </w:p>
        </w:tc>
      </w:tr>
      <w:tr>
        <w:trPr>
          <w:trHeight w:val="226"/>
        </w:trPr>
        <w:tc>
          <w:tcPr>
            <w:tcW w:w="3920" w:type="dxa"/>
            <w:vAlign w:val="bottom"/>
          </w:tcPr>
          <w:p>
            <w:pPr>
              <w:jc w:val="right"/>
              <w:spacing w:after="0"/>
              <w:rPr>
                <w:sz w:val="20"/>
                <w:szCs w:val="20"/>
                <w:color w:val="auto"/>
              </w:rPr>
            </w:pPr>
            <w:r>
              <w:rPr>
                <w:rFonts w:ascii="Arial" w:cs="Arial" w:eastAsia="Arial" w:hAnsi="Arial"/>
                <w:sz w:val="16"/>
                <w:szCs w:val="16"/>
                <w:b w:val="1"/>
                <w:bCs w:val="1"/>
                <w:color w:val="auto"/>
              </w:rPr>
              <w:t>(605) 692-0200</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7" w:lineRule="exact"/>
        <w:rPr>
          <w:sz w:val="24"/>
          <w:szCs w:val="24"/>
          <w:color w:val="auto"/>
        </w:rPr>
      </w:pPr>
    </w:p>
    <w:p>
      <w:pPr>
        <w:ind w:right="140"/>
        <w:spacing w:after="0" w:line="29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660"/>
        <w:spacing w:after="0"/>
        <w:rPr>
          <w:sz w:val="20"/>
          <w:szCs w:val="20"/>
          <w:color w:val="auto"/>
        </w:rPr>
      </w:pPr>
      <w:r>
        <w:rPr>
          <w:rFonts w:ascii="Arial" w:cs="Arial" w:eastAsia="Arial" w:hAnsi="Arial"/>
          <w:sz w:val="15"/>
          <w:szCs w:val="15"/>
          <w:color w:val="auto"/>
        </w:rPr>
        <w:t>Yes x No o</w:t>
      </w:r>
    </w:p>
    <w:p>
      <w:pPr>
        <w:spacing w:after="0" w:line="192"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 w:lineRule="exact"/>
        <w:rPr>
          <w:sz w:val="24"/>
          <w:szCs w:val="24"/>
          <w:color w:val="auto"/>
        </w:rPr>
      </w:pPr>
    </w:p>
    <w:p>
      <w:pPr>
        <w:ind w:left="10600"/>
        <w:spacing w:after="0" w:line="173" w:lineRule="exact"/>
        <w:rPr>
          <w:sz w:val="20"/>
          <w:szCs w:val="20"/>
          <w:color w:val="auto"/>
        </w:rPr>
      </w:pPr>
      <w:r>
        <w:rPr>
          <w:rFonts w:ascii="Arial" w:cs="Arial" w:eastAsia="Arial" w:hAnsi="Arial"/>
          <w:sz w:val="15"/>
          <w:szCs w:val="15"/>
          <w:color w:val="auto"/>
        </w:rPr>
        <w:t xml:space="preserve">Yes x No </w:t>
      </w:r>
      <w:r>
        <w:rPr>
          <w:rFonts w:ascii="MS PGothic" w:cs="MS PGothic" w:eastAsia="MS PGothic" w:hAnsi="MS PGothic"/>
          <w:sz w:val="15"/>
          <w:szCs w:val="15"/>
          <w:color w:val="auto"/>
        </w:rPr>
        <w:t>☐</w:t>
      </w:r>
    </w:p>
    <w:p>
      <w:pPr>
        <w:spacing w:after="0" w:line="19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90" w:right="23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4"/>
          <w:szCs w:val="24"/>
          <w:color w:val="auto"/>
        </w:rPr>
      </w:pPr>
    </w:p>
    <w:p>
      <w:pPr>
        <w:sectPr>
          <w:pgSz w:w="11900" w:h="16838" w:orient="portrait"/>
          <w:cols w:equalWidth="0" w:num="4">
            <w:col w:w="1720" w:space="720"/>
            <w:col w:w="3840" w:space="720"/>
            <w:col w:w="1680" w:space="720"/>
            <w:col w:w="2020"/>
          </w:cols>
          <w:pgMar w:left="240" w:top="99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4">
            <w:col w:w="1720" w:space="720"/>
            <w:col w:w="3840" w:space="720"/>
            <w:col w:w="1780" w:space="620"/>
            <w:col w:w="2020"/>
          </w:cols>
          <w:pgMar w:left="240" w:top="990" w:right="239" w:bottom="1440" w:gutter="0" w:footer="0" w:header="0"/>
          <w:type w:val="continuous"/>
        </w:sectPr>
      </w:pP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3" w:lineRule="exact"/>
        <w:rPr>
          <w:sz w:val="24"/>
          <w:szCs w:val="24"/>
          <w:color w:val="auto"/>
        </w:rPr>
      </w:pPr>
    </w:p>
    <w:p>
      <w:pPr>
        <w:ind w:left="105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February 24, 2014 was 43,121,407.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type w:val="continuous"/>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 xml:space="preserve">For the Quarter Ended </w:t>
      </w:r>
      <w:r>
        <w:rPr>
          <w:rFonts w:ascii="Arial" w:cs="Arial" w:eastAsia="Arial" w:hAnsi="Arial"/>
          <w:sz w:val="16"/>
          <w:szCs w:val="16"/>
          <w:color w:val="auto"/>
        </w:rPr>
        <w:t>January 25, 2014</w:t>
      </w:r>
    </w:p>
    <w:p>
      <w:pPr>
        <w:spacing w:after="0" w:line="20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gridSpan w:val="4"/>
          </w:tcPr>
          <w:p>
            <w:pPr>
              <w:ind w:left="90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500" w:type="dxa"/>
            <w:vAlign w:val="bottom"/>
            <w:tcBorders>
              <w:bottom w:val="single" w:sz="8" w:color="0000FF"/>
            </w:tcBorders>
          </w:tcPr>
          <w:p>
            <w:pPr>
              <w:spacing w:after="0"/>
              <w:rPr>
                <w:rFonts w:ascii="Arial" w:cs="Arial" w:eastAsia="Arial" w:hAnsi="Arial"/>
                <w:sz w:val="18"/>
                <w:szCs w:val="18"/>
                <w:b w:val="1"/>
                <w:bCs w:val="1"/>
                <w:color w:val="0000FF"/>
                <w:w w:val="95"/>
              </w:rPr>
            </w:pPr>
            <w:hyperlink w:anchor="page2">
              <w:r>
                <w:rPr>
                  <w:rFonts w:ascii="Arial" w:cs="Arial" w:eastAsia="Arial" w:hAnsi="Arial"/>
                  <w:sz w:val="18"/>
                  <w:szCs w:val="18"/>
                  <w:b w:val="1"/>
                  <w:bCs w:val="1"/>
                  <w:color w:val="0000FF"/>
                  <w:w w:val="95"/>
                </w:rPr>
                <w:t>Part I.</w:t>
              </w:r>
            </w:hyperlink>
          </w:p>
        </w:tc>
        <w:tc>
          <w:tcPr>
            <w:tcW w:w="320" w:type="dxa"/>
            <w:vAlign w:val="bottom"/>
            <w:gridSpan w:val="3"/>
          </w:tcPr>
          <w:p>
            <w:pPr>
              <w:spacing w:after="0"/>
              <w:rPr>
                <w:sz w:val="19"/>
                <w:szCs w:val="19"/>
                <w:color w:val="auto"/>
              </w:rPr>
            </w:pPr>
          </w:p>
        </w:tc>
        <w:tc>
          <w:tcPr>
            <w:tcW w:w="1700" w:type="dxa"/>
            <w:vAlign w:val="bottom"/>
            <w:tcBorders>
              <w:bottom w:val="single" w:sz="8" w:color="0000FF"/>
            </w:tcBorders>
            <w:gridSpan w:val="6"/>
          </w:tcPr>
          <w:p>
            <w:pPr>
              <w:spacing w:after="0"/>
              <w:rPr>
                <w:rFonts w:ascii="Arial" w:cs="Arial" w:eastAsia="Arial" w:hAnsi="Arial"/>
                <w:sz w:val="18"/>
                <w:szCs w:val="18"/>
                <w:b w:val="1"/>
                <w:bCs w:val="1"/>
                <w:color w:val="0000FF"/>
                <w:w w:val="92"/>
              </w:rPr>
            </w:pPr>
            <w:hyperlink w:anchor="page2">
              <w:r>
                <w:rPr>
                  <w:rFonts w:ascii="Arial" w:cs="Arial" w:eastAsia="Arial" w:hAnsi="Arial"/>
                  <w:sz w:val="18"/>
                  <w:szCs w:val="18"/>
                  <w:b w:val="1"/>
                  <w:bCs w:val="1"/>
                  <w:color w:val="0000FF"/>
                  <w:w w:val="92"/>
                </w:rPr>
                <w:t>Financial Information</w:t>
              </w:r>
            </w:hyperlink>
          </w:p>
        </w:tc>
        <w:tc>
          <w:tcPr>
            <w:tcW w:w="6940" w:type="dxa"/>
            <w:vAlign w:val="bottom"/>
            <w:gridSpan w:val="12"/>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2">
              <w:r>
                <w:rPr>
                  <w:rFonts w:ascii="Arial" w:cs="Arial" w:eastAsia="Arial" w:hAnsi="Arial"/>
                  <w:sz w:val="18"/>
                  <w:szCs w:val="18"/>
                  <w:color w:val="0000EE"/>
                  <w:w w:val="79"/>
                </w:rPr>
                <w:t>1</w:t>
              </w:r>
            </w:hyperlink>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64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100" w:type="dxa"/>
            <w:vAlign w:val="bottom"/>
            <w:gridSpan w:val="3"/>
          </w:tcPr>
          <w:p>
            <w:pPr>
              <w:ind w:left="9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1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8"/>
              </w:rPr>
              <w:t>Consolidated Balance Sheets as of January 25, 2014 and April 27, 2013</w:t>
            </w:r>
          </w:p>
        </w:tc>
        <w:tc>
          <w:tcPr>
            <w:tcW w:w="2920" w:type="dxa"/>
            <w:vAlign w:val="bottom"/>
            <w:gridSpan w:val="5"/>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16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Statements of Operations for the Three and Nine Months Ended January 25, 2014 and</w:t>
              </w:r>
            </w:hyperlink>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Borders>
              <w:bottom w:val="single" w:sz="8" w:color="0000FF"/>
            </w:tcBorders>
            <w:gridSpan w:val="5"/>
          </w:tcPr>
          <w:p>
            <w:pPr>
              <w:spacing w:after="0" w:line="196" w:lineRule="exact"/>
              <w:rPr>
                <w:rFonts w:ascii="Arial" w:cs="Arial" w:eastAsia="Arial" w:hAnsi="Arial"/>
                <w:sz w:val="18"/>
                <w:szCs w:val="18"/>
                <w:color w:val="0000FF"/>
                <w:w w:val="86"/>
              </w:rPr>
            </w:pPr>
            <w:hyperlink w:anchor="page4">
              <w:r>
                <w:rPr>
                  <w:rFonts w:ascii="Arial" w:cs="Arial" w:eastAsia="Arial" w:hAnsi="Arial"/>
                  <w:sz w:val="18"/>
                  <w:szCs w:val="18"/>
                  <w:color w:val="0000FF"/>
                  <w:w w:val="86"/>
                </w:rPr>
                <w:t>January 26, 2013</w:t>
              </w:r>
            </w:hyperlink>
          </w:p>
        </w:tc>
        <w:tc>
          <w:tcPr>
            <w:tcW w:w="652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6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Statements of Comprehensive Income for the Three and Nine Months Ended January</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20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7"/>
              </w:rPr>
            </w:pPr>
            <w:hyperlink w:anchor="page5">
              <w:r>
                <w:rPr>
                  <w:rFonts w:ascii="Arial" w:cs="Arial" w:eastAsia="Arial" w:hAnsi="Arial"/>
                  <w:sz w:val="18"/>
                  <w:szCs w:val="18"/>
                  <w:color w:val="0000FF"/>
                  <w:w w:val="87"/>
                </w:rPr>
                <w:t>25, 2014 and January 26, 2013</w:t>
              </w:r>
            </w:hyperlink>
          </w:p>
        </w:tc>
        <w:tc>
          <w:tcPr>
            <w:tcW w:w="4580" w:type="dxa"/>
            <w:vAlign w:val="bottom"/>
            <w:tcBorders>
              <w:top w:val="single" w:sz="8" w:color="0000FF"/>
            </w:tcBorders>
            <w:gridSpan w:val="6"/>
          </w:tcPr>
          <w:p>
            <w:pPr>
              <w:spacing w:after="0"/>
              <w:rPr>
                <w:sz w:val="17"/>
                <w:szCs w:val="17"/>
                <w:color w:val="auto"/>
              </w:rPr>
            </w:pPr>
          </w:p>
        </w:tc>
        <w:tc>
          <w:tcPr>
            <w:tcW w:w="96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6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Statements of Cash Flows for the Nine Months Ended January 25, 2014 and January</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860" w:type="dxa"/>
            <w:vAlign w:val="bottom"/>
            <w:tcBorders>
              <w:top w:val="single" w:sz="8" w:color="0000FF"/>
            </w:tcBorders>
            <w:gridSpan w:val="3"/>
          </w:tcPr>
          <w:p>
            <w:pPr>
              <w:ind w:left="300"/>
              <w:spacing w:after="0" w:line="196" w:lineRule="exact"/>
              <w:rPr>
                <w:rFonts w:ascii="Arial" w:cs="Arial" w:eastAsia="Arial" w:hAnsi="Arial"/>
                <w:sz w:val="18"/>
                <w:szCs w:val="18"/>
                <w:color w:val="0000FF"/>
                <w:w w:val="74"/>
              </w:rPr>
            </w:pPr>
            <w:hyperlink w:anchor="page6">
              <w:r>
                <w:rPr>
                  <w:rFonts w:ascii="Arial" w:cs="Arial" w:eastAsia="Arial" w:hAnsi="Arial"/>
                  <w:sz w:val="18"/>
                  <w:szCs w:val="18"/>
                  <w:color w:val="0000FF"/>
                  <w:w w:val="74"/>
                </w:rPr>
                <w:t>26, 2013</w:t>
              </w:r>
            </w:hyperlink>
          </w:p>
        </w:tc>
        <w:tc>
          <w:tcPr>
            <w:tcW w:w="2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1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gridSpan w:val="3"/>
          </w:tcPr>
          <w:p>
            <w:pPr>
              <w:ind w:left="920"/>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6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the Consolidated Financial Statements</w:t>
              </w:r>
            </w:hyperlink>
          </w:p>
        </w:tc>
        <w:tc>
          <w:tcPr>
            <w:tcW w:w="1100" w:type="dxa"/>
            <w:vAlign w:val="bottom"/>
            <w:gridSpan w:val="3"/>
          </w:tcPr>
          <w:p>
            <w:pPr>
              <w:ind w:left="92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16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Item 2.</w:t>
              </w:r>
            </w:hyperlink>
          </w:p>
        </w:tc>
        <w:tc>
          <w:tcPr>
            <w:tcW w:w="8640" w:type="dxa"/>
            <w:vAlign w:val="bottom"/>
            <w:gridSpan w:val="18"/>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Management’s Discussion and Analysis of Financial Condition and Results of Operations</w:t>
              </w:r>
            </w:hyperlink>
          </w:p>
        </w:tc>
        <w:tc>
          <w:tcPr>
            <w:tcW w:w="1260" w:type="dxa"/>
            <w:vAlign w:val="bottom"/>
            <w:gridSpan w:val="4"/>
          </w:tcPr>
          <w:p>
            <w:pPr>
              <w:ind w:left="920"/>
              <w:spacing w:after="0"/>
              <w:rPr>
                <w:rFonts w:ascii="Arial" w:cs="Arial" w:eastAsia="Arial" w:hAnsi="Arial"/>
                <w:sz w:val="18"/>
                <w:szCs w:val="18"/>
                <w:color w:val="0000FF"/>
              </w:rPr>
            </w:pPr>
            <w:hyperlink w:anchor="page16">
              <w:r>
                <w:rPr>
                  <w:rFonts w:ascii="Arial" w:cs="Arial" w:eastAsia="Arial" w:hAnsi="Arial"/>
                  <w:sz w:val="18"/>
                  <w:szCs w:val="18"/>
                  <w:color w:val="0000FF"/>
                </w:rPr>
                <w:t>15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60" w:type="dxa"/>
            <w:vAlign w:val="bottom"/>
            <w:tcBorders>
              <w:right w:val="single" w:sz="8" w:color="0000FF"/>
            </w:tcBorders>
            <w:gridSpan w:val="3"/>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Item 3.</w:t>
              </w:r>
            </w:hyperlink>
          </w:p>
        </w:tc>
        <w:tc>
          <w:tcPr>
            <w:tcW w:w="8640" w:type="dxa"/>
            <w:vAlign w:val="bottom"/>
            <w:gridSpan w:val="18"/>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Quantitative and Qualitative Disclosures About Market Risk</w:t>
              </w:r>
            </w:hyperlink>
          </w:p>
        </w:tc>
        <w:tc>
          <w:tcPr>
            <w:tcW w:w="1260" w:type="dxa"/>
            <w:vAlign w:val="bottom"/>
            <w:gridSpan w:val="4"/>
          </w:tcPr>
          <w:p>
            <w:pPr>
              <w:ind w:left="920"/>
              <w:spacing w:after="0"/>
              <w:rPr>
                <w:rFonts w:ascii="Arial" w:cs="Arial" w:eastAsia="Arial" w:hAnsi="Arial"/>
                <w:sz w:val="18"/>
                <w:szCs w:val="18"/>
                <w:color w:val="0000FF"/>
              </w:rPr>
            </w:pPr>
            <w:hyperlink w:anchor="page29">
              <w:r>
                <w:rPr>
                  <w:rFonts w:ascii="Arial" w:cs="Arial" w:eastAsia="Arial" w:hAnsi="Arial"/>
                  <w:sz w:val="18"/>
                  <w:szCs w:val="18"/>
                  <w:color w:val="0000FF"/>
                </w:rPr>
                <w:t>27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60" w:type="dxa"/>
            <w:vAlign w:val="bottom"/>
            <w:tcBorders>
              <w:right w:val="single" w:sz="8" w:color="0000FF"/>
            </w:tcBorders>
            <w:gridSpan w:val="3"/>
            <w:shd w:val="clear" w:color="auto" w:fill="0000FF"/>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4.</w:t>
              </w:r>
            </w:hyperlink>
          </w:p>
        </w:tc>
        <w:tc>
          <w:tcPr>
            <w:tcW w:w="8640" w:type="dxa"/>
            <w:vAlign w:val="bottom"/>
            <w:gridSpan w:val="18"/>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Controls and Procedures</w:t>
              </w:r>
            </w:hyperlink>
          </w:p>
        </w:tc>
        <w:tc>
          <w:tcPr>
            <w:tcW w:w="1260" w:type="dxa"/>
            <w:vAlign w:val="bottom"/>
            <w:gridSpan w:val="4"/>
          </w:tcPr>
          <w:p>
            <w:pPr>
              <w:ind w:left="920"/>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Part II.</w:t>
              </w:r>
            </w:hyperlink>
          </w:p>
        </w:tc>
        <w:tc>
          <w:tcPr>
            <w:tcW w:w="8640" w:type="dxa"/>
            <w:vAlign w:val="bottom"/>
            <w:gridSpan w:val="18"/>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Other Information</w:t>
              </w:r>
            </w:hyperlink>
          </w:p>
        </w:tc>
        <w:tc>
          <w:tcPr>
            <w:tcW w:w="1260" w:type="dxa"/>
            <w:vAlign w:val="bottom"/>
            <w:gridSpan w:val="4"/>
          </w:tcPr>
          <w:p>
            <w:pPr>
              <w:ind w:left="9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60" w:type="dxa"/>
            <w:vAlign w:val="bottom"/>
            <w:gridSpan w:val="2"/>
          </w:tcPr>
          <w:p>
            <w:pPr>
              <w:spacing w:after="0"/>
              <w:rPr>
                <w:rFonts w:ascii="Arial" w:cs="Arial" w:eastAsia="Arial" w:hAnsi="Arial"/>
                <w:sz w:val="18"/>
                <w:szCs w:val="18"/>
                <w:color w:val="0000FF"/>
                <w:w w:val="98"/>
              </w:rPr>
            </w:pPr>
            <w:hyperlink w:anchor="page30">
              <w:r>
                <w:rPr>
                  <w:rFonts w:ascii="Arial" w:cs="Arial" w:eastAsia="Arial" w:hAnsi="Arial"/>
                  <w:sz w:val="18"/>
                  <w:szCs w:val="18"/>
                  <w:color w:val="0000FF"/>
                  <w:w w:val="98"/>
                </w:rPr>
                <w:t>Item 1.</w:t>
              </w:r>
            </w:hyperlink>
          </w:p>
        </w:tc>
        <w:tc>
          <w:tcPr>
            <w:tcW w:w="260" w:type="dxa"/>
            <w:vAlign w:val="bottom"/>
            <w:gridSpan w:val="2"/>
          </w:tcPr>
          <w:p>
            <w:pPr>
              <w:spacing w:after="0"/>
              <w:rPr>
                <w:sz w:val="21"/>
                <w:szCs w:val="21"/>
                <w:color w:val="auto"/>
              </w:rPr>
            </w:pPr>
          </w:p>
        </w:tc>
        <w:tc>
          <w:tcPr>
            <w:tcW w:w="1440" w:type="dxa"/>
            <w:vAlign w:val="bottom"/>
            <w:gridSpan w:val="5"/>
          </w:tcPr>
          <w:p>
            <w:pPr>
              <w:spacing w:after="0"/>
              <w:rPr>
                <w:rFonts w:ascii="Arial" w:cs="Arial" w:eastAsia="Arial" w:hAnsi="Arial"/>
                <w:sz w:val="18"/>
                <w:szCs w:val="18"/>
                <w:color w:val="0000FF"/>
                <w:w w:val="93"/>
              </w:rPr>
            </w:pPr>
            <w:hyperlink w:anchor="page30">
              <w:r>
                <w:rPr>
                  <w:rFonts w:ascii="Arial" w:cs="Arial" w:eastAsia="Arial" w:hAnsi="Arial"/>
                  <w:sz w:val="18"/>
                  <w:szCs w:val="18"/>
                  <w:color w:val="0000FF"/>
                  <w:w w:val="93"/>
                </w:rPr>
                <w:t>Legal Proceedings</w:t>
              </w:r>
            </w:hyperlink>
          </w:p>
        </w:tc>
        <w:tc>
          <w:tcPr>
            <w:tcW w:w="7200" w:type="dxa"/>
            <w:vAlign w:val="bottom"/>
            <w:gridSpan w:val="13"/>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FF"/>
                <w:w w:val="92"/>
              </w:rPr>
            </w:pPr>
            <w:hyperlink w:anchor="page30">
              <w:r>
                <w:rPr>
                  <w:rFonts w:ascii="Arial" w:cs="Arial" w:eastAsia="Arial" w:hAnsi="Arial"/>
                  <w:sz w:val="18"/>
                  <w:szCs w:val="18"/>
                  <w:color w:val="0000FF"/>
                  <w:w w:val="92"/>
                </w:rPr>
                <w:t>Item 1A.</w:t>
              </w:r>
            </w:hyperlink>
          </w:p>
        </w:tc>
        <w:tc>
          <w:tcPr>
            <w:tcW w:w="180" w:type="dxa"/>
            <w:vAlign w:val="bottom"/>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00FF"/>
                <w:w w:val="85"/>
              </w:rPr>
            </w:pPr>
            <w:hyperlink w:anchor="page30">
              <w:r>
                <w:rPr>
                  <w:rFonts w:ascii="Arial" w:cs="Arial" w:eastAsia="Arial" w:hAnsi="Arial"/>
                  <w:sz w:val="18"/>
                  <w:szCs w:val="18"/>
                  <w:color w:val="0000FF"/>
                  <w:w w:val="85"/>
                </w:rPr>
                <w:t>Risk Factors</w:t>
              </w:r>
            </w:hyperlink>
          </w:p>
        </w:tc>
        <w:tc>
          <w:tcPr>
            <w:tcW w:w="7740" w:type="dxa"/>
            <w:vAlign w:val="bottom"/>
            <w:gridSpan w:val="15"/>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tcBorders>
              <w:bottom w:val="single" w:sz="8" w:color="0000FF"/>
            </w:tcBorders>
            <w:gridSpan w:val="3"/>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2.</w:t>
              </w:r>
            </w:hyperlink>
          </w:p>
        </w:tc>
        <w:tc>
          <w:tcPr>
            <w:tcW w:w="180" w:type="dxa"/>
            <w:vAlign w:val="bottom"/>
            <w:tcBorders>
              <w:bottom w:val="single" w:sz="8" w:color="0000FF"/>
            </w:tcBorders>
          </w:tcPr>
          <w:p>
            <w:pPr>
              <w:spacing w:after="0"/>
              <w:rPr>
                <w:sz w:val="21"/>
                <w:szCs w:val="21"/>
                <w:color w:val="auto"/>
              </w:rPr>
            </w:pPr>
          </w:p>
        </w:tc>
        <w:tc>
          <w:tcPr>
            <w:tcW w:w="436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Unregistered Sales of Equity Securities and Use of Proceeds</w:t>
              </w:r>
            </w:hyperlink>
          </w:p>
        </w:tc>
        <w:tc>
          <w:tcPr>
            <w:tcW w:w="4280" w:type="dxa"/>
            <w:vAlign w:val="bottom"/>
            <w:gridSpan w:val="6"/>
          </w:tcPr>
          <w:p>
            <w:pPr>
              <w:spacing w:after="0"/>
              <w:rPr>
                <w:sz w:val="21"/>
                <w:szCs w:val="21"/>
                <w:color w:val="auto"/>
              </w:rPr>
            </w:pPr>
          </w:p>
        </w:tc>
        <w:tc>
          <w:tcPr>
            <w:tcW w:w="1260" w:type="dxa"/>
            <w:vAlign w:val="bottom"/>
            <w:gridSpan w:val="4"/>
          </w:tcPr>
          <w:p>
            <w:pPr>
              <w:ind w:left="920"/>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50"/>
        </w:trPr>
        <w:tc>
          <w:tcPr>
            <w:tcW w:w="820" w:type="dxa"/>
            <w:vAlign w:val="bottom"/>
            <w:gridSpan w:val="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3.</w:t>
              </w:r>
            </w:hyperlink>
          </w:p>
        </w:tc>
        <w:tc>
          <w:tcPr>
            <w:tcW w:w="8640" w:type="dxa"/>
            <w:vAlign w:val="bottom"/>
            <w:gridSpan w:val="18"/>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Defaults Upon Senior Securities</w:t>
              </w:r>
            </w:hyperlink>
          </w:p>
        </w:tc>
        <w:tc>
          <w:tcPr>
            <w:tcW w:w="1260" w:type="dxa"/>
            <w:vAlign w:val="bottom"/>
            <w:gridSpan w:val="4"/>
          </w:tcPr>
          <w:p>
            <w:pPr>
              <w:ind w:left="920"/>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34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tcBorders>
              <w:bottom w:val="single" w:sz="8" w:color="0000FF"/>
            </w:tcBorders>
            <w:gridSpan w:val="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4.</w:t>
              </w:r>
            </w:hyperlink>
          </w:p>
        </w:tc>
        <w:tc>
          <w:tcPr>
            <w:tcW w:w="176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Mine Safety Disclosures</w:t>
              </w:r>
            </w:hyperlink>
          </w:p>
        </w:tc>
        <w:tc>
          <w:tcPr>
            <w:tcW w:w="6880" w:type="dxa"/>
            <w:vAlign w:val="bottom"/>
            <w:gridSpan w:val="11"/>
          </w:tcPr>
          <w:p>
            <w:pPr>
              <w:spacing w:after="0"/>
              <w:rPr>
                <w:sz w:val="21"/>
                <w:szCs w:val="21"/>
                <w:color w:val="auto"/>
              </w:rPr>
            </w:pPr>
          </w:p>
        </w:tc>
        <w:tc>
          <w:tcPr>
            <w:tcW w:w="1260" w:type="dxa"/>
            <w:vAlign w:val="bottom"/>
            <w:gridSpan w:val="4"/>
          </w:tcPr>
          <w:p>
            <w:pPr>
              <w:ind w:left="920"/>
              <w:spacing w:after="0"/>
              <w:rPr>
                <w:rFonts w:ascii="Arial" w:cs="Arial" w:eastAsia="Arial" w:hAnsi="Arial"/>
                <w:sz w:val="18"/>
                <w:szCs w:val="18"/>
                <w:color w:val="0000FF"/>
              </w:rPr>
            </w:pPr>
            <w:hyperlink w:anchor="page30">
              <w:r>
                <w:rPr>
                  <w:rFonts w:ascii="Arial" w:cs="Arial" w:eastAsia="Arial" w:hAnsi="Arial"/>
                  <w:sz w:val="18"/>
                  <w:szCs w:val="18"/>
                  <w:color w:val="0000FF"/>
                </w:rPr>
                <w:t>29</w:t>
              </w:r>
            </w:hyperlink>
          </w:p>
        </w:tc>
      </w:tr>
      <w:tr>
        <w:trPr>
          <w:trHeight w:val="250"/>
        </w:trPr>
        <w:tc>
          <w:tcPr>
            <w:tcW w:w="820" w:type="dxa"/>
            <w:vAlign w:val="bottom"/>
            <w:gridSpan w:val="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5.</w:t>
              </w:r>
            </w:hyperlink>
          </w:p>
        </w:tc>
        <w:tc>
          <w:tcPr>
            <w:tcW w:w="8640" w:type="dxa"/>
            <w:vAlign w:val="bottom"/>
            <w:gridSpan w:val="18"/>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Other Information</w:t>
              </w:r>
            </w:hyperlink>
          </w:p>
        </w:tc>
        <w:tc>
          <w:tcPr>
            <w:tcW w:w="1260" w:type="dxa"/>
            <w:vAlign w:val="bottom"/>
            <w:gridSpan w:val="4"/>
          </w:tcPr>
          <w:p>
            <w:pPr>
              <w:ind w:left="920"/>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340" w:type="dxa"/>
            <w:vAlign w:val="bottom"/>
            <w:gridSpan w:val="1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6.</w:t>
              </w:r>
            </w:hyperlink>
          </w:p>
        </w:tc>
        <w:tc>
          <w:tcPr>
            <w:tcW w:w="8640" w:type="dxa"/>
            <w:vAlign w:val="bottom"/>
            <w:gridSpan w:val="18"/>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Exhibits</w:t>
              </w:r>
            </w:hyperlink>
          </w:p>
        </w:tc>
        <w:tc>
          <w:tcPr>
            <w:tcW w:w="1260" w:type="dxa"/>
            <w:vAlign w:val="bottom"/>
            <w:gridSpan w:val="4"/>
          </w:tcPr>
          <w:p>
            <w:pPr>
              <w:ind w:left="920"/>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60" w:type="dxa"/>
            <w:vAlign w:val="bottom"/>
            <w:gridSpan w:val="1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w w:val="83"/>
              </w:rPr>
            </w:pPr>
            <w:hyperlink w:anchor="page31">
              <w:r>
                <w:rPr>
                  <w:rFonts w:ascii="Arial" w:cs="Arial" w:eastAsia="Arial" w:hAnsi="Arial"/>
                  <w:sz w:val="18"/>
                  <w:szCs w:val="18"/>
                  <w:b w:val="1"/>
                  <w:bCs w:val="1"/>
                  <w:color w:val="0000FF"/>
                  <w:w w:val="83"/>
                </w:rPr>
                <w:t>Signatures</w:t>
              </w:r>
            </w:hyperlink>
          </w:p>
        </w:tc>
        <w:tc>
          <w:tcPr>
            <w:tcW w:w="8640" w:type="dxa"/>
            <w:vAlign w:val="bottom"/>
            <w:gridSpan w:val="18"/>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gridSpan w:val="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320" w:type="dxa"/>
            <w:vAlign w:val="bottom"/>
            <w:gridSpan w:val="5"/>
          </w:tcPr>
          <w:p>
            <w:pPr>
              <w:spacing w:after="0"/>
              <w:rPr>
                <w:rFonts w:ascii="Arial" w:cs="Arial" w:eastAsia="Arial" w:hAnsi="Arial"/>
                <w:sz w:val="18"/>
                <w:szCs w:val="18"/>
                <w:b w:val="1"/>
                <w:bCs w:val="1"/>
                <w:color w:val="0000FF"/>
                <w:w w:val="90"/>
              </w:rPr>
            </w:pPr>
            <w:hyperlink w:anchor="page32">
              <w:r>
                <w:rPr>
                  <w:rFonts w:ascii="Arial" w:cs="Arial" w:eastAsia="Arial" w:hAnsi="Arial"/>
                  <w:sz w:val="18"/>
                  <w:szCs w:val="18"/>
                  <w:b w:val="1"/>
                  <w:bCs w:val="1"/>
                  <w:color w:val="0000FF"/>
                  <w:w w:val="90"/>
                </w:rPr>
                <w:t>Index to Exhibits</w:t>
              </w:r>
            </w:hyperlink>
          </w:p>
        </w:tc>
        <w:tc>
          <w:tcPr>
            <w:tcW w:w="8140" w:type="dxa"/>
            <w:vAlign w:val="bottom"/>
            <w:gridSpan w:val="17"/>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0720"/>
          </w:cols>
          <w:pgMar w:left="280" w:top="580" w:right="89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8"/>
          <w:szCs w:val="18"/>
          <w:b w:val="1"/>
          <w:bCs w:val="1"/>
          <w:color w:val="auto"/>
        </w:rPr>
        <w:t>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January 25,</w:t>
            </w:r>
          </w:p>
        </w:tc>
        <w:tc>
          <w:tcPr>
            <w:tcW w:w="18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April 27,</w:t>
            </w:r>
          </w:p>
        </w:tc>
      </w:tr>
      <w:tr>
        <w:trPr>
          <w:trHeight w:val="234"/>
        </w:trPr>
        <w:tc>
          <w:tcPr>
            <w:tcW w:w="8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r>
      <w:tr>
        <w:trPr>
          <w:trHeight w:val="27"/>
        </w:trPr>
        <w:tc>
          <w:tcPr>
            <w:tcW w:w="8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85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85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40,628</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24,052</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66,320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63,227</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49,045</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32,139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39,355</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4,807</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6,185</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12,755</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Income tax receivables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8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261,339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240,148</w:t>
            </w:r>
          </w:p>
        </w:tc>
      </w:tr>
      <w:tr>
        <w:trPr>
          <w:trHeight w:val="277"/>
        </w:trPr>
        <w:tc>
          <w:tcPr>
            <w:tcW w:w="85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11,325</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3,306</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Intangibles, net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Advertising rights, net and other assets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772</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w:t>
            </w:r>
          </w:p>
        </w:tc>
      </w:tr>
      <w:tr>
        <w:trPr>
          <w:trHeight w:val="237"/>
        </w:trPr>
        <w:tc>
          <w:tcPr>
            <w:tcW w:w="85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17,645</w:t>
            </w:r>
          </w:p>
        </w:tc>
      </w:tr>
      <w:tr>
        <w:trPr>
          <w:trHeight w:val="27"/>
        </w:trPr>
        <w:tc>
          <w:tcPr>
            <w:tcW w:w="8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Land</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1,497</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Buildings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57,012</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Machinery and equipment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70,143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65,600</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Office furniture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16,118</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Computer software and hardware</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43,389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41,745</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Equipment held for rental</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Demonstration equipment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8,400</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 equipment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4,026</w:t>
            </w:r>
          </w:p>
        </w:tc>
      </w:tr>
      <w:tr>
        <w:trPr>
          <w:trHeight w:val="237"/>
        </w:trPr>
        <w:tc>
          <w:tcPr>
            <w:tcW w:w="85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204,246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195,266</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133,641</w:t>
            </w:r>
          </w:p>
        </w:tc>
      </w:tr>
      <w:tr>
        <w:trPr>
          <w:trHeight w:val="237"/>
        </w:trPr>
        <w:tc>
          <w:tcPr>
            <w:tcW w:w="85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62,676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61,625</w:t>
            </w:r>
          </w:p>
        </w:tc>
      </w:tr>
      <w:tr>
        <w:trPr>
          <w:trHeight w:val="27"/>
        </w:trPr>
        <w:tc>
          <w:tcPr>
            <w:tcW w:w="8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341,969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319,418</w:t>
            </w:r>
          </w:p>
        </w:tc>
      </w:tr>
      <w:tr>
        <w:trPr>
          <w:trHeight w:val="20"/>
        </w:trPr>
        <w:tc>
          <w:tcPr>
            <w:tcW w:w="8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02373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3735"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240" w:top="121" w:right="59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January 25,</w:t>
            </w:r>
          </w:p>
        </w:tc>
        <w:tc>
          <w:tcPr>
            <w:tcW w:w="18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April 27,</w:t>
            </w:r>
          </w:p>
        </w:tc>
      </w:tr>
      <w:tr>
        <w:trPr>
          <w:trHeight w:val="234"/>
        </w:trPr>
        <w:tc>
          <w:tcPr>
            <w:tcW w:w="8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r>
      <w:tr>
        <w:trPr>
          <w:trHeight w:val="27"/>
        </w:trPr>
        <w:tc>
          <w:tcPr>
            <w:tcW w:w="8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8520" w:type="dxa"/>
            <w:vAlign w:val="bottom"/>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36,499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38,651</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24,331</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Warranty obligations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13,618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13,933</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Billings in excess of costs and estimated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14,245</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Customer deposits (billed or collected)</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18,868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12,375</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 (billed or collected)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9,112</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Current portion of other long-term obligations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356</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1,689</w:t>
            </w:r>
          </w:p>
        </w:tc>
      </w:tr>
      <w:tr>
        <w:trPr>
          <w:trHeight w:val="237"/>
        </w:trPr>
        <w:tc>
          <w:tcPr>
            <w:tcW w:w="85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117,092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114,692</w:t>
            </w:r>
          </w:p>
        </w:tc>
      </w:tr>
      <w:tr>
        <w:trPr>
          <w:trHeight w:val="27"/>
        </w:trPr>
        <w:tc>
          <w:tcPr>
            <w:tcW w:w="8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8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Long-term warranty obligations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12,054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11,213</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deferred revenue (billed or collected)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4,424</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Other long-term obligations, less current maturities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843</w:t>
            </w:r>
          </w:p>
        </w:tc>
      </w:tr>
      <w:tr>
        <w:trPr>
          <w:trHeight w:val="27"/>
        </w:trPr>
        <w:tc>
          <w:tcPr>
            <w:tcW w:w="8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16,480</w:t>
            </w:r>
          </w:p>
        </w:tc>
      </w:tr>
      <w:tr>
        <w:trPr>
          <w:trHeight w:val="237"/>
        </w:trPr>
        <w:tc>
          <w:tcPr>
            <w:tcW w:w="85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137,992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131,172</w:t>
            </w:r>
          </w:p>
        </w:tc>
      </w:tr>
      <w:tr>
        <w:trPr>
          <w:trHeight w:val="27"/>
        </w:trPr>
        <w:tc>
          <w:tcPr>
            <w:tcW w:w="8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8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8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stock, no par value, authorized 120,000,000 shares; 43,133,277 and 42,393,456</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8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shares issued at January 25, 2014 and April 27, 2013,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43,588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37,429</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27,194</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131,322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123,750</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Treasury stock, at cost, 19,680 shares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7"/>
        </w:trPr>
        <w:tc>
          <w:tcPr>
            <w:tcW w:w="852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203,977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188,246</w:t>
            </w:r>
          </w:p>
        </w:tc>
      </w:tr>
      <w:tr>
        <w:trPr>
          <w:trHeight w:val="27"/>
        </w:trPr>
        <w:tc>
          <w:tcPr>
            <w:tcW w:w="8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341,969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319,418</w:t>
            </w:r>
          </w:p>
        </w:tc>
      </w:tr>
      <w:tr>
        <w:trPr>
          <w:trHeight w:val="20"/>
        </w:trPr>
        <w:tc>
          <w:tcPr>
            <w:tcW w:w="8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02373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3735"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060"/>
          </w:cols>
          <w:pgMar w:left="240" w:top="122"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060"/>
          </w:cols>
          <w:pgMar w:left="240" w:top="122" w:right="59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6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4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25,</w:t>
            </w: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26,</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25,</w:t>
            </w:r>
          </w:p>
        </w:tc>
        <w:tc>
          <w:tcPr>
            <w:tcW w:w="14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January 26,</w:t>
            </w:r>
          </w:p>
        </w:tc>
      </w:tr>
      <w:tr>
        <w:trPr>
          <w:trHeight w:val="234"/>
        </w:trPr>
        <w:tc>
          <w:tcPr>
            <w:tcW w:w="4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4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115,369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111,050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415,730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393,840</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86,280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84,001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307,774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288,049</w:t>
            </w:r>
          </w:p>
        </w:tc>
      </w:tr>
      <w:tr>
        <w:trPr>
          <w:trHeight w:val="27"/>
        </w:trPr>
        <w:tc>
          <w:tcPr>
            <w:tcW w:w="4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profit</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29,089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27,049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107,956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105,791</w:t>
            </w:r>
          </w:p>
        </w:tc>
      </w:tr>
      <w:tr>
        <w:trPr>
          <w:trHeight w:val="284"/>
        </w:trPr>
        <w:tc>
          <w:tcPr>
            <w:tcW w:w="4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Selling expense</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13,188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13,652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40,110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39,528</w:t>
            </w:r>
          </w:p>
        </w:tc>
      </w:tr>
      <w:tr>
        <w:trPr>
          <w:trHeight w:val="27"/>
        </w:trPr>
        <w:tc>
          <w:tcPr>
            <w:tcW w:w="4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20,788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20,148</w:t>
            </w: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5,649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5,611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17,330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17,477</w:t>
            </w:r>
          </w:p>
        </w:tc>
      </w:tr>
      <w:tr>
        <w:trPr>
          <w:trHeight w:val="27"/>
        </w:trPr>
        <w:tc>
          <w:tcPr>
            <w:tcW w:w="4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5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25,522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25,980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78,228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77,153</w:t>
            </w:r>
          </w:p>
        </w:tc>
      </w:tr>
      <w:tr>
        <w:trPr>
          <w:trHeight w:val="237"/>
        </w:trPr>
        <w:tc>
          <w:tcPr>
            <w:tcW w:w="4520" w:type="dxa"/>
            <w:vAlign w:val="bottom"/>
          </w:tcPr>
          <w:p>
            <w:pPr>
              <w:ind w:left="280"/>
              <w:spacing w:after="0"/>
              <w:rPr>
                <w:sz w:val="20"/>
                <w:szCs w:val="20"/>
                <w:color w:val="auto"/>
              </w:rPr>
            </w:pPr>
            <w:r>
              <w:rPr>
                <w:rFonts w:ascii="Arial" w:cs="Arial" w:eastAsia="Arial" w:hAnsi="Arial"/>
                <w:sz w:val="18"/>
                <w:szCs w:val="18"/>
                <w:b w:val="1"/>
                <w:bCs w:val="1"/>
                <w:color w:val="auto"/>
              </w:rPr>
              <w:t>Operating income</w:t>
            </w:r>
          </w:p>
        </w:tc>
        <w:tc>
          <w:tcPr>
            <w:tcW w:w="1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3,567</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1,069</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29,728</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28,638</w:t>
            </w:r>
          </w:p>
        </w:tc>
      </w:tr>
      <w:tr>
        <w:trPr>
          <w:trHeight w:val="27"/>
        </w:trPr>
        <w:tc>
          <w:tcPr>
            <w:tcW w:w="4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45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w:t>
            </w: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4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1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77"/>
        </w:trPr>
        <w:tc>
          <w:tcPr>
            <w:tcW w:w="4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30,133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29,428</w:t>
            </w: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Income tax expense (benefit)</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687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9,753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8,493</w:t>
            </w:r>
          </w:p>
        </w:tc>
      </w:tr>
      <w:tr>
        <w:trPr>
          <w:trHeight w:val="27"/>
        </w:trPr>
        <w:tc>
          <w:tcPr>
            <w:tcW w:w="4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52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2,871</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2,710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20,380</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20,935</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45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Basic</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43,039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42,343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42,772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42,206</w:t>
            </w:r>
          </w:p>
        </w:tc>
      </w:tr>
      <w:tr>
        <w:trPr>
          <w:trHeight w:val="27"/>
        </w:trPr>
        <w:tc>
          <w:tcPr>
            <w:tcW w:w="4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43,613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42,539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43,397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42,447</w:t>
            </w:r>
          </w:p>
        </w:tc>
      </w:tr>
      <w:tr>
        <w:trPr>
          <w:trHeight w:val="284"/>
        </w:trPr>
        <w:tc>
          <w:tcPr>
            <w:tcW w:w="4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Basic</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0.50</w:t>
            </w:r>
          </w:p>
        </w:tc>
      </w:tr>
      <w:tr>
        <w:trPr>
          <w:trHeight w:val="27"/>
        </w:trPr>
        <w:tc>
          <w:tcPr>
            <w:tcW w:w="4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r>
      <w:tr>
        <w:trPr>
          <w:trHeight w:val="277"/>
        </w:trPr>
        <w:tc>
          <w:tcPr>
            <w:tcW w:w="4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 declared per share</w:t>
            </w: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0.090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0.615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0.730</w:t>
            </w:r>
          </w:p>
        </w:tc>
      </w:tr>
      <w:tr>
        <w:trPr>
          <w:trHeight w:val="284"/>
        </w:trPr>
        <w:tc>
          <w:tcPr>
            <w:tcW w:w="4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See notes to consolidated financial statements.</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459"/>
        </w:trPr>
        <w:tc>
          <w:tcPr>
            <w:tcW w:w="452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6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25,</w:t>
            </w: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26,</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25,</w:t>
            </w:r>
          </w:p>
        </w:tc>
        <w:tc>
          <w:tcPr>
            <w:tcW w:w="14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January 26,</w:t>
            </w:r>
          </w:p>
        </w:tc>
      </w:tr>
      <w:tr>
        <w:trPr>
          <w:trHeight w:val="234"/>
        </w:trPr>
        <w:tc>
          <w:tcPr>
            <w:tcW w:w="5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5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5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20,380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20,935</w:t>
            </w:r>
          </w:p>
        </w:tc>
      </w:tr>
      <w:tr>
        <w:trPr>
          <w:trHeight w:val="284"/>
        </w:trPr>
        <w:tc>
          <w:tcPr>
            <w:tcW w:w="5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Cumulative translation adjustments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Unrealized gain (loss) on available-for-sale securities, net of</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color w:val="auto"/>
              </w:rPr>
              <w:t>Total other comprehensive loss, net of tax</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5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2,692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20,355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20,871</w:t>
            </w:r>
          </w:p>
        </w:tc>
      </w:tr>
      <w:tr>
        <w:trPr>
          <w:trHeight w:val="20"/>
        </w:trPr>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25,</w:t>
            </w:r>
          </w:p>
        </w:tc>
        <w:tc>
          <w:tcPr>
            <w:tcW w:w="14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January 26,</w:t>
            </w:r>
          </w:p>
        </w:tc>
        <w:tc>
          <w:tcPr>
            <w:tcW w:w="0" w:type="dxa"/>
            <w:vAlign w:val="bottom"/>
          </w:tcPr>
          <w:p>
            <w:pPr>
              <w:spacing w:after="0"/>
              <w:rPr>
                <w:sz w:val="1"/>
                <w:szCs w:val="1"/>
                <w:color w:val="auto"/>
              </w:rPr>
            </w:pPr>
          </w:p>
        </w:tc>
      </w:tr>
      <w:tr>
        <w:trPr>
          <w:trHeight w:val="234"/>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70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7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20,380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20,935</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11,614</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premium/discount on marketable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(Gain) loss on sale of property and equipment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Excess tax benefits from share-based compensation</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5,159</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37"/>
        </w:trPr>
        <w:tc>
          <w:tcPr>
            <w:tcW w:w="8700" w:type="dxa"/>
            <w:vAlign w:val="bottom"/>
          </w:tcPr>
          <w:p>
            <w:pPr>
              <w:ind w:left="920"/>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39,243</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33,255</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(6,799)</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Proceeds from sale of property and equipment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marketable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(13,301)</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Proceeds from sales or maturities of marketable securities</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12,820</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Acquisition, net of cash acquired</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700" w:type="dxa"/>
            <w:vAlign w:val="bottom"/>
          </w:tcPr>
          <w:p>
            <w:pPr>
              <w:ind w:left="92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(11,969)</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(7,105)</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on notes payable</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4,607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benefits from 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Principal payments on long-term obligations</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paid</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(12,808)</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(30,859)</w:t>
            </w:r>
          </w:p>
        </w:tc>
        <w:tc>
          <w:tcPr>
            <w:tcW w:w="0" w:type="dxa"/>
            <w:vAlign w:val="bottom"/>
          </w:tcPr>
          <w:p>
            <w:pPr>
              <w:spacing w:after="0"/>
              <w:rPr>
                <w:sz w:val="1"/>
                <w:szCs w:val="1"/>
                <w:color w:val="auto"/>
              </w:rPr>
            </w:pPr>
          </w:p>
        </w:tc>
      </w:tr>
      <w:tr>
        <w:trPr>
          <w:trHeight w:val="237"/>
        </w:trPr>
        <w:tc>
          <w:tcPr>
            <w:tcW w:w="8700" w:type="dxa"/>
            <w:vAlign w:val="bottom"/>
          </w:tcPr>
          <w:p>
            <w:pPr>
              <w:ind w:left="920"/>
              <w:spacing w:after="0"/>
              <w:rPr>
                <w:sz w:val="20"/>
                <w:szCs w:val="20"/>
                <w:color w:val="auto"/>
              </w:rPr>
            </w:pPr>
            <w:r>
              <w:rPr>
                <w:rFonts w:ascii="Arial" w:cs="Arial" w:eastAsia="Arial" w:hAnsi="Arial"/>
                <w:sz w:val="18"/>
                <w:szCs w:val="18"/>
                <w:b w:val="1"/>
                <w:bCs w:val="1"/>
                <w:color w:val="auto"/>
              </w:rPr>
              <w:t>Net cash used in financing activities</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(11,777)</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(31,112)</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183"/>
        </w:trPr>
        <w:tc>
          <w:tcPr>
            <w:tcW w:w="87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Beginning of period</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40,628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29,423</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55,914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24,504</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Cash payments for:</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Income taxes, net of refunds</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11,365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5,579</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Demonstration equipment transferred to inventory</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Contributions of common stock under the employee stock purchase plan</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1,552</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7"/>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1" w:right="239" w:bottom="381"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381"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requires management to make estimates and assumptions affecting the reported amounts therein. Due to the inherent uncertainty involved in making estimates, actual results in future periods may differ from those estimates.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of America have been condensed or omitted. The balance sheet at April 27, 2013 has been derived from the audited financial statements at that date, but it does not include all of the information and footnotes required by generally accepted accounting principles for complete financial statements. These financial statements should be read in conjunction with our financial statements and notes thereto for the year ended April 27, 2013,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February 2013, the Financial Accounting Standards Board ("FASB") issued Accounting Standards Update ("ASU") 2013-02: </w:t>
      </w:r>
      <w:r>
        <w:rPr>
          <w:rFonts w:ascii="Arial" w:cs="Arial" w:eastAsia="Arial" w:hAnsi="Arial"/>
          <w:sz w:val="17"/>
          <w:szCs w:val="17"/>
          <w:i w:val="1"/>
          <w:iCs w:val="1"/>
          <w:color w:val="auto"/>
        </w:rPr>
        <w:t>Reporting of Amounts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Reclassified Out of Accumulated Other Comprehensive Income </w:t>
      </w:r>
      <w:r>
        <w:rPr>
          <w:rFonts w:ascii="Arial" w:cs="Arial" w:eastAsia="Arial" w:hAnsi="Arial"/>
          <w:sz w:val="17"/>
          <w:szCs w:val="17"/>
          <w:color w:val="auto"/>
        </w:rPr>
        <w:t>("ASU 2013-02")</w:t>
      </w:r>
      <w:r>
        <w:rPr>
          <w:rFonts w:ascii="Arial" w:cs="Arial" w:eastAsia="Arial" w:hAnsi="Arial"/>
          <w:sz w:val="17"/>
          <w:szCs w:val="17"/>
          <w:i w:val="1"/>
          <w:iCs w:val="1"/>
          <w:color w:val="auto"/>
        </w:rPr>
        <w:t xml:space="preserve">, </w:t>
      </w:r>
      <w:r>
        <w:rPr>
          <w:rFonts w:ascii="Arial" w:cs="Arial" w:eastAsia="Arial" w:hAnsi="Arial"/>
          <w:sz w:val="17"/>
          <w:szCs w:val="17"/>
          <w:color w:val="auto"/>
        </w:rPr>
        <w:t>an update to</w:t>
      </w:r>
      <w:r>
        <w:rPr>
          <w:rFonts w:ascii="Arial" w:cs="Arial" w:eastAsia="Arial" w:hAnsi="Arial"/>
          <w:sz w:val="17"/>
          <w:szCs w:val="17"/>
          <w:i w:val="1"/>
          <w:iCs w:val="1"/>
          <w:color w:val="auto"/>
        </w:rPr>
        <w:t xml:space="preserve"> Comprehensive Income </w:t>
      </w:r>
      <w:r>
        <w:rPr>
          <w:rFonts w:ascii="Arial" w:cs="Arial" w:eastAsia="Arial" w:hAnsi="Arial"/>
          <w:sz w:val="17"/>
          <w:szCs w:val="17"/>
          <w:color w:val="auto"/>
        </w:rPr>
        <w:t>(Topic 220). ASU 2013-02 requires an</w:t>
      </w:r>
      <w:r>
        <w:rPr>
          <w:rFonts w:ascii="Arial" w:cs="Arial" w:eastAsia="Arial" w:hAnsi="Arial"/>
          <w:sz w:val="17"/>
          <w:szCs w:val="17"/>
          <w:i w:val="1"/>
          <w:iCs w:val="1"/>
          <w:color w:val="auto"/>
        </w:rPr>
        <w:t xml:space="preserve"> </w:t>
      </w:r>
      <w:r>
        <w:rPr>
          <w:rFonts w:ascii="Arial" w:cs="Arial" w:eastAsia="Arial" w:hAnsi="Arial"/>
          <w:sz w:val="17"/>
          <w:szCs w:val="17"/>
          <w:color w:val="auto"/>
        </w:rPr>
        <w:t>entity to present either on the face of the statement where net income is presented or in the notes to the financial statements significant amounts reclassified out of accumulated other comprehensive income by the respective line items in the statement presenting net income. Additionally, disclosures about the changes in each component of accumulated other comprehensive income are also required. ASU 2013-02 requires prospective application and is effective for fiscal years, and interim periods within those years, beginning after December 15, 2012. The Company adopted ASU 2013-02 in the first quarter of fiscal 2014, and there was no impact to the Company's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 ("EPS")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EPS is computed by dividing income attributable to common shareholders by the weighted average number of common shares outstanding for the period. Diluted EPS reflects the potential dilution if securities or other obligations to issue common stock were exercised or converted into common stock or resulted in the issuance of common stock sharing in our earnings.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reconciliation of the income and common share amounts used in the calculation of basic and diluted EPS for the three and nine months ended January 25, 2014 and January 26, 2013: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income</w:t>
            </w:r>
          </w:p>
        </w:tc>
        <w:tc>
          <w:tcPr>
            <w:tcW w:w="150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w w:val="89"/>
              </w:rPr>
              <w:t>Per share income</w:t>
            </w:r>
          </w:p>
        </w:tc>
        <w:tc>
          <w:tcPr>
            <w:tcW w:w="0" w:type="dxa"/>
            <w:vAlign w:val="bottom"/>
          </w:tcPr>
          <w:p>
            <w:pPr>
              <w:spacing w:after="0"/>
              <w:rPr>
                <w:sz w:val="1"/>
                <w:szCs w:val="1"/>
                <w:color w:val="auto"/>
              </w:rPr>
            </w:pPr>
          </w:p>
        </w:tc>
      </w:tr>
      <w:tr>
        <w:trPr>
          <w:trHeight w:val="27"/>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January 25, 2014:</w:t>
            </w: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2,871</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43,039</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574</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2,871</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43,613</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January 26, 2013:</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2,710</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42,343</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2,710</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42,539</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nine months ended January 25, 2014:</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20,380</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42,772</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20,380</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43,397</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nine months ended January 26, 2013:</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20,935</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42,206</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20,935</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42,447</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1,048 shares of common stock with a weighted average exercise price of $21.05 for the three months ended January 25, 2014 and 2,467 shares of common stock with a weighted average exercise price of $15.65 for the three months ended January 26, 2013 were not included in the computation of diluted earnings per share because the effects would be anti-dilutive.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1,972 shares of common stock with a weighted average exercise price of $16.87 for the nine months ended January 25, 2014 and 3,268 shares of common stock with a weighted average exercise price of $13.92 for the nine months ended January 26, 2013 were not included in the computation of diluted earnings per share because the effects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Segment Disclosure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have organized our business into five segments which meet the definition of reportable segments under Accounting Standards Codification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Commercial, Live Events, Schools and Theatres, Transportation, and International business units. These segments are based on the type of customer and geography.</w:t>
      </w:r>
    </w:p>
    <w:p>
      <w:pPr>
        <w:spacing w:after="0" w:line="18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Our Commercial business unit primarily consists of sales of our video display systems, digital billboards, Galaxy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Fuelight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lines to resellers (primarily sign companies), outdoor advertisers, national retailers, quick-serve restaurants, casinos and petroleum retailers. 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 Our Schools and Theatres business unit primarily consists of sales of scoring systems, Galaxy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displays and video display systems to primary and secondary education facilities and sales of our Vortek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automated rigging systems for theatre applications. Our Transportation business unit primarily consists of sales of our Vanguard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Galaxy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lines to governmental transportation departments, airlines and other transportation related customers. Our International business unit consists of sales of all product lines outside the United States and Canada.</w:t>
      </w: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Segment reports present results through contribution margin, which is comprised of gross profit less selling costs. Segment profit excludes general and administration expense, product development expense, interest income and expense, non-operating income and income tax expense. Assets are not allocated to the segments. Depreciation and amortization, excluding the portion related to non-allocated costs, are allocated to each segment based on various financial measures. In general, our segments follow the same accounting policies as those described in Note 1 of our Annual Report on Form 10-K for the fiscal year ended April 27, 2013. Unabsorbed costs of domestic field sales and services infrastructure, including most field administrative staff, are allocated to the Commercial, Live Events, Transportation, and Schools and Theatres business units based on cost of sales. Shared manufacturing, building and utilities, and procurement costs are allocated based on payroll dollars, square footage and various other financial measures.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information on sales by products; therefore, disclosure of such information is not practical.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operating segments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7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25,</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26,</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25,</w:t>
            </w:r>
          </w:p>
        </w:tc>
        <w:tc>
          <w:tcPr>
            <w:tcW w:w="1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26,</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39,016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117,690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109,127</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33,428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26,528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146,680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121,641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Schools &amp; Theatres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11,010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11,778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47,750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51,639</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13,531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23,546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41,811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57,713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18,384</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18,201</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61,799</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53,720</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115,369</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111,050</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415,730</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393,840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Contribution margin:</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24,026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19,030</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4,530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1,244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23,159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16,393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Schools &amp; Theatres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6,091</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2,842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6,317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9,747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18,321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843</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6,428</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15,901</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13,397</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67,846</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66,263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Non-allocated operating expenses: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20,788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20,148</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5,649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5,611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17,330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17,477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29,728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28,638</w:t>
            </w: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3,558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1,234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30,133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29,428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8,493</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2,871</w:t>
            </w:r>
          </w:p>
        </w:tc>
        <w:tc>
          <w:tcPr>
            <w:tcW w:w="2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2,710</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20,380</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20,935</w:t>
            </w:r>
          </w:p>
        </w:tc>
        <w:tc>
          <w:tcPr>
            <w:tcW w:w="0" w:type="dxa"/>
            <w:vAlign w:val="bottom"/>
          </w:tcPr>
          <w:p>
            <w:pPr>
              <w:spacing w:after="0"/>
              <w:rPr>
                <w:sz w:val="1"/>
                <w:szCs w:val="1"/>
                <w:color w:val="auto"/>
              </w:rPr>
            </w:pPr>
          </w:p>
        </w:tc>
      </w:tr>
      <w:tr>
        <w:trPr>
          <w:trHeight w:val="163"/>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1,092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1,095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3,354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Schools &amp; Theatres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856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Unallocated corporate depreciation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1,344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3,581</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81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single geographic area comprises a material amount of net sales or long-lived assets net of accumulated depreciation other than the United States. The following table presents information about net sales and long-lived assets in the United States and elsewhere: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6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25,</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26,</w:t>
            </w: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25,</w:t>
            </w:r>
          </w:p>
        </w:tc>
        <w:tc>
          <w:tcPr>
            <w:tcW w:w="1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26,</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343,536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330,995</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20,915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21,750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72,194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62,845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111,050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415,730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393,840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362" w:lineRule="exact"/>
        <w:rPr>
          <w:sz w:val="20"/>
          <w:szCs w:val="20"/>
          <w:color w:val="auto"/>
        </w:rPr>
      </w:pPr>
    </w:p>
    <w:p>
      <w:pPr>
        <w:ind w:left="5840"/>
        <w:spacing w:after="0"/>
        <w:rPr>
          <w:sz w:val="20"/>
          <w:szCs w:val="20"/>
          <w:color w:val="auto"/>
        </w:rPr>
      </w:pPr>
      <w:r>
        <w:rPr>
          <w:rFonts w:ascii="Arial" w:cs="Arial" w:eastAsia="Arial" w:hAnsi="Arial"/>
          <w:sz w:val="16"/>
          <w:szCs w:val="16"/>
          <w:b w:val="1"/>
          <w:bCs w:val="1"/>
          <w:color w:val="auto"/>
        </w:rPr>
        <w:t>January 25,</w:t>
      </w:r>
    </w:p>
    <w:p>
      <w:pPr>
        <w:spacing w:after="0" w:line="50"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22860</wp:posOffset>
            </wp:positionV>
            <wp:extent cx="8832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April 27,</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22860</wp:posOffset>
            </wp:positionV>
            <wp:extent cx="8661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740" w:space="700"/>
            <w:col w:w="398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Long-lived assets:</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58,481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60,060</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4,195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1,565</w:t>
            </w: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62,676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61,625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increase in long-lived assets is due to a business combination as described in Note 5. We have numerous customers worldwide for sales of our products and services; therefore, we are not economically dependent on a limited number of customers for the sale of our products and services except with respect to our dependence on a few large digital billboard customers in our Commercial business unit.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Securities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have a cash management program which provides for the investment of cash balances not used in current operations. We classify our investments in marketable securities as available-for-sale in accordance with the provisions of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xml:space="preserve"> Marketable securities classified as available-for-sale are reported at fair value with unrealized gains or losses, net of tax, reported in accumulated other comprehensive loss. As it relates to fixed income marketable securities, we do not intend to sell any of these investments, and it is not more-likely-than-not we will be required to sell any of these investments before recovery of the entire amortized cost basis. In addition, as of January 25, 2014, we anticipate we will recover the entire amortized cost basis of such fixed income securities, and we have determined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25, 2014 and April 27, 2013,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Amortized Cost</w:t>
            </w:r>
          </w:p>
        </w:tc>
        <w:tc>
          <w:tcPr>
            <w:tcW w:w="1740" w:type="dxa"/>
            <w:vAlign w:val="bottom"/>
            <w:gridSpan w:val="3"/>
          </w:tcPr>
          <w:p>
            <w:pPr>
              <w:ind w:left="100"/>
              <w:spacing w:after="0"/>
              <w:rPr>
                <w:sz w:val="20"/>
                <w:szCs w:val="20"/>
                <w:color w:val="auto"/>
              </w:rPr>
            </w:pPr>
            <w:r>
              <w:rPr>
                <w:rFonts w:ascii="Arial" w:cs="Arial" w:eastAsia="Arial" w:hAnsi="Arial"/>
                <w:sz w:val="18"/>
                <w:szCs w:val="18"/>
                <w:b w:val="1"/>
                <w:bCs w:val="1"/>
                <w:color w:val="auto"/>
              </w:rPr>
              <w:t>Unrealized Gains</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rPr>
              <w:t>Unrealized Losses</w:t>
            </w:r>
          </w:p>
        </w:tc>
        <w:tc>
          <w:tcPr>
            <w:tcW w:w="24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January 25, 2014:</w:t>
            </w: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7,632</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7,632</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3,001</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4,750</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Municipal obligations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9,891</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9,907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25,274</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27, 2013: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4,677</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4,999</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5,018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4,752</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Municipal obligations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9,596</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9,605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24,024</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Realized gains or losses on investments are recorded in our consolidated statements of operations as other (expense) income, net. Upon the sale of a security classified as available-for-sale, the security’s specific unrealized gain (loss) is reclassified out of "accumulated other comprehensive loss” and into earnings based on the specific identification method. In the nine months ended January 25, 2014 and January 26, 2013, the reclassifications from accumulated other comprehensive loss to net assets were immaterial. Realized gains and losses on sales or maturities of investments were immaterial in the nine months ended January 25, 2014 and January 26, 2013.</w:t>
      </w:r>
    </w:p>
    <w:p>
      <w:pPr>
        <w:sectPr>
          <w:pgSz w:w="11900" w:h="16838" w:orient="portrait"/>
          <w:cols w:equalWidth="0" w:num="1">
            <w:col w:w="11420"/>
          </w:cols>
          <w:pgMar w:left="240" w:top="122" w:right="239" w:bottom="1440" w:gutter="0" w:footer="0" w:header="0"/>
          <w:type w:val="continuous"/>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January 25, 2014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Less than 12</w:t>
            </w:r>
          </w:p>
        </w:tc>
        <w:tc>
          <w:tcPr>
            <w:tcW w:w="14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Greater than 12</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months</w:t>
            </w:r>
          </w:p>
        </w:tc>
        <w:tc>
          <w:tcPr>
            <w:tcW w:w="14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months</w:t>
            </w: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7,632</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U.S. Government securities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2,001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3,001</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sponsored entities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4,750</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Municipal obligations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3,820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6,087</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9,907</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10,264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15,026</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25,290</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acquired 100 percent ownership in OPEN Out-of Home Solutions ("OPEN"), a Belgian company, on May 8, 2013 for an undisclosed amount. The results of its operations have been included in our consolidated financial statements since the date of acquisition. We have not made pro forma disclosures as the results of its operations are not material to our consolidated financial statements.</w:t>
      </w:r>
    </w:p>
    <w:p>
      <w:pPr>
        <w:spacing w:after="0" w:line="18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OPEN is a European manufacturer of cabinets and street furniture for the third-party advertising market. This acquisition expanded our product offerings to third-party advertisers as they increasingly adopt digital technology and included a manufacturing plant in Belgium to manufacture digital advertising displays. This acquisition was funded with cash on hand and a five-year promissory note that matures in May 2018.</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quarter of fiscal 2014, the purchase price allocation for the OPEN acquisition was completed. The excess of the purchase price over the net tangible and intangible assets was recorded as goodwill of $1,271. Included in the purchase price allocation was acquired identifiable intangibles valued at $1,160 representing trade names with a useful life of 20 years and a customer list valued at $582 with a useful life of nine years. There were no material adjustments to the original purchase price allocation.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related to each reportable segment for the nine months ended January 25, 2014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Live Events</w:t>
            </w: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Transportation</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International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27, 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3,306</w:t>
            </w: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Acquisition, net of cash acquired</w:t>
            </w:r>
          </w:p>
        </w:tc>
        <w:tc>
          <w:tcPr>
            <w:tcW w:w="2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1,271</w:t>
            </w: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 as of January 25, 2014:</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2,377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4,548</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perform an analysis of goodwill on an annual basis. We performed our annual analysis based on the goodwill amount as of the first business day of our third quarter in fiscal 2014, which was October 27, 2013. The result of the analysis indicated no goodwill impairment existed as of that date.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rPr>
              <w:t>Note 7. Inventories</w:t>
            </w:r>
          </w:p>
        </w:tc>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2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25,</w:t>
            </w:r>
          </w:p>
        </w:tc>
        <w:tc>
          <w:tcPr>
            <w:tcW w:w="24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27,</w:t>
            </w: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27,729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20,979</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3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8,904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8,523</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5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20,516</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19,543</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57,149</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49,045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580" w:type="dxa"/>
            <w:vAlign w:val="bottom"/>
            <w:vMerge w:val="restart"/>
          </w:tcPr>
          <w:p>
            <w:pPr>
              <w:jc w:val="right"/>
              <w:ind w:right="189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20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are reported net of an allowance for doubtful accounts of $2,769 and $2,729 at January 25, 2014 and April 27, 2013, respectively.</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certain sales transactions, we have entered into sales contracts with installment payments exceeding six months and sales-type leases. The present value of these contracts and leases is recorded as a receivable as the revenue is recognized in accordance with generally accepted accounting principles, and profit is recognized to the extent the present value is in excess of cost. We generally retain a security interest in the equipment or in the cash flow generated by the equipment until the contract is paid. The present value of long-term contracts and lease receivables, including accrued interest and current maturities, was $13,929 and $16,132 as of January 25, 2014 and April 27, 2013, respectively. Contract and lease receivables bearing annual interest rates of 5.0 to 10.0 percent are due in varying annual installments through July 2022. The face amount of long-term receivables was $15,907 as of January 25, 2014 and $18,731 as of April 27, 2013. Included in accounts receivable as of January 25, 2014 and April 27, 2013 was $3,538 and $803, respectively, of retainage on construction-type contracts, all of which is expected to be collected within one 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We are a party to legal proceedings and claims which arise during the ordinary course of business. We review our legal proceedings and claims,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that has been incurred is probable, but the amount cannot be reasonably estimated, or when the loss is believed to be only reasonably possible or remote, although disclosures will be made for material matters as required by ASC 450-20, </w:t>
      </w:r>
      <w:r>
        <w:rPr>
          <w:rFonts w:ascii="Arial" w:cs="Arial" w:eastAsia="Arial" w:hAnsi="Arial"/>
          <w:sz w:val="17"/>
          <w:szCs w:val="17"/>
          <w:i w:val="1"/>
          <w:iCs w:val="1"/>
          <w:color w:val="auto"/>
        </w:rPr>
        <w:t>Loss Contingencies</w:t>
      </w:r>
      <w:r>
        <w:rPr>
          <w:rFonts w:ascii="Arial" w:cs="Arial" w:eastAsia="Arial" w:hAnsi="Arial"/>
          <w:sz w:val="17"/>
          <w:szCs w:val="17"/>
          <w:color w:val="auto"/>
        </w:rPr>
        <w:t>. Our assessment of whether a loss is reasonably possible or probable is based on our assessment and consultation with legal counsel regarding the ultimate outcome of the matter following all appeals.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January 25, 2014, we did not believe there was a reasonable probability any material loss for these various claims or legal actions, including reviews, inspections or other legal proceedings, if any, will be incurred. Accordingly, no accrual or disclosure of a potential range of loss has been made related to these matters. In the opinion of management, the ultimate liability of all unresolved legal proceedings is not expected to have a material effect on our financial position, liquidity or capital resources.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In connection with the sale of equipment to various customers, we have entered into contractual arrangements whereby we agreed to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equipment at the end of the lease term at a fixed price. Our total obligations under these fixed price arrangements were $1,100 and $1,285 as of January 25, 2014 and April 27, 2013, respectively. In accordance with the provisions of ASC 460,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there is no guarantee liability in accrued expenses that needed to be recognized, in connection with these arrangements.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Warranties: </w:t>
      </w:r>
      <w:r>
        <w:rPr>
          <w:rFonts w:ascii="Arial" w:cs="Arial" w:eastAsia="Arial" w:hAnsi="Arial"/>
          <w:sz w:val="17"/>
          <w:szCs w:val="17"/>
          <w:color w:val="auto"/>
        </w:rPr>
        <w:t>We offer a standard parts coverage warranty for periods varying from one to five years for most of our products. We also offer additional types</w:t>
      </w:r>
      <w:r>
        <w:rPr>
          <w:rFonts w:ascii="Arial" w:cs="Arial" w:eastAsia="Arial" w:hAnsi="Arial"/>
          <w:sz w:val="17"/>
          <w:szCs w:val="17"/>
          <w:i w:val="1"/>
          <w:iCs w:val="1"/>
          <w:color w:val="auto"/>
        </w:rPr>
        <w:t xml:space="preserve"> </w:t>
      </w:r>
      <w:r>
        <w:rPr>
          <w:rFonts w:ascii="Arial" w:cs="Arial" w:eastAsia="Arial" w:hAnsi="Arial"/>
          <w:sz w:val="17"/>
          <w:szCs w:val="17"/>
          <w:color w:val="auto"/>
        </w:rPr>
        <w:t>of warranties to include on-site labor, routine maintenance and event support. In addition, the terms of warranties on some installations can vary from one to 10 years and sometimes more. The specific terms and conditions of these warranties vary primarily depending on the type of the product sold. We estimate the costs which may be incurred under the warranty obligations and record a liability in the amount of such estimated costs at the time the revenue is recognized. Factors affecting our estimate of the cost of our warranty obligations include historical experience and expectations of future conditions. We continually assess the adequacy of our recorded warranty reserves and, to the extent we experience any changes in warranty claim activity or costs associated with servicing those claims, our warranty obligation is adjusted accordingly.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warranty liability for the nine months ended January 25, 2014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accrued warranty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25,146</w:t>
            </w:r>
          </w:p>
        </w:tc>
      </w:tr>
      <w:tr>
        <w:trPr>
          <w:trHeight w:val="243"/>
        </w:trPr>
        <w:tc>
          <w:tcPr>
            <w:tcW w:w="7020" w:type="dxa"/>
            <w:vAlign w:val="bottom"/>
          </w:tcPr>
          <w:p>
            <w:pPr>
              <w:ind w:left="380"/>
              <w:spacing w:after="0"/>
              <w:rPr>
                <w:sz w:val="20"/>
                <w:szCs w:val="20"/>
                <w:color w:val="auto"/>
              </w:rPr>
            </w:pPr>
            <w:r>
              <w:rPr>
                <w:rFonts w:ascii="Arial" w:cs="Arial" w:eastAsia="Arial" w:hAnsi="Arial"/>
                <w:sz w:val="18"/>
                <w:szCs w:val="18"/>
                <w:color w:val="auto"/>
              </w:rPr>
              <w:t>Warranties issued during the period</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7,304</w:t>
            </w:r>
          </w:p>
        </w:tc>
      </w:tr>
      <w:tr>
        <w:trPr>
          <w:trHeight w:val="27"/>
        </w:trPr>
        <w:tc>
          <w:tcPr>
            <w:tcW w:w="7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 made during the period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(10,654)</w:t>
            </w:r>
          </w:p>
        </w:tc>
      </w:tr>
      <w:tr>
        <w:trPr>
          <w:trHeight w:val="229"/>
        </w:trPr>
        <w:tc>
          <w:tcPr>
            <w:tcW w:w="7020" w:type="dxa"/>
            <w:vAlign w:val="bottom"/>
          </w:tcPr>
          <w:p>
            <w:pPr>
              <w:ind w:left="420"/>
              <w:spacing w:after="0"/>
              <w:rPr>
                <w:sz w:val="20"/>
                <w:szCs w:val="20"/>
                <w:color w:val="auto"/>
              </w:rPr>
            </w:pPr>
            <w:r>
              <w:rPr>
                <w:rFonts w:ascii="Arial" w:cs="Arial" w:eastAsia="Arial" w:hAnsi="Arial"/>
                <w:sz w:val="18"/>
                <w:szCs w:val="18"/>
                <w:color w:val="auto"/>
              </w:rPr>
              <w:t>Changes in accrued warranty costs for pre-existing warranties during</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020" w:type="dxa"/>
            <w:vAlign w:val="bottom"/>
          </w:tcPr>
          <w:p>
            <w:pPr>
              <w:ind w:left="740"/>
              <w:spacing w:after="0"/>
              <w:rPr>
                <w:sz w:val="20"/>
                <w:szCs w:val="20"/>
                <w:color w:val="auto"/>
              </w:rPr>
            </w:pPr>
            <w:r>
              <w:rPr>
                <w:rFonts w:ascii="Arial" w:cs="Arial" w:eastAsia="Arial" w:hAnsi="Arial"/>
                <w:sz w:val="18"/>
                <w:szCs w:val="18"/>
                <w:color w:val="auto"/>
              </w:rPr>
              <w:t>the period, including expirations</w:t>
            </w:r>
          </w:p>
        </w:tc>
        <w:tc>
          <w:tcPr>
            <w:tcW w:w="2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3,876</w:t>
            </w: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accrued warranty costs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25,672</w:t>
            </w:r>
          </w:p>
        </w:tc>
      </w:tr>
      <w:tr>
        <w:trPr>
          <w:trHeight w:val="20"/>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Performance guarantees: </w:t>
      </w:r>
      <w:r>
        <w:rPr>
          <w:rFonts w:ascii="Arial" w:cs="Arial" w:eastAsia="Arial" w:hAnsi="Arial"/>
          <w:sz w:val="18"/>
          <w:szCs w:val="18"/>
          <w:color w:val="auto"/>
        </w:rPr>
        <w:t>We have entered into standby letters of credit and surety bonds with financial institutions relating to the guarantee of future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on contracts, primarily construction type contracts. As of January 25, 2014, we had outstanding letters of credit and surety bonds in the amount of $5,815 and $13,591, respectively. Performance guarantees are issued to certain customers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guarantee the operation and installation of the equipment and our ability to complete a contract. These performance guarantees have various terms, which are generally less than one year.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We lease vehicles, office space and various equipment for various sales and service locations throughout the world, including manufacturing space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and China. Some of these leases, including the lease for manufacturing facility in Sioux Falls, South Dakota, include provisions for extensions or purchase. The lease for the facility in Sioux Falls, South Dakota can be extended for an additional three years past its current term, which ends December 31, 2016, and it contains an option to purchase the property subject to the lease from January 1, 2015 to December 31, 2016 for $8,400, which approximates fair value. If the lease is extended, the purchase option increases to $8,600 for the year ending December 31, 2017 and $8,800 for the year ending December 31, 2018. Rental expense for operating leases was $2,083 and $2,090 for the nine months ended January 25, 2014 and January 26, 2013, respectively.</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payments under noncancelable operating leases, excluding executory costs such as management and maintenance fees, with initial or remaining terms of one year or more consisted of the following at January 25, 2014: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2,688</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1,051</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advertising, information technology maintenance and support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other products and services over periods extending beyond one year. As of January 25, 2014, we were obligated under the following conditional and unconditional purchase commitments, which included $950 in conditional purchase commitments.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1,217</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U.S. Federal income tax as well as the income taxes of multiple state jurisdictions. As a result of the completion of examinations by the Internal Revenue Service on prior years and the expiration of statutes of limitations, fiscal years 2011, 2012 and 2013 are the remaining years open under statutes of limitations. Certain subsidiaries are also subject to income tax in several foreign jurisdictions which have open tax years varying by jurisdiction beginning in fiscal 2005.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25, 2014, we had $496 of unrecognized tax benefits which would affect our effective tax rate if recognized.</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2, 2013, the President signed into law The American Taxpayer Relief Act of 2012. Under prior law, a taxpayer was entitled to a research tax credit for qualifying amounts paid or incurred on or before December 31, 2011. The 2012 Taxpayer Relief Act extends the research credit for two years to December 31, 2013. The extension of the research credit is retroactive and includes amounts paid or incurred after December 31, 2011. As a result of the retroactive extension, we recognized in the third quarter of fiscal 2013 approximately $1,860 in tax benefits for the credit.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defines fair value as the price that would be received to sell an asset or paid to transfer the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that may be utilized when measuring fair value.</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within Level 1 for the assets or liabilities, either directly or indirectly (for example, quoted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supported by little or no market activity based on our own assumptions used to measure assets and liabilities.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values for fixed-rate contracts receivable are estimated using a discounted cash flow analysis based on interest rates currently being offered for contracts with similar terms to customers with similar credit quality. The carrying amounts reported on our consolidated balance sheets for contracts receivable approximate fair value and have been categorized as a Level 2 fair value measurement. Fair values for fixed-rate long-term marketing obligations are estimated using a discounted cash flow calculation applying interest rates currently being offered for debt with similar terms and underlying collateral. The total carrying value of long-term marketing obligations as reported on our consolidated balance sheets within other long-term obligations approximates fair value and has been categorized as a Level 2 fair value measurement.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January 25, 2014 and April 27, 2013 according to the valuation techniques we used to determine their fair values. There have been no transfers of assets or liabilities among the fair value hierarchies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40" w:type="dxa"/>
            <w:vAlign w:val="bottom"/>
            <w:gridSpan w:val="6"/>
          </w:tcPr>
          <w:p>
            <w:pPr>
              <w:jc w:val="center"/>
              <w:ind w:right="130"/>
              <w:spacing w:after="0"/>
              <w:rPr>
                <w:sz w:val="20"/>
                <w:szCs w:val="20"/>
                <w:color w:val="auto"/>
              </w:rPr>
            </w:pPr>
            <w:r>
              <w:rPr>
                <w:rFonts w:ascii="Arial" w:cs="Arial" w:eastAsia="Arial" w:hAnsi="Arial"/>
                <w:sz w:val="18"/>
                <w:szCs w:val="18"/>
                <w:b w:val="1"/>
                <w:bCs w:val="1"/>
                <w:color w:val="auto"/>
                <w:w w:val="91"/>
              </w:rPr>
              <w:t>Fair Value Measurements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January 25, 2014:</w:t>
            </w: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55,914</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55,914</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7,632</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7,632</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4,750</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9,907</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9,907</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Derivatives - currency forward contracts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58,941</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22,490</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81,431</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27, 2013:</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40,628</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40,628</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4,677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5,018</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4,752</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9,605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9,605</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Derivatives - currency forward contracts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45,694</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19,041</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64,735</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Consists of cash on hand in bank deposits and highly liquid investments, primarily money market accounts. The fair value was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quoted market prices in active markets. The carrying amount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Consists of cash and cash equivalents held in bank deposit accounts to secure issuances of foreign bank guarantees.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was measured using quoted market prices in active markets. The carrying amount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Certificates of deposit</w:t>
      </w:r>
      <w:r>
        <w:rPr>
          <w:rFonts w:ascii="Arial" w:cs="Arial" w:eastAsia="Arial" w:hAnsi="Arial"/>
          <w:sz w:val="18"/>
          <w:szCs w:val="18"/>
          <w:color w:val="auto"/>
        </w:rPr>
        <w:t>: Consists of time deposit accounts with original maturities of less than three years and various yields. The fair value of these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was measured based on valuations observed in less active markets than Level 1 investments from a third-party financial institution. The carrying amount approximates fair value.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Government securities</w:t>
      </w:r>
      <w:r>
        <w:rPr>
          <w:rFonts w:ascii="Arial" w:cs="Arial" w:eastAsia="Arial" w:hAnsi="Arial"/>
          <w:sz w:val="16"/>
          <w:szCs w:val="16"/>
          <w:color w:val="auto"/>
        </w:rPr>
        <w:t>: Consists of U.S. Government treasury bills, notes, and bonds with original maturities of less than three years and various yields.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securities was measured using quoted market prices in active markets.</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U.S. Government sponsored entities</w:t>
      </w:r>
      <w:r>
        <w:rPr>
          <w:rFonts w:ascii="Arial" w:cs="Arial" w:eastAsia="Arial" w:hAnsi="Arial"/>
          <w:sz w:val="16"/>
          <w:szCs w:val="16"/>
          <w:color w:val="auto"/>
        </w:rPr>
        <w:t>: Consists of Fannie Mae and Federal Home Loan Bank investment grade debt securities trading with sufficient frequency</w:t>
      </w:r>
      <w:r>
        <w:rPr>
          <w:rFonts w:ascii="Arial" w:cs="Arial" w:eastAsia="Arial" w:hAnsi="Arial"/>
          <w:sz w:val="16"/>
          <w:szCs w:val="16"/>
          <w:i w:val="1"/>
          <w:iCs w:val="1"/>
          <w:color w:val="auto"/>
        </w:rPr>
        <w:t xml:space="preserve"> </w:t>
      </w:r>
      <w:r>
        <w:rPr>
          <w:rFonts w:ascii="Arial" w:cs="Arial" w:eastAsia="Arial" w:hAnsi="Arial"/>
          <w:sz w:val="16"/>
          <w:szCs w:val="16"/>
          <w:color w:val="auto"/>
        </w:rPr>
        <w:t>and volume to enable us to obtain pricing information on an ongoing basis. The fair value of these securities was measured based on valuations observed in less active markets than Level 1 investments. The contractual maturities of these investments vary from one month to three years.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Municipal obligations</w:t>
      </w:r>
      <w:r>
        <w:rPr>
          <w:rFonts w:ascii="Arial" w:cs="Arial" w:eastAsia="Arial" w:hAnsi="Arial"/>
          <w:sz w:val="18"/>
          <w:szCs w:val="18"/>
          <w:color w:val="auto"/>
        </w:rPr>
        <w:t>: Consists of investment grade municipal bonds trading with sufficient frequency and volume to enable us to obtain pricing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on an ongoing basis. The contractual maturities of these investments vary from one month to three years. The fair value of these bonds was measured based on valuations observed in less active markets than Level 1 investments.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Derivatives – currency forward contracts</w:t>
      </w:r>
      <w:r>
        <w:rPr>
          <w:rFonts w:ascii="Arial" w:cs="Arial" w:eastAsia="Arial" w:hAnsi="Arial"/>
          <w:sz w:val="18"/>
          <w:szCs w:val="18"/>
          <w:color w:val="auto"/>
        </w:rPr>
        <w:t>: Consists of currency forward contracts trading with sufficient frequency and volume to enable us to obtain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an ongoing basis. The fair value of these securities was measured based on valuation from a third-party bank. See Note 12 for more information regarding our derivatives.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measurement standard also applies to certain non-financial assets and liabilities measured at fair value on a nonrecurring basis. For example, certain long-lived assets such as goodwill, intangible assets and property, plant and equipment are measured at fair value in connection with business combinations or when an impairment is recognized and the related assets are written down to fair value. We utilized the fair value measurement standard to value the assets and liabilities for the business combination involving OPEN, which occurred during the first three months of fiscal 2014. See Note 5 for more information on the business combination. We did not make any material business combinations or recognize any significant impairment losses during fiscal 2013.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on the balance sheet within other assets or accounts payable measured at fair value, and changes in fair values are recognized in earnings unless specific hedge accounting criteria are met for cash flow or net investment hedges. As of January 25, 2014 and April 27, 2013, we had not designated any of our derivative instruments as accounting hedges, and thus we recorded the changes in fair value in other (expense) income, net.</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United States Dollars at January 25, 2014 and April 27, 2013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00" w:type="dxa"/>
            <w:vAlign w:val="bottom"/>
            <w:gridSpan w:val="4"/>
          </w:tcPr>
          <w:p>
            <w:pPr>
              <w:ind w:left="760"/>
              <w:spacing w:after="0"/>
              <w:rPr>
                <w:sz w:val="20"/>
                <w:szCs w:val="20"/>
                <w:color w:val="auto"/>
              </w:rPr>
            </w:pPr>
            <w:r>
              <w:rPr>
                <w:rFonts w:ascii="Arial" w:cs="Arial" w:eastAsia="Arial" w:hAnsi="Arial"/>
                <w:sz w:val="18"/>
                <w:szCs w:val="18"/>
                <w:b w:val="1"/>
                <w:bCs w:val="1"/>
                <w:color w:val="auto"/>
              </w:rPr>
              <w:t>January 25, 2014</w:t>
            </w:r>
          </w:p>
        </w:tc>
        <w:tc>
          <w:tcPr>
            <w:tcW w:w="27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April 27, 2013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Currency</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 Exchange Forward Contracts:</w:t>
            </w: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Dollars/Australian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3,818</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Dollars/Canadian Dollars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Dollars/British Pounds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Dollars/Euros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1,789</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1,334</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January 25, 2014 and April 27, 2013, there was a net asset of $201 and $7, respectively, representing the fair value of foreign currency exchange forward contracts, which was determined using Level 2 inputs from a third-party bank.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February 27, 2014, our Board of Directors declared a dividend of $0.09 per share payable on March 21, 2014 to shareholders of record of our common stock on March 10,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that are subject to the safe harbors created under the Securities Act of 1933, as amended, and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our intent, belief or current expectations with respect to, among other things: (i) our financing plans; (ii) trends affecting our financial condition or results of operations; (iii) our growth strategy and operating strategy; (iv) the declaration and payment of dividends; (v) the timing and magnitude of future contracts; (vi) parts shortages and longer lead times; (vii) fluctuations in margins; and (viii) the introduction of new products and technology.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our filings with the Securities and Exchange Commission, including our Annual Report on Form 10-K for the fiscal year ended April 27, 2013 in the section entitled “Item 1A. Risk Factors.”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highlights the principal factors affecting changes in financial condition and results of operations. This discussion should be read in conjunction with the accompanying Consolidated Financial Statements and Notes to the Consolidated Financial Statements.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affecting the reported amounts of assets, liabilities, revenues and expenses and related disclosure of contingent assets and liabilities. On a regular basis, we evaluate our estimates, including those related to estimated total costs on long-term construction-type contracts, estimated costs to be incurred for product warranties and extended maintenance contracts, bad debts, excess and obsolete inventory, income taxes, stock-based compensation and contingencies. Our estimates are based on historical experience and on various other assumptions we believe to be reasonable under the circumstances, the results of which form the basis for making judgments about the carrying values of assets and liabilities not readily apparent from other sources. Actual results may differ from these estimates under different assumptions or conditions.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design, manufacture and sell a wide range of display systems to customers throughout the world. We focus our sales and marketing efforts on markets, geographical regions and products. Our five business segments consist of four domestic business units and an International business unit. The four domestic business units consist of Commercial, Live Events, Schools and Theatres, and Transportation, all of which include the geographic territories of the United States and Canada.</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net sales and profitability historically have fluctuated due to the impact of large project orders, such as display systems for professional sports facilities and colleges and universities or spectacular projects in the commercial area, as well as the seasonality of the sports market. Large project orders can include a number of displays, controllers, and subcontracted structure builds, each of which can occur on varied schedules according to the customer's needs. Net sales and gross profit percentages also have fluctuated due to other seasonal factors, including the impact of holidays, which primarily affects our third quarter. Our gross margins on large custom and standard orders tend to fluctuate more than on small standard orders. Large product orders involving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our future results of operations will be subject to similar fluctuations.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are booked and included in backlog only upon receipt of an executed contract and any required deposits. As a result, certain orders for which we have received binding letters of intent or contracts will not be booked until all required contractual documents and deposits are received. In addition, order bookings can vary significantly on a quarterly basis as a result of the timing of large orders.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1 of the Notes to the Consolidated Financial Statements, included elsewhere in this Report.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especially the large video display business in all of our business units, is very competitive, and generally our margins on these large video display contracts are similar across the business units over the long-term. There are, however, differences in the short term among the business units, which are discussed in the following analysis.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Overall, our business growth is driven by the market demand for large format electronic displays with the depth and quality of our products, including related control systems, the depth of our service offerings and our technology serving these market demands. This growth, however, is partially offset by declines in product prices caused by increasing competition. Each business unit also has unique key growth drivers and challenges.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Over the long-term, we believe growth in the Commercial business unit will result from a number of factors, including:</w:t>
      </w:r>
    </w:p>
    <w:p>
      <w:pPr>
        <w:spacing w:after="0" w:line="237" w:lineRule="exact"/>
        <w:rPr>
          <w:sz w:val="20"/>
          <w:szCs w:val="20"/>
          <w:color w:val="auto"/>
        </w:rPr>
      </w:pPr>
    </w:p>
    <w:p>
      <w:pPr>
        <w:jc w:val="both"/>
        <w:ind w:left="660" w:hanging="328"/>
        <w:spacing w:after="0" w:line="26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growing interest in our standard display products used in many different retail-type establishments and other types of commercial establishments. The demand in this area is driven by these establishments' desire to attract the attention of motorists and others into their storefronts. It is also driven by the need to communicate messages to the public. National accounts may replace their displays reaching end of life, which could lead to increased sales. Furthermore, we believe in the future there will be increased demand from national accounts, including retailers, quick serve restaurants and other types of nationwide organizations, which could lead to increased sales.</w:t>
      </w:r>
    </w:p>
    <w:p>
      <w:pPr>
        <w:spacing w:after="0" w:line="3" w:lineRule="exact"/>
        <w:rPr>
          <w:rFonts w:ascii="Arial" w:cs="Arial" w:eastAsia="Arial" w:hAnsi="Arial"/>
          <w:sz w:val="17"/>
          <w:szCs w:val="17"/>
          <w:color w:val="auto"/>
        </w:rPr>
      </w:pPr>
    </w:p>
    <w:p>
      <w:pPr>
        <w:ind w:left="660" w:right="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amusement parks and Times Square type locations.</w:t>
      </w: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introduction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30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continued deployment of digital billboards as billboard companies continue developing new sites and start to replace digital billboards which are reaching end of life. This is dependent on there being no adverse changes in the digital billboard regulatory environment, which could restrict future deployments of billboards, as well as maintaining our current market share of the business concentrated in a few large billboard companies.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Live Events Business Unit: </w:t>
      </w:r>
      <w:r>
        <w:rPr>
          <w:rFonts w:ascii="Arial" w:cs="Arial" w:eastAsia="Arial" w:hAnsi="Arial"/>
          <w:sz w:val="17"/>
          <w:szCs w:val="17"/>
          <w:color w:val="auto"/>
        </w:rPr>
        <w:t>Over the long-term, we believe growth in the Live Events business unit will result from a number of factors, including:</w:t>
      </w:r>
    </w:p>
    <w:p>
      <w:pPr>
        <w:spacing w:after="0" w:line="23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Lower product costs, driving an expansion of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and service offerings, which remain the most integrated and comprehensive offerings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Schools and Theatres Business Unit: </w:t>
      </w:r>
      <w:r>
        <w:rPr>
          <w:rFonts w:ascii="Arial" w:cs="Arial" w:eastAsia="Arial" w:hAnsi="Arial"/>
          <w:sz w:val="18"/>
          <w:szCs w:val="18"/>
          <w:color w:val="auto"/>
        </w:rPr>
        <w:t>Over the long-term, we believe growth in the Schools and Theatres business unit will result from a number of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w:t>
      </w:r>
    </w:p>
    <w:p>
      <w:pPr>
        <w:spacing w:after="0" w:line="170"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demand for video systems in high schools as school districts realize the revenue generating potential of these displays versus traditional scoreboards.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Increased demand for different types of displays, such as message centers at schools to communicate to students, parents and the broader community.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of more sophisticated displays in more athletic venues, such as aquatic venues in schools.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Transportation Business Unit: </w:t>
      </w:r>
      <w:r>
        <w:rPr>
          <w:rFonts w:ascii="Arial" w:cs="Arial" w:eastAsia="Arial" w:hAnsi="Arial"/>
          <w:sz w:val="18"/>
          <w:szCs w:val="18"/>
          <w:color w:val="auto"/>
        </w:rPr>
        <w:t>Over the long-term, we believe growth in the Transportation business unit will result from increasing applications of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displays to manage transportation systems, including roadway, airport, parking, transit and other applications. This growth is highly dependent on government spending, primarily by the federal government.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Over the long-term, we believe growth in the International business unit will result from achieving greater penetration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geographies, building products more suited to individual markets, third-party advertising market opportunities, and the reasons listed in each of the other business units to the extent they apply outside the United States and Canada.</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of our business units is impacted by adverse economic conditions in different ways and to different degrees. The effects of an adverse economy are generally less severe on our sports related business as compared to our other businesses, although in severe economic downturns, the sports business also can be severely impacted. Our Commercial and International business units are highly dependent on economic conditions in general.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and selling prices of our products have decreased over time and are expected to continue to decrease in the future. As a result, each year we must sell more product to generate the same or greater level of net sales as in previous fiscal years. This price decline has been significant as a result of increased competition across all business units.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JANUARY 25, 2014 AND JANUARY 26,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0" w:type="dxa"/>
            <w:vAlign w:val="bottom"/>
            <w:gridSpan w:val="5"/>
          </w:tcPr>
          <w:p>
            <w:pPr>
              <w:ind w:left="120"/>
              <w:spacing w:after="0"/>
              <w:rPr>
                <w:sz w:val="20"/>
                <w:szCs w:val="20"/>
                <w:color w:val="auto"/>
              </w:rPr>
            </w:pPr>
            <w:r>
              <w:rPr>
                <w:rFonts w:ascii="Arial" w:cs="Arial" w:eastAsia="Arial" w:hAnsi="Arial"/>
                <w:sz w:val="18"/>
                <w:szCs w:val="18"/>
                <w:b w:val="1"/>
                <w:bCs w:val="1"/>
                <w:color w:val="auto"/>
                <w:w w:val="93"/>
              </w:rPr>
              <w:t>Three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January 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ind w:left="40"/>
              <w:spacing w:after="0"/>
              <w:rPr>
                <w:sz w:val="20"/>
                <w:szCs w:val="20"/>
                <w:color w:val="auto"/>
              </w:rPr>
            </w:pPr>
            <w:r>
              <w:rPr>
                <w:rFonts w:ascii="Arial" w:cs="Arial" w:eastAsia="Arial" w:hAnsi="Arial"/>
                <w:sz w:val="18"/>
                <w:szCs w:val="18"/>
                <w:b w:val="1"/>
                <w:bCs w:val="1"/>
                <w:color w:val="auto"/>
              </w:rPr>
              <w:t>January 26,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6"/>
                <w:szCs w:val="16"/>
                <w:color w:val="auto"/>
              </w:rPr>
            </w:pPr>
          </w:p>
        </w:tc>
        <w:tc>
          <w:tcPr>
            <w:tcW w:w="116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0"/>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3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36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39,016</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30,997</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Live Events</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33,428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26,528</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Schools &amp; Theatres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11,778</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Transportation</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13,531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23,546</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18,384</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18,201</w:t>
            </w:r>
          </w:p>
        </w:tc>
        <w:tc>
          <w:tcPr>
            <w:tcW w:w="2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115,369</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111,050</w:t>
            </w:r>
          </w:p>
        </w:tc>
        <w:tc>
          <w:tcPr>
            <w:tcW w:w="2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52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48,400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36,988</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30.9 %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Live Events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70,442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47,391</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Schools &amp; Theatres</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10,976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10,183</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19,972</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15,053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19,776</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153,242</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134,310</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w:t>
      </w:r>
      <w:r>
        <w:rPr>
          <w:rFonts w:ascii="Arial" w:cs="Arial" w:eastAsia="Arial" w:hAnsi="Arial"/>
          <w:sz w:val="17"/>
          <w:szCs w:val="17"/>
          <w:color w:val="auto"/>
        </w:rPr>
        <w:t>The increase in net sales for the three months ended January 25, 2014 compared to the same period one year ago was the net result of:</w:t>
      </w:r>
    </w:p>
    <w:p>
      <w:pPr>
        <w:spacing w:after="0" w:line="23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$3.0 million in sales of large custom video contracts.</w:t>
      </w:r>
    </w:p>
    <w:p>
      <w:pPr>
        <w:spacing w:after="0" w:line="2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$4.1 million in our third-party advertising niche due to the conversion into sales of a portion of the $12.4 million increase in order volume in the third quarter of fiscal 2014. Increased order levels were the result of the volatility in the timing of orders and an increase in orders for replacements of existing third-party advertising displays.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orders for the three months ended January 25, 2014 compared to the same period one year ago was the result of:</w:t>
      </w:r>
    </w:p>
    <w:p>
      <w:pPr>
        <w:spacing w:after="0" w:line="225" w:lineRule="exact"/>
        <w:rPr>
          <w:sz w:val="20"/>
          <w:szCs w:val="20"/>
          <w:color w:val="auto"/>
        </w:rPr>
      </w:pPr>
    </w:p>
    <w:p>
      <w:pPr>
        <w:ind w:left="6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$12.3 million in orders in our third-party advertising niche. During the third quarter of fiscal 2014, we booked $23.1 million in orders for the third-party advertising niche.</w:t>
      </w:r>
    </w:p>
    <w:p>
      <w:pPr>
        <w:spacing w:after="0" w:line="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of $2.7 million in orders related to extended service agreements, which is mainly due to the timing of renewals for extended service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Live Events: </w:t>
      </w:r>
      <w:r>
        <w:rPr>
          <w:rFonts w:ascii="Arial" w:cs="Arial" w:eastAsia="Arial" w:hAnsi="Arial"/>
          <w:sz w:val="16"/>
          <w:szCs w:val="16"/>
          <w:color w:val="auto"/>
        </w:rPr>
        <w:t>The increase in net sales for the three months ended January 25, 2014 compared to the same period one year ago was primarily the net result of:</w:t>
      </w:r>
    </w:p>
    <w:p>
      <w:pPr>
        <w:spacing w:after="0" w:line="24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net increase of $2.5 million in sales related to video displays for multi-sport facilities and NBA arenas.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$4.7 million in sales related to NFL stadiums.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increased for the three months ended January 25, 2014 compared to the same period one year ago as the current period included contracts for video display systems at three NFL stadiums with a combined total of $45.5 million. Orders for the three months ended January 26, 2013 period included two NFL stadiums totaling $12.7 million.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Schools and Theatres: </w:t>
      </w:r>
      <w:r>
        <w:rPr>
          <w:rFonts w:ascii="Arial" w:cs="Arial" w:eastAsia="Arial" w:hAnsi="Arial"/>
          <w:sz w:val="18"/>
          <w:szCs w:val="18"/>
          <w:color w:val="auto"/>
        </w:rPr>
        <w:t>The decrease in net sales for the three months ended January 25, 2014 compared to the same period one year ago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lower order volume during the first and second quarters of fiscal 2014. This was primarily the result of the level of orders being impacted by the timing of purchasing decisions influenced by economic factors and the size of display systems causing the average selling price of the display systems to be lower than in the previous year.</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increased for the three months ended January 25, 2014 compared to the same period one year ago due to increases in both standard orders and custom contract orders.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Transportation: </w:t>
      </w:r>
      <w:r>
        <w:rPr>
          <w:rFonts w:ascii="Arial" w:cs="Arial" w:eastAsia="Arial" w:hAnsi="Arial"/>
          <w:sz w:val="16"/>
          <w:szCs w:val="16"/>
          <w:color w:val="auto"/>
        </w:rPr>
        <w:t>The decrease in net sales for the three months ended January 25, 2014 compared to the same period one year ago was primarily the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production on an order for a major airport that was included in the third quarter of 2013 with no project of a similar size occurring during the current period.</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for the three months ended January 25, 2014 compared to the same period one year ago decreased primarily due to three orders with state transportation authorities totaling $11.1 million that were booked during the third quarter of fiscal 2013 with no orders of a similar size booked during the current period.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Net sales in our International business unit for the three months ended January 25, 2014 compared to the same period one year ago were</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relatively flat. This is primarily due to lower order volume in the third quarter of fiscal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orders for the three months ended January 25, 2014 compared to the same period one year ago was mainly due to the timing and volatility of large orders.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product order backlog as of January 25, 2014 was $170 million as compared to $149 million as of January 26, 2013 and $132 million at the end of the second quarter of fiscal 2014. Historically, our backlog varies due to the seasonality of our business, the timing of large orders, and customer delivery schedules for these orders. The backlog increased from one year ago in our Commercial and Live Events business units and decreased in our Schools and Theatres, Transportation, and International business units.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Backlog is not a measure defined by U.S. generally accepted accounting principles, and our methodology for determining backlog may vary from the methodology used by other companies in determining their backlog amounts. Our backlog is equal to the amount of net sales expected to be recognized in future periods on standard product and contract sales evidenced by an arrangement with fixed and determinable prices and with collectability reasonably assured. Backlog may not be indicative of future operating results, and arrangements in our backlog may be canceled, modified or otherwise altered; therefore, it is not necessarily indicative of future sales or net income.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6"/>
              </w:rPr>
              <w:t>Three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500"/>
              <w:spacing w:after="0"/>
              <w:rPr>
                <w:sz w:val="20"/>
                <w:szCs w:val="20"/>
                <w:color w:val="auto"/>
              </w:rPr>
            </w:pPr>
            <w:r>
              <w:rPr>
                <w:rFonts w:ascii="Arial" w:cs="Arial" w:eastAsia="Arial" w:hAnsi="Arial"/>
                <w:sz w:val="18"/>
                <w:szCs w:val="18"/>
                <w:b w:val="1"/>
                <w:bCs w:val="1"/>
                <w:color w:val="auto"/>
              </w:rPr>
              <w:t>January 25, 2014</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60"/>
              <w:spacing w:after="0"/>
              <w:rPr>
                <w:sz w:val="20"/>
                <w:szCs w:val="20"/>
                <w:color w:val="auto"/>
              </w:rPr>
            </w:pPr>
            <w:r>
              <w:rPr>
                <w:rFonts w:ascii="Arial" w:cs="Arial" w:eastAsia="Arial" w:hAnsi="Arial"/>
                <w:sz w:val="18"/>
                <w:szCs w:val="18"/>
                <w:b w:val="1"/>
                <w:bCs w:val="1"/>
                <w:color w:val="auto"/>
              </w:rPr>
              <w:t>January 26, 2013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11,367</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29.1%</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7,549</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24.4%</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7,948</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23.8</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4,358</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16.4</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Schools &amp; Theatres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2,407</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21.9</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2,647</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22.5</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3,612</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26.7</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7,118</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30.2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3,755</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20.4</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5,377</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29.5</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29,089</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25.2%</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27,049</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24.4%</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our gross profit percentage for the three months ended January 25, 2014 compared to the same period one year ago was the net result of the following:</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Commercial: </w:t>
      </w:r>
      <w:r>
        <w:rPr>
          <w:rFonts w:ascii="Arial" w:cs="Arial" w:eastAsia="Arial" w:hAnsi="Arial"/>
          <w:sz w:val="17"/>
          <w:szCs w:val="17"/>
          <w:color w:val="auto"/>
        </w:rPr>
        <w:t>The gross profit percent increase for the three months ended January 25, 2014 compared to the same period one year ago was the result of</w:t>
      </w:r>
      <w:r>
        <w:rPr>
          <w:rFonts w:ascii="Arial" w:cs="Arial" w:eastAsia="Arial" w:hAnsi="Arial"/>
          <w:sz w:val="17"/>
          <w:szCs w:val="17"/>
          <w:i w:val="1"/>
          <w:iCs w:val="1"/>
          <w:color w:val="auto"/>
        </w:rPr>
        <w:t xml:space="preserve"> </w:t>
      </w:r>
      <w:r>
        <w:rPr>
          <w:rFonts w:ascii="Arial" w:cs="Arial" w:eastAsia="Arial" w:hAnsi="Arial"/>
          <w:sz w:val="17"/>
          <w:szCs w:val="17"/>
          <w:color w:val="auto"/>
        </w:rPr>
        <w:t>overall gross margin improvement on product sales mix, which was partially offset by higher warranty costs as a percentage of net sales.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increased for the three months ended January 25, 2014 compared to the same period one year ago, which was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improved margins related to better manufacturing utilization with a higher level of sales along with an increase in margins related to changes in product sales mix. Also, lower warranty cost as a percent of sales contributed to the increase in margin.</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Schools and Theatres: </w:t>
      </w:r>
      <w:r>
        <w:rPr>
          <w:rFonts w:ascii="Arial" w:cs="Arial" w:eastAsia="Arial" w:hAnsi="Arial"/>
          <w:sz w:val="16"/>
          <w:szCs w:val="16"/>
          <w:color w:val="auto"/>
        </w:rPr>
        <w:t>The gross profit percent decrease for the three months ended January 25, 2014 compared to the same period one year ago was the</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the sales mix and lower manufacturing utilization due to lower sales volumes, which was offset by decreased expenses in warranty and services.</w:t>
      </w:r>
    </w:p>
    <w:p>
      <w:pPr>
        <w:sectPr>
          <w:pgSz w:w="11900" w:h="16838" w:orient="portrait"/>
          <w:cols w:equalWidth="0" w:num="1">
            <w:col w:w="11420"/>
          </w:cols>
          <w:pgMar w:left="240" w:top="121"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Transportation: </w:t>
      </w:r>
      <w:r>
        <w:rPr>
          <w:rFonts w:ascii="Arial" w:cs="Arial" w:eastAsia="Arial" w:hAnsi="Arial"/>
          <w:sz w:val="16"/>
          <w:szCs w:val="16"/>
          <w:color w:val="auto"/>
        </w:rPr>
        <w:t>The gross profit percent decrease for the three months ended January 25, 2014 compared to the same period one year ago was primarily due</w:t>
      </w:r>
      <w:r>
        <w:rPr>
          <w:rFonts w:ascii="Arial" w:cs="Arial" w:eastAsia="Arial" w:hAnsi="Arial"/>
          <w:sz w:val="16"/>
          <w:szCs w:val="16"/>
          <w:i w:val="1"/>
          <w:iCs w:val="1"/>
          <w:color w:val="auto"/>
        </w:rPr>
        <w:t xml:space="preserve"> </w:t>
      </w:r>
      <w:r>
        <w:rPr>
          <w:rFonts w:ascii="Arial" w:cs="Arial" w:eastAsia="Arial" w:hAnsi="Arial"/>
          <w:sz w:val="16"/>
          <w:szCs w:val="16"/>
          <w:color w:val="auto"/>
        </w:rPr>
        <w:t>to lower margins in large custom projects and lower manufacturing utilization, which were partially offset by decreased expenses in warranty and services.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The gross profit percent decrease for the three months ended January 25, 2014 compared to the same period one year ago was primarily the</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decreased margins on large video display projects and a higher level of manufacturing costs related to our new manufacturing plant in Belgium.</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Selling Expense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gridSpan w:val="3"/>
          </w:tcPr>
          <w:p>
            <w:pPr>
              <w:ind w:left="16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January 25, 2014</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January 26, 2013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rPr>
                <w:sz w:val="16"/>
                <w:szCs w:val="16"/>
                <w:color w:val="auto"/>
              </w:rPr>
            </w:pPr>
          </w:p>
        </w:tc>
        <w:tc>
          <w:tcPr>
            <w:tcW w:w="162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3,418</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10.2</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3,114</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11.7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Schools &amp; Theatres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2,624</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23.8</w:t>
            </w:r>
          </w:p>
        </w:tc>
        <w:tc>
          <w:tcPr>
            <w:tcW w:w="16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2,568</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21.8</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771</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5.7</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3.4</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2,911</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15.8</w:t>
            </w:r>
          </w:p>
        </w:tc>
        <w:tc>
          <w:tcPr>
            <w:tcW w:w="16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(25.0)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3,883</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21.3</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13,188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13,652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consist primarily of salaries, other employee-related costs, travel and entertainment expenses, facilities-related costs for sales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bad debt expenses, third-party commissions and expenditures for marketing efforts, including the costs of collateral materials, conventions and trade shows, product demos, and supplies.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expenses in our Schools and Theatres and Transportation business units remained relatively flat in the three months ended January 25, 2014 compared to the same period one year ago.</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Selling expense in our Commercial and Live Events business units increased $0.2 million and $0.3 million, respectively, in the third quarter of fiscal 2014 compared to the same quarter a year ago which mainly related to increases in payroll, travel and entertainment, and various other expenses. These increases in expenses were partially offset by a decrease in selling expense in our International business unit of $1.0 million primarily due to reductions in third party commissions, bad debt, and travel and entertainment expenses. We use third parties in various locations around the world to expand market opportunities, and third-party commission expenses will occur only if the third party is successful in procuring sales.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gridSpan w:val="3"/>
          </w:tcPr>
          <w:p>
            <w:pPr>
              <w:ind w:left="160"/>
              <w:spacing w:after="0"/>
              <w:rPr>
                <w:sz w:val="20"/>
                <w:szCs w:val="20"/>
                <w:color w:val="auto"/>
              </w:rPr>
            </w:pPr>
            <w:r>
              <w:rPr>
                <w:rFonts w:ascii="Arial" w:cs="Arial" w:eastAsia="Arial" w:hAnsi="Arial"/>
                <w:sz w:val="18"/>
                <w:szCs w:val="18"/>
                <w:b w:val="1"/>
                <w:bCs w:val="1"/>
                <w:color w:val="auto"/>
                <w:w w:val="93"/>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January 25, 2014</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ind w:left="560"/>
              <w:spacing w:after="0"/>
              <w:rPr>
                <w:sz w:val="20"/>
                <w:szCs w:val="20"/>
                <w:color w:val="auto"/>
              </w:rPr>
            </w:pPr>
            <w:r>
              <w:rPr>
                <w:rFonts w:ascii="Arial" w:cs="Arial" w:eastAsia="Arial" w:hAnsi="Arial"/>
                <w:sz w:val="18"/>
                <w:szCs w:val="18"/>
                <w:b w:val="1"/>
                <w:bCs w:val="1"/>
                <w:color w:val="auto"/>
              </w:rPr>
              <w:t>January 26, 2013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6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62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6,717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5,649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0.7 %</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560"/>
              <w:spacing w:after="0"/>
              <w:rPr>
                <w:sz w:val="20"/>
                <w:szCs w:val="20"/>
                <w:color w:val="auto"/>
              </w:rPr>
            </w:pPr>
            <w:r>
              <w:rPr>
                <w:rFonts w:ascii="Arial" w:cs="Arial" w:eastAsia="Arial" w:hAnsi="Arial"/>
                <w:sz w:val="18"/>
                <w:szCs w:val="18"/>
                <w:color w:val="auto"/>
              </w:rPr>
              <w:t>5,611</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amortization of intangibles and the costs of supplies. General and administrative expenses in the third quarter of fiscal 2014 as compared to the same period one year ago remained relatively flat.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Product design and development expenses </w:t>
      </w:r>
      <w:r>
        <w:rPr>
          <w:rFonts w:ascii="Arial" w:cs="Arial" w:eastAsia="Arial" w:hAnsi="Arial"/>
          <w:sz w:val="17"/>
          <w:szCs w:val="17"/>
          <w:color w:val="auto"/>
        </w:rPr>
        <w:t>consist primarily of salaries, other employee-related costs, facilities cost and equipment-related costs and supplies.</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development investments in the near term are focused on video technology with a range of pixel pitches for outdoor applications using LED surface mount technology, which offers improved performance at a lower cost point over our current offerings. In addition, we continue to focus on various other products to standardize display components and control systems for both single site displays and networked displays.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costs for product development represent an allocated amount of costs based on time charges, materials costs and the overhead of our engineering departments. Generally, a significant portion of our engineering time is spent on product development, while the rest is allocated to large contract work and included in cost of goods sold. Product development expenses in the third quarter of fiscal 2014 as compared to the same period one year ago remained relatively flat.</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5"/>
          </w:tcPr>
          <w:p>
            <w:pPr>
              <w:jc w:val="center"/>
              <w:ind w:left="1110"/>
              <w:spacing w:after="0"/>
              <w:rPr>
                <w:sz w:val="20"/>
                <w:szCs w:val="20"/>
                <w:color w:val="auto"/>
              </w:rPr>
            </w:pPr>
            <w:r>
              <w:rPr>
                <w:rFonts w:ascii="Arial" w:cs="Arial" w:eastAsia="Arial" w:hAnsi="Arial"/>
                <w:sz w:val="18"/>
                <w:szCs w:val="18"/>
                <w:b w:val="1"/>
                <w:bCs w:val="1"/>
                <w:color w:val="auto"/>
                <w:w w:val="92"/>
              </w:rPr>
              <w:t>Three Months Ended</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4"/>
          </w:tcPr>
          <w:p>
            <w:pPr>
              <w:ind w:left="500"/>
              <w:spacing w:after="0"/>
              <w:rPr>
                <w:sz w:val="20"/>
                <w:szCs w:val="20"/>
                <w:color w:val="auto"/>
              </w:rPr>
            </w:pPr>
            <w:r>
              <w:rPr>
                <w:rFonts w:ascii="Arial" w:cs="Arial" w:eastAsia="Arial" w:hAnsi="Arial"/>
                <w:sz w:val="18"/>
                <w:szCs w:val="18"/>
                <w:b w:val="1"/>
                <w:bCs w:val="1"/>
                <w:color w:val="auto"/>
              </w:rPr>
              <w:t>January 25, 2014</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January 26, 2013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a Percent of</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Percent</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40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5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6"/>
              </w:rPr>
              <w:t>Net Sales</w:t>
            </w:r>
          </w:p>
        </w:tc>
        <w:tc>
          <w:tcPr>
            <w:tcW w:w="13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Change</w:t>
            </w:r>
          </w:p>
        </w:tc>
        <w:tc>
          <w:tcPr>
            <w:tcW w:w="200" w:type="dxa"/>
            <w:vAlign w:val="bottom"/>
          </w:tcPr>
          <w:p>
            <w:pPr>
              <w:spacing w:after="0"/>
              <w:rPr>
                <w:sz w:val="16"/>
                <w:szCs w:val="16"/>
                <w:color w:val="auto"/>
              </w:rPr>
            </w:pPr>
          </w:p>
        </w:tc>
        <w:tc>
          <w:tcPr>
            <w:tcW w:w="10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Amount</w:t>
            </w:r>
          </w:p>
        </w:tc>
        <w:tc>
          <w:tcPr>
            <w:tcW w:w="138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22.8 %</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We generate interest income through short-term cash investments, marketable securities, product sales on an installment basis,</w:t>
      </w:r>
      <w:r>
        <w:rPr>
          <w:rFonts w:ascii="Arial" w:cs="Arial" w:eastAsia="Arial" w:hAnsi="Arial"/>
          <w:sz w:val="18"/>
          <w:szCs w:val="18"/>
          <w:i w:val="1"/>
          <w:iCs w:val="1"/>
          <w:color w:val="auto"/>
        </w:rPr>
        <w:t xml:space="preserve"> </w:t>
      </w:r>
      <w:r>
        <w:rPr>
          <w:rFonts w:ascii="Arial" w:cs="Arial" w:eastAsia="Arial" w:hAnsi="Arial"/>
          <w:sz w:val="18"/>
          <w:szCs w:val="18"/>
          <w:color w:val="auto"/>
        </w:rPr>
        <w:t>or in exchange for the rights to sell and retain advertising revenues from displays, which result in long-term receivables. Interest expense is comprised primarily of interest costs on long-term marketing obligations.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income, net decreased in the third quarter of fiscal 2014 compared to the same period one year ago primarily due to a lower level of income on investments due to lower yields available in the market when reinvesting available cash. As a result of the volatility of working capital needs and changes in investing and financing activities, along with changes in the interest rate environment, it is difficult to project changes in interest income.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The net result of other income and expenses was flat for the third quarter of fiscal 2014 as compared to the same period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ago.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effective tax rate was 19.3 percent for the third quarter of fiscal 2014 as compared to an effective tax rate of 31.2 percent, excluding a one-time retroactive extension of the research tax credit, which resulted in an effective tax benefit of 119.6 percent for the third quarter of fiscal 2013. Our effective tax rate can potentially have wide variances from quarter to quarter, resulting from interim reporting requirements, and the recognition of discrete events. In comparing the third quarter of fiscal 2014 to the third quarter of fiscal 2013, changes in our effective tax rate were the net result of the following:</w:t>
      </w:r>
    </w:p>
    <w:p>
      <w:pPr>
        <w:spacing w:after="0" w:line="154" w:lineRule="exact"/>
        <w:rPr>
          <w:sz w:val="20"/>
          <w:szCs w:val="20"/>
          <w:color w:val="auto"/>
        </w:rPr>
      </w:pPr>
    </w:p>
    <w:p>
      <w:pPr>
        <w:ind w:left="660" w:right="2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4.6 percentage points due to the retroactive extension of the research and development tax credit for the third quarter of fiscal 2013 as compared to the third quarter of fiscal 2014.</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benefit of 3.6 percentage points for return to provision adjustments related to permanent differences, larger deductible stock option expenses, and change in tax rate estimates.</w:t>
      </w: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1.3 percentage points based on higher dividend deductions in the third quarter of fiscal 2013 as compared to the third quarter of fiscal 2014.</w:t>
      </w: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the effective tax rate of approximately 1.2 percentage points due to a one-time adjustment that resulted in a refund in the second quarter of fiscal 2013 related to a foreign entity tax return which did not reoccur in the current period.</w:t>
      </w:r>
    </w:p>
    <w:p>
      <w:pPr>
        <w:ind w:left="6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effective tax rate can vary significantly due to the mix of pre-tax income and permanent adjustments to taxable income in different countries and the estimate of the annual effective rate in each country.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5"/>
          </w:tcPr>
          <w:p>
            <w:pPr>
              <w:spacing w:after="0"/>
              <w:rPr>
                <w:sz w:val="20"/>
                <w:szCs w:val="20"/>
                <w:color w:val="auto"/>
              </w:rPr>
            </w:pPr>
            <w:r>
              <w:rPr>
                <w:rFonts w:ascii="Arial" w:cs="Arial" w:eastAsia="Arial" w:hAnsi="Arial"/>
                <w:sz w:val="18"/>
                <w:szCs w:val="18"/>
                <w:b w:val="1"/>
                <w:bCs w:val="1"/>
                <w:color w:val="auto"/>
                <w:w w:val="98"/>
              </w:rPr>
              <w:t>COMPARISON OF THE NINE MONTHS ENDED JANUARY 25, 2014 AND JANUARY 26, 2013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gridSpan w:val="4"/>
          </w:tcPr>
          <w:p>
            <w:pPr>
              <w:ind w:left="180"/>
              <w:spacing w:after="0"/>
              <w:rPr>
                <w:sz w:val="20"/>
                <w:szCs w:val="20"/>
                <w:color w:val="auto"/>
              </w:rPr>
            </w:pPr>
            <w:r>
              <w:rPr>
                <w:rFonts w:ascii="Arial" w:cs="Arial" w:eastAsia="Arial" w:hAnsi="Arial"/>
                <w:sz w:val="18"/>
                <w:szCs w:val="18"/>
                <w:b w:val="1"/>
                <w:bCs w:val="1"/>
                <w:color w:val="auto"/>
                <w:w w:val="91"/>
              </w:rPr>
              <w:t>Nine Months Ended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January 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26,</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6"/>
                <w:szCs w:val="16"/>
                <w:color w:val="auto"/>
              </w:rPr>
            </w:pPr>
          </w:p>
        </w:tc>
        <w:tc>
          <w:tcPr>
            <w:tcW w:w="116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6"/>
                <w:szCs w:val="16"/>
                <w:color w:val="auto"/>
              </w:rPr>
            </w:pPr>
          </w:p>
        </w:tc>
        <w:tc>
          <w:tcPr>
            <w:tcW w:w="142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4"/>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3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36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117,690</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109,127</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Live Events</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146,680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121,641</w:t>
            </w:r>
          </w:p>
        </w:tc>
        <w:tc>
          <w:tcPr>
            <w:tcW w:w="20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Schools &amp; Theatres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47,750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51,639</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Transportation</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41,811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57,713</w:t>
            </w:r>
          </w:p>
        </w:tc>
        <w:tc>
          <w:tcPr>
            <w:tcW w:w="20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61,799</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53,720</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415,730</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393,840</w:t>
            </w:r>
          </w:p>
        </w:tc>
        <w:tc>
          <w:tcPr>
            <w:tcW w:w="2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52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123,522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113,622</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Live Events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174,002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132,285</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Schools &amp; Theatres</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44,669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48,106</w:t>
            </w:r>
          </w:p>
        </w:tc>
        <w:tc>
          <w:tcPr>
            <w:tcW w:w="20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34,048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59,504</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63,238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64,667</w:t>
            </w:r>
          </w:p>
        </w:tc>
        <w:tc>
          <w:tcPr>
            <w:tcW w:w="20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439,479</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418,184</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increase in the net sales for the nine months ended January 25, 2014 compared to the same period one year ago, was the net result of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sales of our large video display projects and reseller niche.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 in orders for the nine months ended January 25, 2014 compared to the same period one year ago was the result of an increase in orders in the reseller and third-party advertising niches, as well as an increase in orders of large video projects.</w:t>
      </w:r>
    </w:p>
    <w:p>
      <w:pPr>
        <w:spacing w:after="0" w:line="170" w:lineRule="exact"/>
        <w:rPr>
          <w:sz w:val="20"/>
          <w:szCs w:val="20"/>
          <w:color w:val="auto"/>
        </w:rPr>
      </w:pPr>
    </w:p>
    <w:p>
      <w:pPr>
        <w:jc w:val="both"/>
        <w:ind w:left="60"/>
        <w:spacing w:after="0" w:line="257" w:lineRule="auto"/>
        <w:rPr>
          <w:sz w:val="20"/>
          <w:szCs w:val="20"/>
          <w:color w:val="auto"/>
        </w:rPr>
      </w:pPr>
      <w:r>
        <w:rPr>
          <w:rFonts w:ascii="Arial" w:cs="Arial" w:eastAsia="Arial" w:hAnsi="Arial"/>
          <w:sz w:val="18"/>
          <w:szCs w:val="18"/>
          <w:color w:val="auto"/>
        </w:rPr>
        <w:t>Over the near-term in fiscal 2014, we believe the Commercial business unit sales for fiscal 2014 will be slightly higher due to increases in the shipment of digital billboard orders and increases in large video projects compared to fiscal 2013. A number of custom video project opportunities are available in the marketplace; however, due to a number of factors, such as the discretionary nature of customers committing to a system, it is difficult to precisely predict orders and sales for fiscal 2014 in the Commercial business unit. We expect growth in this business unit over the long-term, assuming the economy continues to improve.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increase in net sales for the nine months ended January 25, 2014 compared to the same period one year ago was the net result of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orders during the first three quarters of fiscal 2014 resulting from $4.5 million in sales from multi-sport arenas, $12.7 million in sales to NFL stadiums, and $3.2 million in sales to universities.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for the nine months ended January 25, 2014 compared to the same period one year ago increased $41.7 million, which was attributed to an increase in orders for NFL stadiums and multi-sport arenas offset by a slight decrease in university orders.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see ongoing interest from venues at all levels to increase the size and capability of their display systems, which offers continued growth opportunity for this market in fiscal 2014. A number of factors, such as the discretionary nature of customers committing to upgrade systems, versus the non-discretionary purchases associated with new construction, the current aggressive competitive environment and various other factors, make forecasting orders and net sales difficult. However, we expect growth in this business unit over the long-term, assuming the economy continues to improve and we are successful at counteracting competitive pressures.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Schools and Theatres: </w:t>
      </w:r>
      <w:r>
        <w:rPr>
          <w:rFonts w:ascii="Arial" w:cs="Arial" w:eastAsia="Arial" w:hAnsi="Arial"/>
          <w:sz w:val="16"/>
          <w:szCs w:val="16"/>
          <w:color w:val="auto"/>
        </w:rPr>
        <w:t>The decrease in net sales for the nine months ended January 25, 2014 compared to the same period one year ago was primarily the</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a lower volume of sales from video projects as a result of a decrease in the size of video displays, causing the average selling price of the displays to be lower than in the previous year. The decline has also been caused by the timing in purchasing decisions that are impacted by economic factors.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for the nine months ended January 25, 2014 decreased compared to the same period one year ago primarily as the result of the level of orders remaining the same, but the size of displays or average selling price of the displays being lower than in the previous year.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continue to see opportunities to sell larger video systems for the remainder of fiscal 2014, primarily in high school facilities which benefit from our sports marketing services in generating advertising revenue to fund the display systems; however, orders may not increase over fiscal 2013. A number of factors, such as the discretionary nature of customers committing to upgrade products and economic factors</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which impact non-discretionary purchases associated with new construction, impact order volumes. For the long term, we believe this business unit presents growth opportunities as the economy continues to improve and larger video systems are adopted.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decrease in net sales for the nine months ended January 25, 2014 compared to the same period one year ago was primarily the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$27.9 million in sales recognized during the first nine months of fiscal 2013 for two significant projects with no sales from recurring projects of a similar size recognized during fiscal 2014.</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orders for the nine months ended January 25, 2014 compared to the same period one year ago was primarily due to two orders totaling $26.8 million booked during the first three quarters of fiscal 2013 with no orders in similar size booked during fiscal 2014.</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Currently, for fiscal 2014 we do not expect another large project similar to the major airport project booked in the first quarter of 2013. However, with the introduction of our 20mm high resolution full-color products in fiscal 2013, we are anticipating sales to adjust back to a more normal growth curve for the remainder of fiscal 2014 with an increase over fiscal 2012 sales levels.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increase in net sales for the nine months ended January 25, 2014 compared to the same period one year ago is the net result of a higher</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backlog for fiscal 2014 compared to fiscal 2013, a portion of the orders booked during the first nine months of fiscal 2014 converting into sales and progress on large projects.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completed the acquisition of OPEN during the first quarter of fiscal 2014. OPEN's sales were included in the International business unit results and contributed $3.3 million of net sales through January 25,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Orders for the nine months ended January 25, 2014 compared to the same period one year ago were relatively flat.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fiscal 2014, we believe the International business unit has potential for sales growth as we penetrate markets with our established sales networks and the pipeline of projects increases. In addition, the third-party advertising business continues to be strong worldwide, and we see a definite shift to digital as prices for displays have come down. We continue to see an increase in our pipeline for large video projects and the availability of projects using architectural lighting solutions.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9"/>
              </w:rPr>
              <w:t>Nine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500"/>
              <w:spacing w:after="0"/>
              <w:rPr>
                <w:sz w:val="20"/>
                <w:szCs w:val="20"/>
                <w:color w:val="auto"/>
              </w:rPr>
            </w:pPr>
            <w:r>
              <w:rPr>
                <w:rFonts w:ascii="Arial" w:cs="Arial" w:eastAsia="Arial" w:hAnsi="Arial"/>
                <w:sz w:val="18"/>
                <w:szCs w:val="18"/>
                <w:b w:val="1"/>
                <w:bCs w:val="1"/>
                <w:color w:val="auto"/>
              </w:rPr>
              <w:t>January 25, 2014</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60"/>
              <w:spacing w:after="0"/>
              <w:rPr>
                <w:sz w:val="20"/>
                <w:szCs w:val="20"/>
                <w:color w:val="auto"/>
              </w:rPr>
            </w:pPr>
            <w:r>
              <w:rPr>
                <w:rFonts w:ascii="Arial" w:cs="Arial" w:eastAsia="Arial" w:hAnsi="Arial"/>
                <w:sz w:val="18"/>
                <w:szCs w:val="18"/>
                <w:b w:val="1"/>
                <w:bCs w:val="1"/>
                <w:color w:val="auto"/>
              </w:rPr>
              <w:t>January 26, 2013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34,791</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29.6%</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29,435</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27.0%</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32,572</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22.2</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26,016</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21.4</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Schools &amp; Theatres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13,194</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27.6</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13,858</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26.8</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12,200</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29.2</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20,730</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35.9</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15,199</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24.6</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15,752</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29.3</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107,956</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26.0%</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105,791</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26.9%</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decrease in our gross profit percentage for the nine months ended January 25, 2014 compared to the same period one year ago was the net result of the changes described below:</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Commercial: </w:t>
      </w:r>
      <w:r>
        <w:rPr>
          <w:rFonts w:ascii="Arial" w:cs="Arial" w:eastAsia="Arial" w:hAnsi="Arial"/>
          <w:sz w:val="16"/>
          <w:szCs w:val="16"/>
          <w:color w:val="auto"/>
        </w:rPr>
        <w:t>The gross profit percent increase in the Commercial business unit for the nine months ended January 25, 2014 compared to the same period one</w:t>
      </w:r>
      <w:r>
        <w:rPr>
          <w:rFonts w:ascii="Arial" w:cs="Arial" w:eastAsia="Arial" w:hAnsi="Arial"/>
          <w:sz w:val="16"/>
          <w:szCs w:val="16"/>
          <w:i w:val="1"/>
          <w:iCs w:val="1"/>
          <w:color w:val="auto"/>
        </w:rPr>
        <w:t xml:space="preserve"> </w:t>
      </w:r>
      <w:r>
        <w:rPr>
          <w:rFonts w:ascii="Arial" w:cs="Arial" w:eastAsia="Arial" w:hAnsi="Arial"/>
          <w:sz w:val="16"/>
          <w:szCs w:val="16"/>
          <w:color w:val="auto"/>
        </w:rPr>
        <w:t>year ago was the result of overall gross margin improvement on product sales mix, which was partially offset by increased warranty and manufacturing costs.</w:t>
      </w:r>
    </w:p>
    <w:p>
      <w:pPr>
        <w:spacing w:after="0" w:line="124" w:lineRule="exact"/>
        <w:rPr>
          <w:sz w:val="20"/>
          <w:szCs w:val="20"/>
          <w:color w:val="auto"/>
        </w:rPr>
      </w:pPr>
    </w:p>
    <w:p>
      <w:pPr>
        <w:ind w:left="60"/>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increase in the Live Events business unit for the nine months ended January 25, 2014 compared to the same period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ago was the result of improved manufacturing utilization from increased sales, offset by slightly higher warranty costs.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Schools and Theatres: </w:t>
      </w:r>
      <w:r>
        <w:rPr>
          <w:rFonts w:ascii="Arial" w:cs="Arial" w:eastAsia="Arial" w:hAnsi="Arial"/>
          <w:sz w:val="18"/>
          <w:szCs w:val="18"/>
          <w:color w:val="auto"/>
        </w:rPr>
        <w:t>The gross profit percent increase in the Schools and Theatres business unit for the nine months ended January 25, 2014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one year ago was the result of overall gross margin improvement on product sales mix, which was partially offset by increased manufacturing costs.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decrease in the Transportation business unit for the nine months ended January 25, 2014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one year ago was the result of a lower volume of large custom projects, which was partially offset by improved manufacturing utilization and lower warranty costs.</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decrease in the International business unit for the nine months ended January 25, 2014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one year ago was the net result of:</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the gross margin on product sales, which decreased the overall gross profit by approximately four percentage points.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of approximately three percentage points due to a higher level of manufacturing costs related to our new manufacturing plant in Belgium for third-party advertising displays.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approximately two percentage points as a result of lower warranty costs.</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It is difficult to project gross profit levels for fiscal 2014 because of the uncertainty regarding the level of sales and the competitive factors in our business. We are focused on improving our gross profit margins as we execute on our strategies for improved profitability. We are continuing to focus our efforts on the quality of the supply chain, the quality of the manufacturing process by adding additional quality testing in our manufacturing areas, product reliability in designs to improve warranty costs as a percent of net sales, and continuing our focus on improved process flow in our services organization to improve gross profit margin. Any increase in gross profit for fiscal 2014 assumes competitive pressures remain consistent with the levels of fiscal 2013.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Selling Expense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gridSpan w:val="3"/>
          </w:tcPr>
          <w:p>
            <w:pPr>
              <w:ind w:left="200"/>
              <w:spacing w:after="0"/>
              <w:rPr>
                <w:sz w:val="20"/>
                <w:szCs w:val="20"/>
                <w:color w:val="auto"/>
              </w:rPr>
            </w:pPr>
            <w:r>
              <w:rPr>
                <w:rFonts w:ascii="Arial" w:cs="Arial" w:eastAsia="Arial" w:hAnsi="Arial"/>
                <w:sz w:val="18"/>
                <w:szCs w:val="18"/>
                <w:b w:val="1"/>
                <w:bCs w:val="1"/>
                <w:color w:val="auto"/>
                <w:w w:val="95"/>
              </w:rPr>
              <w:t>Nine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January 25, 2014</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January 26, 2013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rPr>
                <w:sz w:val="16"/>
                <w:szCs w:val="16"/>
                <w:color w:val="auto"/>
              </w:rPr>
            </w:pPr>
          </w:p>
        </w:tc>
        <w:tc>
          <w:tcPr>
            <w:tcW w:w="162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9,413</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6.4</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9,624</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7.9</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Schools &amp; Theatres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7,907</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16.6</w:t>
            </w:r>
          </w:p>
        </w:tc>
        <w:tc>
          <w:tcPr>
            <w:tcW w:w="16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7,767</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15.0</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2,454</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5.9</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2,408</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4.2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9,571</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15.5</w:t>
            </w:r>
          </w:p>
        </w:tc>
        <w:tc>
          <w:tcPr>
            <w:tcW w:w="16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9,324</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17.4</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40,110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39,528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selling expenses in the first nine months of fiscal 2014 compared to the same period one year ago was the net result of the following:</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Selling expenses increased for the first nine months of fiscal 2014 compared to the same period in fiscal 2013 due to a $0.6 million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travel and entertainment, payroll benefits, and third-party commission expenses, which was partially offset by a $0.3 million decrease in depreciation expense.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decrease in selling expenses for the first nine months of fiscal 2014 compared to the same period in fiscal 2013 was the result of a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$0.2 million in convention and depreciation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Schools &amp; Theatres: </w:t>
      </w:r>
      <w:r>
        <w:rPr>
          <w:rFonts w:ascii="Arial" w:cs="Arial" w:eastAsia="Arial" w:hAnsi="Arial"/>
          <w:sz w:val="18"/>
          <w:szCs w:val="18"/>
          <w:color w:val="auto"/>
        </w:rPr>
        <w:t>Selling expenses increased for the first nine months of fiscal 2014 compared to the same period in fiscal 2013 due to a $0.2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payroll benefits, travel and entertainment and marketing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Selling expenses remained flat for the first nine months of fiscal 2014 compared to the same period one year ago.</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increase in selling expenses for the first nine months of fiscal 2014 compared to the same period one year ago was the result of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personnel costs, including taxes and benefits, professional fees, and various other expenses. The increases are mostly due to the expansion of our international business in Belgium, Brazil, and Spain. The increase in selling expense was partially offset by a $0.5 million decrease in third-party commissions on significant contracts.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We expect selling expenses will increase slightly in dollars in fiscal 2014 as compared to fiscal 2013, but remain flat as a percentage of net sales.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gridSpan w:val="3"/>
          </w:tcPr>
          <w:p>
            <w:pPr>
              <w:ind w:left="220"/>
              <w:spacing w:after="0"/>
              <w:rPr>
                <w:sz w:val="20"/>
                <w:szCs w:val="20"/>
                <w:color w:val="auto"/>
              </w:rPr>
            </w:pPr>
            <w:r>
              <w:rPr>
                <w:rFonts w:ascii="Arial" w:cs="Arial" w:eastAsia="Arial" w:hAnsi="Arial"/>
                <w:sz w:val="18"/>
                <w:szCs w:val="18"/>
                <w:b w:val="1"/>
                <w:bCs w:val="1"/>
                <w:color w:val="auto"/>
                <w:w w:val="95"/>
              </w:rPr>
              <w:t>Nine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January 25, 2014</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January 26, 2013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6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62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20,788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17,330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17,477</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in the first nine months of fiscal 2014 increased as compared to the same period one year ago. The increase was primarily due to a $0.6 million net increase in professional services costs, information technology and other expenses. These expenses included one-time costs incurred in the first quarter of fiscal 2014 for professional services to support the expansion of our international business and strategic information technology projects and other on-going costs to support our anticipated business growth.</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general and administrative expenses to increase slightly in dollars in fiscal 2014 as compared to fiscal 2013 but remain flat as a percentage of net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Product design and development expenses in the first nine months of fiscal 2014 as compared to the same period one year ago was flat.</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expect product design and development expenses will increase slightly in dollars in fiscal 2014 as compared to fiscal 2013 but remain flat as a percentage of sales.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5"/>
          </w:tcPr>
          <w:p>
            <w:pPr>
              <w:jc w:val="center"/>
              <w:ind w:left="1150"/>
              <w:spacing w:after="0"/>
              <w:rPr>
                <w:sz w:val="20"/>
                <w:szCs w:val="20"/>
                <w:color w:val="auto"/>
              </w:rPr>
            </w:pPr>
            <w:r>
              <w:rPr>
                <w:rFonts w:ascii="Arial" w:cs="Arial" w:eastAsia="Arial" w:hAnsi="Arial"/>
                <w:sz w:val="18"/>
                <w:szCs w:val="18"/>
                <w:b w:val="1"/>
                <w:bCs w:val="1"/>
                <w:color w:val="auto"/>
                <w:w w:val="91"/>
              </w:rPr>
              <w:t>Nine Months Ended</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4"/>
          </w:tcPr>
          <w:p>
            <w:pPr>
              <w:ind w:left="500"/>
              <w:spacing w:after="0"/>
              <w:rPr>
                <w:sz w:val="20"/>
                <w:szCs w:val="20"/>
                <w:color w:val="auto"/>
              </w:rPr>
            </w:pPr>
            <w:r>
              <w:rPr>
                <w:rFonts w:ascii="Arial" w:cs="Arial" w:eastAsia="Arial" w:hAnsi="Arial"/>
                <w:sz w:val="18"/>
                <w:szCs w:val="18"/>
                <w:b w:val="1"/>
                <w:bCs w:val="1"/>
                <w:color w:val="auto"/>
              </w:rPr>
              <w:t>January 25, 2014</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January 26, 2013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a Percent of</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Percent</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40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5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6"/>
              </w:rPr>
              <w:t>Net Sales</w:t>
            </w:r>
          </w:p>
        </w:tc>
        <w:tc>
          <w:tcPr>
            <w:tcW w:w="13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Change</w:t>
            </w:r>
          </w:p>
        </w:tc>
        <w:tc>
          <w:tcPr>
            <w:tcW w:w="18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38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56.7 %</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net decreased for the nine months ended January 25, 2014 as compared to the same period in fiscal 2013</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 lower level of income on investments due to lower yields available in the market when reinvesting available cash. As a result of the volatility of working capital needs and changes in investing and financing activities, along with changes in the interest rate environment, it is difficult to project changes in interest income. We expect our cash balances will be increasing for the remainder of fiscal 2014; however, we are unable to project a comparison to fiscal 2013.</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Other expenses, net remained flat for the nine months ended January 25, 2014 as compared to the same period one year ago.</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effective tax rate was approximately 32.4 percent for the first nine months of fiscal 2014 as compared to 28.9 percent for the first nine months of fiscal 2013. In comparing the first nine months of fiscal 2014 to the same period in fiscal 2013, changes in the effective tax rate were primarily due to the net impact of the following items:</w:t>
      </w:r>
    </w:p>
    <w:p>
      <w:pPr>
        <w:spacing w:after="0" w:line="19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approximately 1.4 percentage points due to the reinstated research and development tax credit during fiscal 2013.</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1.2 percentage points due to an international tax change in fiscal 2013 which did not recur in fiscal 2014.</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rate of 0.9 percentage points due to a reduction of dividend deductions because of a lower dividend rate in fiscal 2014 as compared to fiscal 2013.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tax rate can vary significantly due to the mix of pre-tax income and permanent adjustments to taxable income in different countries and the estimate of the annual effective rate in each country.</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operate within multiple taxing jurisdictions, both domestic and international, and we are subject to audits in these jurisdictions. These audits can involve complex issues, including challenges regarding the timing and amount of deductions and the allocation of income amounts to various tax jurisdictions. At any one time, multiple tax years are subject to audit by various tax authorities because different taxing jurisdictions have different statutes of limitations.</w:t>
      </w:r>
    </w:p>
    <w:p>
      <w:pPr>
        <w:sectPr>
          <w:pgSz w:w="11900" w:h="16838" w:orient="portrait"/>
          <w:cols w:equalWidth="0" w:num="1">
            <w:col w:w="11420"/>
          </w:cols>
          <w:pgMar w:left="240" w:top="121"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gridSpan w:val="4"/>
          </w:tcPr>
          <w:p>
            <w:pPr>
              <w:ind w:left="180"/>
              <w:spacing w:after="0"/>
              <w:rPr>
                <w:sz w:val="20"/>
                <w:szCs w:val="20"/>
                <w:color w:val="auto"/>
              </w:rPr>
            </w:pPr>
            <w:r>
              <w:rPr>
                <w:rFonts w:ascii="Arial" w:cs="Arial" w:eastAsia="Arial" w:hAnsi="Arial"/>
                <w:sz w:val="18"/>
                <w:szCs w:val="18"/>
                <w:b w:val="1"/>
                <w:bCs w:val="1"/>
                <w:color w:val="auto"/>
                <w:w w:val="91"/>
              </w:rPr>
              <w:t>Nine Months Ended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January 25,</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26,</w:t>
            </w: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6"/>
                <w:szCs w:val="16"/>
                <w:color w:val="auto"/>
              </w:rPr>
            </w:pPr>
          </w:p>
        </w:tc>
        <w:tc>
          <w:tcPr>
            <w:tcW w:w="116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6"/>
                <w:szCs w:val="16"/>
                <w:color w:val="auto"/>
              </w:rPr>
            </w:pPr>
          </w:p>
        </w:tc>
        <w:tc>
          <w:tcPr>
            <w:tcW w:w="142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4"/>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3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cash (used in) provided by:</w:t>
            </w: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36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39,243</w:t>
            </w: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33,255</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(11,969)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(7,105)</w:t>
            </w:r>
          </w:p>
        </w:tc>
        <w:tc>
          <w:tcPr>
            <w:tcW w:w="20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(31,112)</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(590.7)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15,286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The increase in cash from operating activities of $6.0 million for the first nine months of fiscal 2014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nine months of fiscal 2013 was the net result of an increase for changes in net operating assets and liabilities of $6.6 million plus an increase of $0.9 million in our deferred income taxes, net plus $0.2 million in other non-cash items, net, adjusted by an $0.8 million decrease in depreciation and amortization and by a $0.6 million decrease in net income.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most significant drivers of cash generation from operating activities in the first nine months of fiscal 2014 were the net result of the following:</w:t>
      </w:r>
    </w:p>
    <w:p>
      <w:pPr>
        <w:spacing w:after="0" w:line="237"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income of $20.4 million.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Depreciation, amortization, share-based compensation, and other various non-cash activities of $13.8 million.</w:t>
      </w:r>
    </w:p>
    <w:p>
      <w:pPr>
        <w:spacing w:after="0" w:line="9" w:lineRule="exact"/>
        <w:rPr>
          <w:rFonts w:ascii="Arial" w:cs="Arial" w:eastAsia="Arial" w:hAnsi="Arial"/>
          <w:sz w:val="18"/>
          <w:szCs w:val="18"/>
          <w:color w:val="auto"/>
        </w:rPr>
      </w:pPr>
    </w:p>
    <w:p>
      <w:pPr>
        <w:ind w:left="1620" w:hanging="640"/>
        <w:spacing w:after="0" w:line="250" w:lineRule="auto"/>
        <w:tabs>
          <w:tab w:leader="none" w:pos="12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generated of $39.3 million because of changes in balances of $27.0 million from construction-type contracts due to the timing of billing and production schedules. $7.6 million of customer deposits, primarily due to the increased order volume in our digital billboard business; $1.1 million of net collections of long-term receivables during this period; and $3.6 million of various other operating account changes.</w:t>
      </w:r>
    </w:p>
    <w:p>
      <w:pPr>
        <w:spacing w:after="0" w:line="1" w:lineRule="exact"/>
        <w:rPr>
          <w:rFonts w:ascii="Arial" w:cs="Arial" w:eastAsia="Arial" w:hAnsi="Arial"/>
          <w:sz w:val="18"/>
          <w:szCs w:val="18"/>
          <w:color w:val="auto"/>
        </w:rPr>
      </w:pPr>
    </w:p>
    <w:p>
      <w:pPr>
        <w:ind w:left="1620" w:hanging="640"/>
        <w:spacing w:after="0" w:line="255" w:lineRule="auto"/>
        <w:tabs>
          <w:tab w:leader="none" w:pos="12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consumed of $31.6 million because of changes in balances of $11.7 million for inventory for future deliveries, a $4.8 million decrease in accounts payable, a $9.8 million increase in accounts receivable due to an increase in sales, and a $5.3 million increase in income taxes.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Overall, changes in operating assets and liabilities can be impacted by the timing of cash flows on large orders, which can cause significant fluctuations in the short term in inventory, accounts receivables, accounts payable, customer deposits, costs and earnings in excess of billings and various other operating assets and liabilities. Variability in costs and earnings in excess of billings and billings in excess of costs relates to the timing of billings on construction-type contracts and revenue recognition, which can vary significantly depending on contractual payment terms and build and installation schedules. Balances are also impacted by the seasonality of the sports business.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The increase in cash used in investing activities for the first nine months of fiscal 2014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fiscal 2013 was the result of the following:</w:t>
      </w:r>
    </w:p>
    <w:p>
      <w:pPr>
        <w:spacing w:after="0" w:line="170" w:lineRule="exact"/>
        <w:rPr>
          <w:sz w:val="20"/>
          <w:szCs w:val="20"/>
          <w:color w:val="auto"/>
        </w:rPr>
      </w:pPr>
    </w:p>
    <w:p>
      <w:pPr>
        <w:jc w:val="both"/>
        <w:ind w:left="66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purchases of property and equipment of $2.6 million. During the first nine months of fiscal 2014, we invested $5.0 million in manufacturing equipment, $1.7 million in product demonstration equipment, $1.3 million in information systems infrastructure, including software, and $1.4 million in other assets. Capital expenditures are expected to be less than $16 million for all of fiscal 2014.</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$1.3 million used for an acquisition during the first quarter of fiscal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the net cash invested in marketable securities, net of sales and maturities of $0.9 million.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The decrease in cash used in financing activities for the first nine months of fiscal 2014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fiscal 2013 was the primarily the result of a $18.1 million decrease in dividends paid to shareholders. Dividends of $12.8 million, or $0.30 cents per share, were paid during the current fiscal year compared to $30.9 million, or $0.73 cents per share, in the prior year. During 2014, we paid $3.7 million related to debt acquired in our recent acquisition, which was offset by a $3.5 million increase in proceeds from stock options exercised, which was partially offset by a non-recurring payment in fiscal 2013 to pay off notes payable of $1.5 million.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 Discussion: </w:t>
      </w:r>
      <w:r>
        <w:rPr>
          <w:rFonts w:ascii="Arial" w:cs="Arial" w:eastAsia="Arial" w:hAnsi="Arial"/>
          <w:sz w:val="18"/>
          <w:szCs w:val="18"/>
          <w:color w:val="auto"/>
        </w:rPr>
        <w:t>Included in receivables and costs in excess of billings as of January 25, 2014 was approximately $7.9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retainage on long-term contracts, all of which is expected to be collected within one year.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Working capital was $144.2 million at January 25, 2014 and $125.5 million at April 27, 2013. The increase in working capital was primarily the result of higher sales and increases in cash, accounts receivable, inventories and cost and estimated earnings in excess of billings and decreases in accounts payable, accrued expenses, warranty obligations, and deferred revenue, which were partially offset by</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decreases in costs and estimated earnings in excess of billings and increases among customer deposits and billings in excess of cost and estimated earnings.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have historically financed working capital needs through a combination of cash flow from operations and borrowings under bank credit agreements.</w:t>
      </w:r>
    </w:p>
    <w:p>
      <w:pPr>
        <w:spacing w:after="0" w:line="22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used and expect to continue to use cash reserves and, to a lesser extent, bank borrowings to meet our short-term working capital requirements. On large product orders, the time between order acceptance and project completion may extend up to and exceed 24 months depending on the amount of custom work and a customer’s delivery needs. We often receive down payments or progress payments on these product orders. To the extent these payments are not sufficient to fund the costs and other expenses associated with these orders, we use working capital and bank borrowings to finance these cash requirements.</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 credit agreement with a U.S. bank for a $35.0 million line of credit, which includes up to $15.0 million for standby letters of credit. The line of credit, which was amended on November 15, 2013, is due on November 15, 2016. The interest rate ranges from LIBOR plus 145 basis points to LIBOR plus 195 basis points depending on the ratio of our interest-bearing debt to EBITDA. EBITDA is defined as net income before deductions for income taxes, interest expense, depreciation and amortization, all as determined in accordance with GAAP. The effective interest rate was 1.6 percent at January 25, 2014. We are assessed a loan fee equal to 0.125 percent per annum of any non-used portion of the loan. As of January 25, 2014, there were no advances to us under the line of credit and the balance of letters of credit outstanding was approximately $2.3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is unsecured and requires us to be in compliance with the following financial ratios: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minimum fixed charge coverage ratio of at least 2 to 1 at the end of any fiscal year. The ratio is equal to (a) EBITDA less dividends or other distributions, a capital expenditure reserve of $6 million, and income tax expenses, over (b) all principal and interest payments with respect to debt, excluding principal payments on the line of credit; and</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ratio of interest-bearing debt, excluding any marketing obligations, to EBITDA of less than 1 to 1 at the end of any fiscal quarter.</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an additional credit agreement with another U.S. bank which supports our credit needs outside of the United States. It was also amended on November 15, 2013 and becomes due on November 15, 2016. The facility provides for a $40.0 million line of credit and includes facilities for letters of credit and bank guarantees and to secure foreign loans for our international subsidiaries. This credit agreement is unsecured. It contains the same covenants as the credit agreement on the line of credit and contains an inter creditor agreement whereby the debt has a cross default provision and with the primary credit agreement. Total credit allowed between the two credit agreements is limited to $40 million. As of January 25, 2014, there were no advances outstanding and approximately $3.2 million in bank guarantees under this line of credit.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 compliance with all applicable covenants as of January 25, 2014 and April 27, 2013. The minimum fixed charge coverage ratio as of April 27, 2013 was 64-to-1, and the ratio of interest-bearing debt to EBITDA as of January 25, 2014 was .01-to-1.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23, 2013, our Board of Directors declared a semi-annual dividend of $0.12 per share on our common stock for the fiscal year ended April 27, 2013, which was paid on June 14, 2013.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22, 2013, the Board declared a quarterly dividend payment of $0.09 per share on our common stock for the first quarter ended July 27, 2013, which was paid on September 20, 2013.</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November 21, 2013, the Board declared a quarterly dividend payment of $0.09 per share on our common stock for the second quarter ended October 26, 2013, which was paid on December 20, 2013.</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February 27, 2014, our Board of Directors declared a dividend of $0.09 per share payable on March 21, 2014 to shareholders of record of our common stock on March 10, 2014.</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we expect to continue to pay dividends for the foreseeable future, any and all subsequent dividends will be reviewed regularly and declared by the Board at its discretion.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sometimes required to obtain performance bonds for display installations, and we have a bonding line available through a surety company for an aggregate of $150.0 million in bonded work outstanding. At January 25, 2014, we had $13.6 million of bonded work outstanding against this line.</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believe if our growth extends beyond current expectations, or if we make any strategic investments, we may need to increase our credit facilities or seek other means of financing. We anticipate we will be able to obtain any needed funds under commercially reasonable terms from our current lenders or other sources. We believe our working capital available from all sources will be adequate to meet the cash requirements of our operations in the foreseeable future.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Through January 25, 2014, most of our net sales were denominated in United States dollars, and our exposure to foreign currency exchange rate changes on net sales has not been significant. For the third quarter and year to date of fiscal 2014, net sales originating outside the United States were 18.1 percent and 17.4 percent of total net sales, respectively, of which a portion was denominated in Canadian dollars, Euros, Chinese renminbi, British pounds, Australian dollars, Brazilian reais or other currencies. We manufacture our products in the United States, China and Belgium. Our results of operations could be affected by factors such as changes in foreign currency rates or weak economic conditions in foreign markets. If we believed currency risk in any foreign location is significant, we would utilize foreign exchange hedging contracts to manage our exposure to the currency fluctuations.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Over the long term, net sales to international markets are expected to increase as a percentage of net sales and, consequently, a greater portion of this business could be denominated in foreign currencies. In addition, we may fund our foreign subsidiaries’ operating cash needs in the form of loans denominated in U.S. dollars. As a result, operating results may become subject to fluctuations based upon changes in the exchange rates of certain currencies in relation to the United States dollar. To the extent we engage in international sales denominated in U.S. dollars, an increase in the value of the U.S. dollar relative to foreign currencies could make our products less competitive in international markets. This effect is also impacted by the sources of raw materials from international sources.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ability to effectively hedge exchange rate fluctuations in the future.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foreign currency forward agreements in place to offset changes in the value of inter-company receivables from certain foreign subsidiaries due to changes in foreign exchange rates. The notional amount of these derivatives is $6.9 million, and all contracts mature within 24 months. These contracts are marked to market each balance sheet date and are not designated as accounting hedges. See Note 12 of the Notes to our Consolidated Financial Statements included in this Report for further details on our derivatives.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exposure to market rate risk for changes in interest rates relates primarily to our marketing obligations and long-term accounts receivable. As of January 25, 2014, our outstanding marketing obligations were $0.7 million, all of which were in fixed rate obligations.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sale of certain display systems, we have entered into various types of financing with customers. The aggregate amounts due from customers include an imputed interest element. The majority of these financings carry fixed rates of interest. As of January 25, 2014, our outstanding long-term receivables were $13.9 million. Each 25 basis point increase in interest rates would have an associated annual opportunity cost of $0.1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maturities and weighted average interest rates on our financial instruments sensitive to changes in interest rates.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gridSpan w:val="8"/>
          </w:tcPr>
          <w:p>
            <w:pPr>
              <w:ind w:left="500"/>
              <w:spacing w:after="0"/>
              <w:rPr>
                <w:sz w:val="20"/>
                <w:szCs w:val="20"/>
                <w:color w:val="auto"/>
              </w:rPr>
            </w:pPr>
            <w:r>
              <w:rPr>
                <w:rFonts w:ascii="Arial" w:cs="Arial" w:eastAsia="Arial" w:hAnsi="Arial"/>
                <w:sz w:val="18"/>
                <w:szCs w:val="18"/>
                <w:b w:val="1"/>
                <w:bCs w:val="1"/>
                <w:color w:val="auto"/>
              </w:rPr>
              <w:t xml:space="preserve">Fiscal Years </w:t>
            </w:r>
            <w:r>
              <w:rPr>
                <w:rFonts w:ascii="Arial" w:cs="Arial" w:eastAsia="Arial" w:hAnsi="Arial"/>
                <w:sz w:val="18"/>
                <w:szCs w:val="18"/>
                <w:b w:val="1"/>
                <w:bCs w:val="1"/>
                <w:i w:val="1"/>
                <w:iCs w:val="1"/>
                <w:color w:val="auto"/>
              </w:rPr>
              <w:t>(in thousands)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7"/>
        </w:trPr>
        <w:tc>
          <w:tcPr>
            <w:tcW w:w="3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80" w:type="dxa"/>
            <w:vAlign w:val="bottom"/>
          </w:tcPr>
          <w:p>
            <w:pPr>
              <w:ind w:left="40"/>
              <w:spacing w:after="0"/>
              <w:rPr>
                <w:sz w:val="20"/>
                <w:szCs w:val="20"/>
                <w:color w:val="auto"/>
              </w:rPr>
            </w:pPr>
            <w:r>
              <w:rPr>
                <w:rFonts w:ascii="Arial" w:cs="Arial" w:eastAsia="Arial" w:hAnsi="Arial"/>
                <w:sz w:val="18"/>
                <w:szCs w:val="18"/>
                <w:color w:val="auto"/>
              </w:rPr>
              <w:t>Long-term receivables, including current</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80"/>
              <w:spacing w:after="0"/>
              <w:rPr>
                <w:sz w:val="20"/>
                <w:szCs w:val="20"/>
                <w:color w:val="auto"/>
              </w:rPr>
            </w:pPr>
            <w:r>
              <w:rPr>
                <w:rFonts w:ascii="Arial" w:cs="Arial" w:eastAsia="Arial" w:hAnsi="Arial"/>
                <w:sz w:val="18"/>
                <w:szCs w:val="18"/>
                <w:color w:val="auto"/>
              </w:rPr>
              <w:t>maturities: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Long and short-term debt: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Variable-rate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Long-term marketing obligations, including</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675"/>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tcPr>
          <w:p>
            <w:pPr>
              <w:jc w:val="right"/>
              <w:ind w:right="130"/>
              <w:spacing w:after="0"/>
              <w:rPr>
                <w:sz w:val="20"/>
                <w:szCs w:val="20"/>
                <w:color w:val="auto"/>
              </w:rPr>
            </w:pPr>
            <w:r>
              <w:rPr>
                <w:rFonts w:ascii="Arial" w:cs="Arial" w:eastAsia="Arial" w:hAnsi="Arial"/>
                <w:sz w:val="18"/>
                <w:szCs w:val="18"/>
                <w:color w:val="auto"/>
              </w:rPr>
              <w:t>27</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cash balances at January 25, 2014, $45.4 million were denominated in United States dollars. Cash balances in foreign currencies are operating balances maintained in accounts of our foreign subsidiaries. A portion of the cash held in foreign accounts is used to collateralize outstanding bank guarantees issued by the foreign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January 25, 2014, which is the end of the period covered by this Report. Based upon that evaluation, the Chief Executive Officer and Chief Financial Officer concluded that as of January 25, 2014, our disclosure controls and procedures were effective.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January 25, 2014, there was no change in our internal control over financial reporting which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discussion of our business and operations included in this Quarterly Report on Form 10-Q should be read together with the risk factors described in Item 1A. of our Annual Report on Form 10-K for the fiscal year ended April 27, 2013.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486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308610"/>
                    </a:xfrm>
                    <a:prstGeom prst="rect">
                      <a:avLst/>
                    </a:prstGeom>
                    <a:noFill/>
                  </pic:spPr>
                </pic:pic>
              </a:graphicData>
            </a:graphic>
          </wp:anchor>
        </w:drawing>
      </w:r>
    </w:p>
    <w:p>
      <w:pPr>
        <w:spacing w:after="0" w:line="96" w:lineRule="exact"/>
        <w:rPr>
          <w:sz w:val="20"/>
          <w:szCs w:val="20"/>
          <w:color w:val="auto"/>
        </w:rPr>
      </w:pPr>
    </w:p>
    <w:p>
      <w:pPr>
        <w:ind w:left="600" w:right="600" w:hanging="566"/>
        <w:spacing w:after="0" w:line="277" w:lineRule="auto"/>
        <w:tabs>
          <w:tab w:leader="none" w:pos="5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Articles of Incorporation of the Company (Incorporated by reference to Exhibit 3.1 filed with our Quarterly Report on Form 10-Q on August 30, 2013 as Commission File No. 0-23246).</w:t>
      </w:r>
    </w:p>
    <w:p>
      <w:pPr>
        <w:spacing w:after="0" w:line="8"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the Company (Incorporated by reference to Exhibit 3.4 filed with our Annual Report on Form 10-K on June 12,</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2013 as Commission File No. 0-23246).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486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308610"/>
                    </a:xfrm>
                    <a:prstGeom prst="rect">
                      <a:avLst/>
                    </a:prstGeom>
                    <a:noFill/>
                  </pic:spPr>
                </pic:pic>
              </a:graphicData>
            </a:graphic>
          </wp:anchor>
        </w:drawing>
      </w:r>
    </w:p>
    <w:p>
      <w:pPr>
        <w:spacing w:after="0" w:line="29" w:lineRule="exact"/>
        <w:rPr>
          <w:sz w:val="20"/>
          <w:szCs w:val="20"/>
          <w:color w:val="auto"/>
        </w:rPr>
      </w:pPr>
    </w:p>
    <w:p>
      <w:pPr>
        <w:ind w:left="600" w:right="200" w:hanging="566"/>
        <w:spacing w:after="0" w:line="298" w:lineRule="auto"/>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Twelfth Amendment to Loan Agreement dated November 15, 2013 by and between the Company and U.S. Bank National Association (the" Bank"). (Incorporated by reference to Exhibit 10.1 filed with our Current Report on Form 8-K filed on November 18, 2013)</w:t>
      </w:r>
    </w:p>
    <w:p>
      <w:pPr>
        <w:spacing w:after="0" w:line="1" w:lineRule="exact"/>
        <w:rPr>
          <w:sz w:val="20"/>
          <w:szCs w:val="20"/>
          <w:color w:val="auto"/>
        </w:rPr>
      </w:pPr>
    </w:p>
    <w:p>
      <w:pPr>
        <w:ind w:left="600" w:right="200" w:hanging="566"/>
        <w:spacing w:after="0" w:line="277" w:lineRule="auto"/>
        <w:tabs>
          <w:tab w:leader="none" w:pos="580" w:val="left"/>
        </w:tabs>
        <w:rPr>
          <w:sz w:val="20"/>
          <w:szCs w:val="20"/>
          <w:color w:val="auto"/>
        </w:rPr>
      </w:pPr>
      <w:r>
        <w:rPr>
          <w:rFonts w:ascii="Arial" w:cs="Arial" w:eastAsia="Arial" w:hAnsi="Arial"/>
          <w:sz w:val="18"/>
          <w:szCs w:val="18"/>
          <w:color w:val="auto"/>
        </w:rPr>
        <w:t>10.2</w:t>
        <w:tab/>
        <w:t>Renewal Revolving Note dated November 15, 2013 issued by the Company to the Bank. (Incorporated by reference to Exhibit 10.2 filed with our Current Report on Form 8-K filed on 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486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308610"/>
                    </a:xfrm>
                    <a:prstGeom prst="rect">
                      <a:avLst/>
                    </a:prstGeom>
                    <a:noFill/>
                  </pic:spPr>
                </pic:pic>
              </a:graphicData>
            </a:graphic>
          </wp:anchor>
        </w:drawing>
      </w:r>
    </w:p>
    <w:p>
      <w:pPr>
        <w:ind w:left="600" w:right="220" w:hanging="566"/>
        <w:spacing w:after="0" w:line="277" w:lineRule="auto"/>
        <w:tabs>
          <w:tab w:leader="none" w:pos="580" w:val="left"/>
        </w:tabs>
        <w:rPr>
          <w:sz w:val="20"/>
          <w:szCs w:val="20"/>
          <w:color w:val="auto"/>
        </w:rPr>
      </w:pPr>
      <w:r>
        <w:rPr>
          <w:rFonts w:ascii="Arial" w:cs="Arial" w:eastAsia="Arial" w:hAnsi="Arial"/>
          <w:sz w:val="18"/>
          <w:szCs w:val="18"/>
          <w:color w:val="auto"/>
        </w:rPr>
        <w:t>10.3</w:t>
        <w:tab/>
        <w:t>Fifth Amendment to Loan Agreement dated November 15, 2013 by and between Bank of America, N.A ("BoA") and the Company. (Incorporated by reference to Exhibit 10.3 filed with our Current Report on Form 8-K filed on November 18, 2013)</w:t>
      </w:r>
    </w:p>
    <w:p>
      <w:pPr>
        <w:spacing w:after="0" w:line="8" w:lineRule="exact"/>
        <w:rPr>
          <w:sz w:val="20"/>
          <w:szCs w:val="20"/>
          <w:color w:val="auto"/>
        </w:rPr>
      </w:pPr>
    </w:p>
    <w:p>
      <w:pPr>
        <w:ind w:left="600" w:right="220" w:hanging="566"/>
        <w:spacing w:after="0" w:line="277" w:lineRule="auto"/>
        <w:tabs>
          <w:tab w:leader="none" w:pos="580" w:val="left"/>
        </w:tabs>
        <w:rPr>
          <w:sz w:val="20"/>
          <w:szCs w:val="20"/>
          <w:color w:val="auto"/>
        </w:rPr>
      </w:pPr>
      <w:r>
        <w:rPr>
          <w:rFonts w:ascii="Arial" w:cs="Arial" w:eastAsia="Arial" w:hAnsi="Arial"/>
          <w:sz w:val="18"/>
          <w:szCs w:val="18"/>
          <w:color w:val="auto"/>
        </w:rPr>
        <w:t>10.4</w:t>
        <w:tab/>
        <w:t>Reaffirmation of and Third Amendment to Unlimited Guaranty Agreement dated November 15, 2013 by and between the Company and BoA. (Incorporated by reference to Exhibit 10.4 filed with our Current Report on Form 8-K filed on 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486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308610"/>
                    </a:xfrm>
                    <a:prstGeom prst="rect">
                      <a:avLst/>
                    </a:prstGeom>
                    <a:noFill/>
                  </pic:spPr>
                </pic:pic>
              </a:graphicData>
            </a:graphic>
          </wp:anchor>
        </w:drawing>
      </w:r>
    </w:p>
    <w:p>
      <w:pPr>
        <w:ind w:left="600" w:right="220" w:hanging="566"/>
        <w:spacing w:after="0" w:line="277" w:lineRule="auto"/>
        <w:tabs>
          <w:tab w:leader="none" w:pos="580" w:val="left"/>
        </w:tabs>
        <w:rPr>
          <w:sz w:val="20"/>
          <w:szCs w:val="20"/>
          <w:color w:val="auto"/>
        </w:rPr>
      </w:pPr>
      <w:r>
        <w:rPr>
          <w:rFonts w:ascii="Arial" w:cs="Arial" w:eastAsia="Arial" w:hAnsi="Arial"/>
          <w:sz w:val="18"/>
          <w:szCs w:val="18"/>
          <w:color w:val="auto"/>
        </w:rPr>
        <w:t>10.5</w:t>
        <w:tab/>
        <w:t>Amended and Restated Revolving Note dated November 15, 2013 issued by the Company to BoA. (Incorporated by reference to Exhibit 10.5 filed with our Current Report on Form 8-K filed on November 18, 2013)</w:t>
      </w:r>
    </w:p>
    <w:p>
      <w:pPr>
        <w:spacing w:after="0" w:line="8" w:lineRule="exact"/>
        <w:rPr>
          <w:sz w:val="20"/>
          <w:szCs w:val="20"/>
          <w:color w:val="auto"/>
        </w:rPr>
      </w:pPr>
    </w:p>
    <w:p>
      <w:pPr>
        <w:ind w:left="600" w:right="200" w:hanging="566"/>
        <w:spacing w:after="0" w:line="277" w:lineRule="auto"/>
        <w:tabs>
          <w:tab w:leader="none" w:pos="580" w:val="left"/>
        </w:tabs>
        <w:rPr>
          <w:sz w:val="20"/>
          <w:szCs w:val="20"/>
          <w:color w:val="auto"/>
        </w:rPr>
      </w:pPr>
      <w:r>
        <w:rPr>
          <w:rFonts w:ascii="Arial" w:cs="Arial" w:eastAsia="Arial" w:hAnsi="Arial"/>
          <w:sz w:val="18"/>
          <w:szCs w:val="18"/>
          <w:color w:val="auto"/>
        </w:rPr>
        <w:t>31.1</w:t>
        <w:tab/>
        <w:t>Certification of the Chief Executive Officer required by Rule 13a-14(a) or Rule 15d-14(a) under the Securities Exchange Act of 1934, as adopted pursuant to Section 302 of the Sarbanes-Oxley Act of 2002.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486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308610"/>
                    </a:xfrm>
                    <a:prstGeom prst="rect">
                      <a:avLst/>
                    </a:prstGeom>
                    <a:noFill/>
                  </pic:spPr>
                </pic:pic>
              </a:graphicData>
            </a:graphic>
          </wp:anchor>
        </w:drawing>
      </w:r>
    </w:p>
    <w:p>
      <w:pPr>
        <w:ind w:left="600" w:right="220" w:hanging="566"/>
        <w:spacing w:after="0" w:line="277" w:lineRule="auto"/>
        <w:tabs>
          <w:tab w:leader="none" w:pos="580" w:val="left"/>
        </w:tabs>
        <w:rPr>
          <w:sz w:val="20"/>
          <w:szCs w:val="20"/>
          <w:color w:val="auto"/>
        </w:rPr>
      </w:pPr>
      <w:r>
        <w:rPr>
          <w:rFonts w:ascii="Arial" w:cs="Arial" w:eastAsia="Arial" w:hAnsi="Arial"/>
          <w:sz w:val="18"/>
          <w:szCs w:val="18"/>
          <w:color w:val="auto"/>
        </w:rPr>
        <w:t>31.2</w:t>
        <w:tab/>
        <w:t>Certification of the Chief Financial Officer required by Rule 13a-14(a) or Rule 15d-14(a) under the Securities Exchange Act of 1934, as adopted pursuant to Section 302 of the Sarbanes-Oxley Act of 2002. (1)</w:t>
      </w:r>
    </w:p>
    <w:p>
      <w:pPr>
        <w:spacing w:after="0" w:line="8"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486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 (18 U.S.C. Section 1350). (1)</w:t>
      </w:r>
    </w:p>
    <w:p>
      <w:pPr>
        <w:spacing w:after="0" w:line="63" w:lineRule="exact"/>
        <w:rPr>
          <w:sz w:val="20"/>
          <w:szCs w:val="20"/>
          <w:color w:val="auto"/>
        </w:rPr>
      </w:pPr>
    </w:p>
    <w:p>
      <w:pPr>
        <w:jc w:val="both"/>
        <w:ind w:left="600" w:right="200" w:hanging="565"/>
        <w:spacing w:after="0" w:line="259"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financial information from our Quarterly Report on Form 10-Q for the period ended January 25, 2014 formatted in Extensible Business Reporting Language (XBRL): (i) the Consolidated Balance Sheets, (ii) the Consolidated Statements of Operations, (iii) the Consolidated Statements of Comprehensive Income, (iv) the Consolidated Statements of Cash Flows, (v) Notes to Consolidated Financial Statements, and (vii) document and entity information. (1)</w:t>
      </w:r>
    </w:p>
    <w:p>
      <w:pPr>
        <w:spacing w:after="0" w:line="38" w:lineRule="exact"/>
        <w:rPr>
          <w:rFonts w:ascii="Arial" w:cs="Arial" w:eastAsia="Arial" w:hAnsi="Arial"/>
          <w:sz w:val="18"/>
          <w:szCs w:val="18"/>
          <w:color w:val="auto"/>
        </w:rPr>
      </w:pPr>
    </w:p>
    <w:p>
      <w:pPr>
        <w:ind w:left="940" w:hanging="264"/>
        <w:spacing w:after="0"/>
        <w:tabs>
          <w:tab w:leader="none" w:pos="9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486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Daktronics, Inc.</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 and</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Accounting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28, 2014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9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of the Company (Incorporated by reference to Exhibit 3.1 filed with our Quarterly Report on Form</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10-Q on August 30, 2013 as Commission File No. 0-23246).</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the Company (Incorporated by reference to Exhibit 3.4 filed with our Annual Report on Form 10-K on June 12,</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2013 as Commission File No. 0-23246).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620" w:right="40" w:hanging="580"/>
        <w:spacing w:after="0" w:line="277" w:lineRule="auto"/>
        <w:tabs>
          <w:tab w:leader="none" w:pos="600" w:val="left"/>
        </w:tabs>
        <w:rPr>
          <w:sz w:val="20"/>
          <w:szCs w:val="20"/>
          <w:color w:val="auto"/>
        </w:rPr>
      </w:pPr>
      <w:r>
        <w:rPr>
          <w:rFonts w:ascii="Arial" w:cs="Arial" w:eastAsia="Arial" w:hAnsi="Arial"/>
          <w:sz w:val="18"/>
          <w:szCs w:val="18"/>
          <w:color w:val="auto"/>
        </w:rPr>
        <w:t>10.1</w:t>
        <w:tab/>
        <w:t>Twelfth Amendment to Loan Agreement dated November 15, 2013 by and between the Company and U.S. Bank National Association (the "Bank"). (Incorporated by reference to Exhibit 10.1 filed with our Current Report on Form 8-K filed on November 18, 2013)</w:t>
      </w:r>
    </w:p>
    <w:p>
      <w:pPr>
        <w:spacing w:after="0" w:line="8" w:lineRule="exact"/>
        <w:rPr>
          <w:sz w:val="20"/>
          <w:szCs w:val="20"/>
          <w:color w:val="auto"/>
        </w:rPr>
      </w:pPr>
    </w:p>
    <w:p>
      <w:pPr>
        <w:ind w:left="620" w:right="20" w:hanging="580"/>
        <w:spacing w:after="0" w:line="277" w:lineRule="auto"/>
        <w:tabs>
          <w:tab w:leader="none" w:pos="600" w:val="left"/>
        </w:tabs>
        <w:rPr>
          <w:sz w:val="20"/>
          <w:szCs w:val="20"/>
          <w:color w:val="auto"/>
        </w:rPr>
      </w:pPr>
      <w:r>
        <w:rPr>
          <w:rFonts w:ascii="Arial" w:cs="Arial" w:eastAsia="Arial" w:hAnsi="Arial"/>
          <w:sz w:val="18"/>
          <w:szCs w:val="18"/>
          <w:color w:val="auto"/>
        </w:rPr>
        <w:t>10.2</w:t>
        <w:tab/>
        <w:t>Renewal Revolving Note dated November 15, 2013 issued by the Company to the Bank. (Incorporated by reference to Exhibit 10.2 filed with our Current Report on Form 8-K filed on 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620" w:right="40" w:hanging="580"/>
        <w:spacing w:after="0" w:line="277" w:lineRule="auto"/>
        <w:tabs>
          <w:tab w:leader="none" w:pos="600" w:val="left"/>
        </w:tabs>
        <w:rPr>
          <w:sz w:val="20"/>
          <w:szCs w:val="20"/>
          <w:color w:val="auto"/>
        </w:rPr>
      </w:pPr>
      <w:r>
        <w:rPr>
          <w:rFonts w:ascii="Arial" w:cs="Arial" w:eastAsia="Arial" w:hAnsi="Arial"/>
          <w:sz w:val="18"/>
          <w:szCs w:val="18"/>
          <w:color w:val="auto"/>
        </w:rPr>
        <w:t>10.3</w:t>
        <w:tab/>
        <w:t>Fifth Amendment to Loan Agreement dated November 15, 2013 by and between Bank of America, N.A. ("BoA") and the Company. (Incorporated by reference to Exhibit 10.3 filed with our Current Report on Form 8-K filed on November 18, 2013)</w:t>
      </w:r>
    </w:p>
    <w:p>
      <w:pPr>
        <w:spacing w:after="0" w:line="8" w:lineRule="exact"/>
        <w:rPr>
          <w:sz w:val="20"/>
          <w:szCs w:val="20"/>
          <w:color w:val="auto"/>
        </w:rPr>
      </w:pPr>
    </w:p>
    <w:p>
      <w:pPr>
        <w:ind w:left="620" w:right="40" w:hanging="580"/>
        <w:spacing w:after="0" w:line="277" w:lineRule="auto"/>
        <w:tabs>
          <w:tab w:leader="none" w:pos="600" w:val="left"/>
        </w:tabs>
        <w:rPr>
          <w:sz w:val="20"/>
          <w:szCs w:val="20"/>
          <w:color w:val="auto"/>
        </w:rPr>
      </w:pPr>
      <w:r>
        <w:rPr>
          <w:rFonts w:ascii="Arial" w:cs="Arial" w:eastAsia="Arial" w:hAnsi="Arial"/>
          <w:sz w:val="18"/>
          <w:szCs w:val="18"/>
          <w:color w:val="auto"/>
        </w:rPr>
        <w:t>10.4</w:t>
        <w:tab/>
        <w:t>Reaffirmation of and Third Amendment to Unlimited Guaranty Agreement dated November 15, 2013 by and between the Company and BoA. (Incorporated by reference to Exhibit 10.4 filed with our Current Report on Form 8-K filed on 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620" w:right="40" w:hanging="580"/>
        <w:spacing w:after="0" w:line="277" w:lineRule="auto"/>
        <w:tabs>
          <w:tab w:leader="none" w:pos="600" w:val="left"/>
        </w:tabs>
        <w:rPr>
          <w:sz w:val="20"/>
          <w:szCs w:val="20"/>
          <w:color w:val="auto"/>
        </w:rPr>
      </w:pPr>
      <w:r>
        <w:rPr>
          <w:rFonts w:ascii="Arial" w:cs="Arial" w:eastAsia="Arial" w:hAnsi="Arial"/>
          <w:sz w:val="18"/>
          <w:szCs w:val="18"/>
          <w:color w:val="auto"/>
        </w:rPr>
        <w:t>10.5</w:t>
        <w:tab/>
        <w:t>Amended and Restated Revolving Note dated November 15, 2013 issued by the Company to BoA. (Incorporated by reference to Exhibit 10.5 filed with our Current Report on Form 8-K filed on November 18, 2013)</w:t>
      </w:r>
    </w:p>
    <w:p>
      <w:pPr>
        <w:spacing w:after="0" w:line="8" w:lineRule="exact"/>
        <w:rPr>
          <w:sz w:val="20"/>
          <w:szCs w:val="20"/>
          <w:color w:val="auto"/>
        </w:rPr>
      </w:pPr>
    </w:p>
    <w:p>
      <w:pPr>
        <w:ind w:left="620" w:right="40" w:hanging="580"/>
        <w:spacing w:after="0" w:line="277" w:lineRule="auto"/>
        <w:tabs>
          <w:tab w:leader="none" w:pos="600" w:val="left"/>
        </w:tabs>
        <w:rPr>
          <w:sz w:val="20"/>
          <w:szCs w:val="20"/>
          <w:color w:val="auto"/>
        </w:rPr>
      </w:pPr>
      <w:r>
        <w:rPr>
          <w:rFonts w:ascii="Arial" w:cs="Arial" w:eastAsia="Arial" w:hAnsi="Arial"/>
          <w:sz w:val="18"/>
          <w:szCs w:val="18"/>
          <w:color w:val="auto"/>
        </w:rPr>
        <w:t>31.1</w:t>
        <w:tab/>
        <w:t>Certification of the Chief Executive Officer required by Rule 13a-14(a) or Rule 15d-14(a) under the Securities Exchange Act of 1934, as adopted pursuant to Section 302 of the Sarbanes-Oxley Act of 2002.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620" w:right="40" w:hanging="580"/>
        <w:spacing w:after="0" w:line="277" w:lineRule="auto"/>
        <w:tabs>
          <w:tab w:leader="none" w:pos="600" w:val="left"/>
        </w:tabs>
        <w:rPr>
          <w:sz w:val="20"/>
          <w:szCs w:val="20"/>
          <w:color w:val="auto"/>
        </w:rPr>
      </w:pPr>
      <w:r>
        <w:rPr>
          <w:rFonts w:ascii="Arial" w:cs="Arial" w:eastAsia="Arial" w:hAnsi="Arial"/>
          <w:sz w:val="18"/>
          <w:szCs w:val="18"/>
          <w:color w:val="auto"/>
        </w:rPr>
        <w:t>31.2</w:t>
        <w:tab/>
        <w:t>Certification of the Chief Financial Officer required by Rule 13a-14(a) or Rule 15d-14(a) under the Securities Exchange Act of 1934, as adopted pursuant to Section 302 of the Sarbanes-Oxley Act of 2002. (1)</w:t>
      </w:r>
    </w:p>
    <w:p>
      <w:pPr>
        <w:spacing w:after="0" w:line="8"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 (18 U.S.C. Section 1350). (1)</w:t>
      </w:r>
    </w:p>
    <w:p>
      <w:pPr>
        <w:spacing w:after="0" w:line="63" w:lineRule="exact"/>
        <w:rPr>
          <w:sz w:val="20"/>
          <w:szCs w:val="20"/>
          <w:color w:val="auto"/>
        </w:rPr>
      </w:pPr>
    </w:p>
    <w:p>
      <w:pPr>
        <w:jc w:val="both"/>
        <w:ind w:left="620" w:right="40" w:hanging="585"/>
        <w:spacing w:after="0" w:line="259"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financial information from our Quarterly Report on Form 10-Q for the period ended January 25, 2014 formatted in Extensible Business Reporting Language (XBRL): (i) the Consolidated Balance Sheets, (ii) the Consolidated Statements of Operations, (iii) the Consolidated Statements of Comprehensive Income, (iv) the Consolidated Statements of Cash Flows, (v) Notes to Consolidated Financial Statements, and (vii) document and entity information. (1)</w:t>
      </w:r>
    </w:p>
    <w:p>
      <w:pPr>
        <w:spacing w:after="0" w:line="24" w:lineRule="exact"/>
        <w:rPr>
          <w:rFonts w:ascii="Arial" w:cs="Arial" w:eastAsia="Arial" w:hAnsi="Arial"/>
          <w:sz w:val="18"/>
          <w:szCs w:val="18"/>
          <w:color w:val="auto"/>
        </w:rPr>
      </w:pPr>
    </w:p>
    <w:p>
      <w:pPr>
        <w:ind w:left="960" w:hanging="307"/>
        <w:spacing w:after="0"/>
        <w:tabs>
          <w:tab w:leader="none" w:pos="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January 25, 2014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00" w:hanging="244"/>
        <w:spacing w:after="0" w:line="308" w:lineRule="auto"/>
        <w:tabs>
          <w:tab w:leader="none" w:pos="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244"/>
        <w:spacing w:after="0" w:line="264"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244"/>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244"/>
        <w:spacing w:after="0" w:line="277"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480"/>
        <w:spacing w:after="0"/>
        <w:rPr>
          <w:sz w:val="20"/>
          <w:szCs w:val="20"/>
          <w:color w:val="auto"/>
        </w:rPr>
      </w:pPr>
      <w:r>
        <w:rPr>
          <w:rFonts w:ascii="Arial" w:cs="Arial" w:eastAsia="Arial" w:hAnsi="Arial"/>
          <w:sz w:val="18"/>
          <w:szCs w:val="18"/>
          <w:u w:val="single" w:color="auto"/>
          <w:color w:val="auto"/>
        </w:rPr>
        <w:t>/s/ Reece A. Kurtenbach</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Date: February 28, 2014</w:t>
      </w:r>
    </w:p>
    <w:p>
      <w:pPr>
        <w:sectPr>
          <w:pgSz w:w="11900" w:h="16838" w:orient="portrait"/>
          <w:cols w:equalWidth="0" w:num="1">
            <w:col w:w="11420"/>
          </w:cols>
          <w:pgMar w:left="240" w:top="58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January 25, 2014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Date: February 28, 2014</w:t>
      </w:r>
    </w:p>
    <w:p>
      <w:pPr>
        <w:sectPr>
          <w:pgSz w:w="11900" w:h="16838" w:orient="portrait"/>
          <w:cols w:equalWidth="0" w:num="1">
            <w:col w:w="11420"/>
          </w:cols>
          <w:pgMar w:left="240" w:top="58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January 25, 2014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440"/>
        <w:spacing w:after="0"/>
        <w:rPr>
          <w:sz w:val="20"/>
          <w:szCs w:val="20"/>
          <w:color w:val="auto"/>
        </w:rPr>
      </w:pPr>
      <w:r>
        <w:rPr>
          <w:rFonts w:ascii="Arial" w:cs="Arial" w:eastAsia="Arial" w:hAnsi="Arial"/>
          <w:sz w:val="18"/>
          <w:szCs w:val="18"/>
          <w:u w:val="single" w:color="auto"/>
          <w:color w:val="auto"/>
        </w:rPr>
        <w:t>/s/ Reece A. Kurtenbach</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Date: February 28, 2014</w:t>
      </w:r>
    </w:p>
    <w:p>
      <w:pPr>
        <w:sectPr>
          <w:pgSz w:w="11900" w:h="16838" w:orient="portrait"/>
          <w:cols w:equalWidth="0" w:num="1">
            <w:col w:w="11420"/>
          </w:cols>
          <w:pgMar w:left="240" w:top="584"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January 25, 2014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Date: February 28, 2014</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01"/>
    </w:lvl>
    <w:lvl w:ilvl="1">
      <w:lvlJc w:val="left"/>
      <w:lvlText w:val="(%2)"/>
      <w:numFmt w:val="decimal"/>
      <w:start w:val="1"/>
    </w:lvl>
  </w:abstractNum>
  <w:abstractNum w:abstractNumId="14">
    <w:nsid w:val="25E45D32"/>
    <w:multiLevelType w:val="hybridMultilevel"/>
    <w:lvl w:ilvl="0">
      <w:lvlJc w:val="left"/>
      <w:lvlText w:val="%1"/>
      <w:numFmt w:val="decimal"/>
      <w:start w:val="101"/>
    </w:lvl>
    <w:lvl w:ilvl="1">
      <w:lvlJc w:val="left"/>
      <w:lvlText w:val="(%2)"/>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2019-12-06T09:13:15Z</dcterms:created>
  <dcterms:modified xsi:type="dcterms:W3CDTF">2019-12-06T09:13:15Z</dcterms:modified>
</cp:coreProperties>
</file>