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August 1, 2015</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31, 2015 was 43,769,661.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August 1, 2015</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4"/>
          </w:tcPr>
          <w:p>
            <w:pPr>
              <w:ind w:left="9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20" w:type="dxa"/>
            <w:vAlign w:val="bottom"/>
            <w:gridSpan w:val="11"/>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20" w:type="dxa"/>
            <w:vAlign w:val="bottom"/>
            <w:gridSpan w:val="3"/>
          </w:tcPr>
          <w:p>
            <w:pPr>
              <w:ind w:left="9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August 1, 2015 (unaudited) and May 2, 2015</w:t>
              </w:r>
            </w:hyperlink>
          </w:p>
        </w:tc>
        <w:tc>
          <w:tcPr>
            <w:tcW w:w="1120" w:type="dxa"/>
            <w:vAlign w:val="bottom"/>
            <w:gridSpan w:val="3"/>
          </w:tcPr>
          <w:p>
            <w:pPr>
              <w:ind w:left="9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Months Ended August 1, 2015 and August 2,</w:t>
              </w:r>
            </w:hyperlink>
          </w:p>
        </w:tc>
        <w:tc>
          <w:tcPr>
            <w:tcW w:w="96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2014 (unaudited)</w:t>
              </w:r>
            </w:hyperlink>
          </w:p>
        </w:tc>
        <w:tc>
          <w:tcPr>
            <w:tcW w:w="1120" w:type="dxa"/>
            <w:vAlign w:val="bottom"/>
            <w:gridSpan w:val="3"/>
          </w:tcPr>
          <w:p>
            <w:pPr>
              <w:ind w:left="9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Months Ended August 1, 2015</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August 2, 2014 (unaudited)</w:t>
              </w:r>
            </w:hyperlink>
          </w:p>
        </w:tc>
        <w:tc>
          <w:tcPr>
            <w:tcW w:w="4680" w:type="dxa"/>
            <w:vAlign w:val="bottom"/>
            <w:tcBorders>
              <w:top w:val="single" w:sz="8" w:color="0000EE"/>
            </w:tcBorders>
            <w:gridSpan w:val="5"/>
          </w:tcPr>
          <w:p>
            <w:pPr>
              <w:spacing w:after="0"/>
              <w:rPr>
                <w:sz w:val="17"/>
                <w:szCs w:val="17"/>
                <w:color w:val="auto"/>
              </w:rPr>
            </w:pPr>
          </w:p>
        </w:tc>
        <w:tc>
          <w:tcPr>
            <w:tcW w:w="110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August 1, 2015 and August 2,</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2014 (unaudited)</w:t>
              </w:r>
            </w:hyperlink>
          </w:p>
        </w:tc>
        <w:tc>
          <w:tcPr>
            <w:tcW w:w="920" w:type="dxa"/>
            <w:vAlign w:val="bottom"/>
          </w:tcPr>
          <w:p>
            <w:pPr>
              <w:spacing w:after="0"/>
              <w:rPr>
                <w:sz w:val="17"/>
                <w:szCs w:val="17"/>
                <w:color w:val="auto"/>
              </w:rPr>
            </w:pPr>
          </w:p>
        </w:tc>
        <w:tc>
          <w:tcPr>
            <w:tcW w:w="1120" w:type="dxa"/>
            <w:vAlign w:val="bottom"/>
            <w:gridSpan w:val="3"/>
          </w:tcPr>
          <w:p>
            <w:pPr>
              <w:ind w:left="94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20" w:type="dxa"/>
            <w:vAlign w:val="bottom"/>
            <w:gridSpan w:val="3"/>
          </w:tcPr>
          <w:p>
            <w:pPr>
              <w:ind w:left="9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620" w:type="dxa"/>
            <w:vAlign w:val="bottom"/>
            <w:gridSpan w:val="1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280" w:type="dxa"/>
            <w:vAlign w:val="bottom"/>
            <w:gridSpan w:val="4"/>
          </w:tcPr>
          <w:p>
            <w:pPr>
              <w:ind w:left="94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862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1280" w:type="dxa"/>
            <w:vAlign w:val="bottom"/>
            <w:gridSpan w:val="4"/>
          </w:tcPr>
          <w:p>
            <w:pPr>
              <w:ind w:left="940"/>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862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280" w:type="dxa"/>
            <w:vAlign w:val="bottom"/>
            <w:gridSpan w:val="4"/>
          </w:tcPr>
          <w:p>
            <w:pPr>
              <w:ind w:left="94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w:t>
              </w:r>
            </w:hyperlink>
          </w:p>
        </w:tc>
        <w:tc>
          <w:tcPr>
            <w:tcW w:w="8620" w:type="dxa"/>
            <w:vAlign w:val="bottom"/>
            <w:gridSpan w:val="17"/>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Other Information</w:t>
              </w:r>
            </w:hyperlink>
          </w:p>
        </w:tc>
        <w:tc>
          <w:tcPr>
            <w:tcW w:w="1280" w:type="dxa"/>
            <w:vAlign w:val="bottom"/>
            <w:gridSpan w:val="4"/>
          </w:tcPr>
          <w:p>
            <w:pPr>
              <w:ind w:left="94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27">
              <w:r>
                <w:rPr>
                  <w:rFonts w:ascii="Arial" w:cs="Arial" w:eastAsia="Arial" w:hAnsi="Arial"/>
                  <w:sz w:val="18"/>
                  <w:szCs w:val="18"/>
                  <w:color w:val="0000FF"/>
                  <w:w w:val="93"/>
                </w:rPr>
                <w:t>Legal Proceedings</w:t>
              </w:r>
            </w:hyperlink>
          </w:p>
        </w:tc>
        <w:tc>
          <w:tcPr>
            <w:tcW w:w="7180" w:type="dxa"/>
            <w:vAlign w:val="bottom"/>
            <w:gridSpan w:val="12"/>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Risk Factors</w:t>
              </w:r>
            </w:hyperlink>
          </w:p>
        </w:tc>
        <w:tc>
          <w:tcPr>
            <w:tcW w:w="7720" w:type="dxa"/>
            <w:vAlign w:val="bottom"/>
            <w:gridSpan w:val="14"/>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Unregistered Sales of Equity Securities and Use of Proceeds</w:t>
              </w:r>
            </w:hyperlink>
          </w:p>
        </w:tc>
        <w:tc>
          <w:tcPr>
            <w:tcW w:w="4260" w:type="dxa"/>
            <w:vAlign w:val="bottom"/>
            <w:gridSpan w:val="6"/>
          </w:tcPr>
          <w:p>
            <w:pPr>
              <w:spacing w:after="0"/>
              <w:rPr>
                <w:sz w:val="21"/>
                <w:szCs w:val="21"/>
                <w:color w:val="auto"/>
              </w:rPr>
            </w:pPr>
          </w:p>
        </w:tc>
        <w:tc>
          <w:tcPr>
            <w:tcW w:w="1280" w:type="dxa"/>
            <w:vAlign w:val="bottom"/>
            <w:gridSpan w:val="4"/>
          </w:tcPr>
          <w:p>
            <w:pPr>
              <w:ind w:left="94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862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1280" w:type="dxa"/>
            <w:vAlign w:val="bottom"/>
            <w:gridSpan w:val="4"/>
          </w:tcPr>
          <w:p>
            <w:pPr>
              <w:ind w:left="94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Mine Safety Disclosures</w:t>
              </w:r>
            </w:hyperlink>
          </w:p>
        </w:tc>
        <w:tc>
          <w:tcPr>
            <w:tcW w:w="6860" w:type="dxa"/>
            <w:vAlign w:val="bottom"/>
            <w:gridSpan w:val="10"/>
          </w:tcPr>
          <w:p>
            <w:pPr>
              <w:spacing w:after="0"/>
              <w:rPr>
                <w:sz w:val="21"/>
                <w:szCs w:val="21"/>
                <w:color w:val="auto"/>
              </w:rPr>
            </w:pPr>
          </w:p>
        </w:tc>
        <w:tc>
          <w:tcPr>
            <w:tcW w:w="1280" w:type="dxa"/>
            <w:vAlign w:val="bottom"/>
            <w:gridSpan w:val="4"/>
          </w:tcPr>
          <w:p>
            <w:pPr>
              <w:ind w:left="940"/>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5.</w:t>
              </w:r>
            </w:hyperlink>
          </w:p>
        </w:tc>
        <w:tc>
          <w:tcPr>
            <w:tcW w:w="862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1280" w:type="dxa"/>
            <w:vAlign w:val="bottom"/>
            <w:gridSpan w:val="4"/>
          </w:tcPr>
          <w:p>
            <w:pPr>
              <w:ind w:left="94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w:t>
              </w:r>
            </w:hyperlink>
          </w:p>
        </w:tc>
        <w:tc>
          <w:tcPr>
            <w:tcW w:w="862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1280" w:type="dxa"/>
            <w:vAlign w:val="bottom"/>
            <w:gridSpan w:val="4"/>
          </w:tcPr>
          <w:p>
            <w:pPr>
              <w:ind w:left="94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28">
              <w:r>
                <w:rPr>
                  <w:rFonts w:ascii="Arial" w:cs="Arial" w:eastAsia="Arial" w:hAnsi="Arial"/>
                  <w:sz w:val="18"/>
                  <w:szCs w:val="18"/>
                  <w:b w:val="1"/>
                  <w:bCs w:val="1"/>
                  <w:color w:val="0000FF"/>
                  <w:w w:val="83"/>
                </w:rPr>
                <w:t>Signatures</w:t>
              </w:r>
            </w:hyperlink>
          </w:p>
        </w:tc>
        <w:tc>
          <w:tcPr>
            <w:tcW w:w="8620" w:type="dxa"/>
            <w:vAlign w:val="bottom"/>
            <w:gridSpan w:val="17"/>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29">
              <w:r>
                <w:rPr>
                  <w:rFonts w:ascii="Arial" w:cs="Arial" w:eastAsia="Arial" w:hAnsi="Arial"/>
                  <w:sz w:val="18"/>
                  <w:szCs w:val="18"/>
                  <w:b w:val="1"/>
                  <w:bCs w:val="1"/>
                  <w:color w:val="0000FF"/>
                  <w:w w:val="90"/>
                </w:rPr>
                <w:t>Index to Exhibits</w:t>
              </w:r>
            </w:hyperlink>
          </w:p>
        </w:tc>
        <w:tc>
          <w:tcPr>
            <w:tcW w:w="8120" w:type="dxa"/>
            <w:vAlign w:val="bottom"/>
            <w:gridSpan w:val="16"/>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1,</w:t>
            </w:r>
          </w:p>
        </w:tc>
        <w:tc>
          <w:tcPr>
            <w:tcW w:w="2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80,857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37,816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35,068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6,663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290,070</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5,269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16,565</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80,664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52,780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51,083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7,299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234,519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228,017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155,173</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72,844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August 1,</w:t>
            </w:r>
          </w:p>
        </w:tc>
        <w:tc>
          <w:tcPr>
            <w:tcW w:w="2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48,640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52,747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11,838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16,828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142,020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15,177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14,643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3,190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167,440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43,787,037 and 43,643,801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and outstanding at August 1, 2015 and May 2,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32,693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132,771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212,221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212,039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7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7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7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166,618</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114,720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123,215</w:t>
            </w:r>
          </w:p>
        </w:tc>
        <w:tc>
          <w:tcPr>
            <w:tcW w:w="2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43,403</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15,046</w:t>
            </w:r>
          </w:p>
        </w:tc>
        <w:tc>
          <w:tcPr>
            <w:tcW w:w="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7,937</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6,968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2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29,786</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6,099</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13,617</w:t>
            </w:r>
          </w:p>
        </w:tc>
        <w:tc>
          <w:tcPr>
            <w:tcW w:w="240" w:type="dxa"/>
            <w:vAlign w:val="bottom"/>
          </w:tcPr>
          <w:p>
            <w:pPr>
              <w:spacing w:after="0"/>
              <w:rPr>
                <w:sz w:val="20"/>
                <w:szCs w:val="20"/>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77"/>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spacing w:after="0"/>
              <w:rPr>
                <w:sz w:val="23"/>
                <w:szCs w:val="23"/>
                <w:color w:val="auto"/>
              </w:rPr>
            </w:pPr>
          </w:p>
        </w:tc>
      </w:tr>
      <w:tr>
        <w:trPr>
          <w:trHeight w:val="277"/>
        </w:trPr>
        <w:tc>
          <w:tcPr>
            <w:tcW w:w="5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13,677</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4,932</w:t>
            </w:r>
          </w:p>
        </w:tc>
        <w:tc>
          <w:tcPr>
            <w:tcW w:w="2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43,797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43,261</w:t>
            </w:r>
          </w:p>
        </w:tc>
        <w:tc>
          <w:tcPr>
            <w:tcW w:w="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43,641</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77"/>
        </w:trPr>
        <w:tc>
          <w:tcPr>
            <w:tcW w:w="5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45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6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6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6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65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r>
      <w:tr>
        <w:trPr>
          <w:trHeight w:val="234"/>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August 1, 2015</w:t>
            </w: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4"/>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0"/>
                <w:szCs w:val="20"/>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4286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August 2,</w:t>
            </w: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52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Gain on sale of property, equipment and other assets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12,026</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(10,082)</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24,461</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0" w:type="dxa"/>
            <w:vAlign w:val="bottom"/>
          </w:tcPr>
          <w:p>
            <w:pPr>
              <w:spacing w:after="0"/>
              <w:rPr>
                <w:sz w:val="1"/>
                <w:szCs w:val="1"/>
                <w:color w:val="auto"/>
              </w:rPr>
            </w:pPr>
          </w:p>
        </w:tc>
      </w:tr>
      <w:tr>
        <w:trPr>
          <w:trHeight w:val="183"/>
        </w:trPr>
        <w:tc>
          <w:tcPr>
            <w:tcW w:w="85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57,284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60,058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360"/>
          </w:cols>
          <w:pgMar w:left="240" w:top="121" w:right="299" w:bottom="381"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121" w:right="299" w:bottom="381"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May 2, 2015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May 2, 2015,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Fiscal 2015 was a 53-week year; therefore, the three months ended August 1, 2015 contained operating results for 13 weeks while the three months ended August 2, 2014 contained operating results for 14 weeks.</w:t>
      </w:r>
    </w:p>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reclassifications in the Consolidated Balance Sheets' categories of prepaid expenses and other assets and investment in affiliates and other assets have been made to conform fiscal 2015 to the fiscal 2016 classifications for comparative purposes.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July 2015, the Financial Accounting Standards Board ("FASB") issued Accounting Standards Update ("ASU") 2015-11, </w:t>
      </w:r>
      <w:r>
        <w:rPr>
          <w:rFonts w:ascii="Arial" w:cs="Arial" w:eastAsia="Arial" w:hAnsi="Arial"/>
          <w:sz w:val="16"/>
          <w:szCs w:val="16"/>
          <w:i w:val="1"/>
          <w:iCs w:val="1"/>
          <w:color w:val="auto"/>
        </w:rPr>
        <w:t>Simplifying the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Inventory</w:t>
      </w:r>
      <w:r>
        <w:rPr>
          <w:rFonts w:ascii="Arial" w:cs="Arial" w:eastAsia="Arial" w:hAnsi="Arial"/>
          <w:sz w:val="16"/>
          <w:szCs w:val="16"/>
          <w:color w:val="auto"/>
        </w:rPr>
        <w:t>, which changes the measurement principle of inventory from the lower of cost or market to lower of cost and net realizable value. The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will require prospective application at the beginning of our first quarter of fiscal 2018, but permits adoption in an earlier period. We are currently evaluating the effect that adopting this new accounting guidance will have on our consolidated results of operations, cash flows, and financial position.</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issued as a new topic, Accounting Standards Codification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providing guidance for transactions that were not previously addressed comprehensively and improving guidance for multiple-element arrangements. The FASB recently announced plans to defer the effective adoption date for one year. ASU 2014-09 is effective for us beginning in fiscal 2019 and can be adopted by the Company either retrospectively or as a cumulative-effect adjustment as of the date of adoption. We are currently evaluating the effect that adopting ASU 2014-09 will have on our consolidated results of operations, cash flows, and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income and common share amounts used in the calculation of basic and diluted EPS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1, 2015 and August 2,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1, 2015</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43,797</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44,073</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2, 2014</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43,261</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43,641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1,437 shares of common stock with a weighted average exercise price of $18.33 for the three months ended August 1, 2015 and 1,455 shares of common stock with a weighted average exercise price of $18.51 for the three months ended August 2, 2014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 We focus on product lines that relate to integrated scoring and video display systems for sports and commercial applications, out-of-home advertising products, and European transportation related products.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May 2, 2015. Unabsorbed costs of domestic field sales and services infrastructure, including most field administrative staff, are allocated to the Commercial, Live Events, Transportation, and High School Park and Recreation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operating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47,922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75,674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20,111</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13,767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13,313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26,363</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150,221</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6,183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12,047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21,237</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6,968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6,803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5,892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13,677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3,776</w:t>
            </w:r>
          </w:p>
        </w:tc>
        <w:tc>
          <w:tcPr>
            <w:tcW w:w="2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0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August 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141,830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166,618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August 1,</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ind w:right="3380"/>
        <w:spacing w:after="0"/>
        <w:rPr>
          <w:sz w:val="20"/>
          <w:szCs w:val="20"/>
          <w:color w:val="auto"/>
        </w:rPr>
      </w:pPr>
      <w:r>
        <w:rPr>
          <w:rFonts w:ascii="Arial" w:cs="Arial" w:eastAsia="Arial" w:hAnsi="Arial"/>
          <w:sz w:val="16"/>
          <w:szCs w:val="16"/>
          <w:b w:val="1"/>
          <w:bCs w:val="1"/>
          <w:color w:val="auto"/>
        </w:rPr>
        <w:t>May 2,</w:t>
      </w:r>
    </w:p>
    <w:p>
      <w:pPr>
        <w:spacing w:after="0" w:line="50" w:lineRule="exact"/>
        <w:rPr>
          <w:sz w:val="20"/>
          <w:szCs w:val="20"/>
          <w:color w:val="auto"/>
        </w:rPr>
      </w:pPr>
    </w:p>
    <w:p>
      <w:pPr>
        <w:jc w:val="right"/>
        <w:ind w:right="344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22860</wp:posOffset>
            </wp:positionV>
            <wp:extent cx="883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4,962</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As it relates to fixed income marketable securities, we do not intend to sell any of these investments, and it is not likely we will be required to sell any of these investments before recovery of the entire amortized cost basis. In addition, as of August 1, 2015,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2015 and May 2, 2015,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1, 2015</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3,967</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25,327</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4,989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25,349</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three months ended August 1, 2015 and August 2, 2014, the reclassifications from accumulated other comprehensive loss to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August 1,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fiscal 2015, we prepared the preliminary fair value measurements of assets acquired and liabilities assumed, as of the acquisition date using independent appraisals and other analysis. A final measurement was completed during the first quarter of fiscal 2016 and the fair value of consideration paid and contingent consideration were finalized.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adjustments that were made to the original purchase price allocation:</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w w:val="89"/>
              </w:rPr>
              <w:t>Purchase price allocation as</w:t>
            </w: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gridSpan w:val="2"/>
          </w:tcPr>
          <w:p>
            <w:pPr>
              <w:ind w:left="40"/>
              <w:spacing w:after="0"/>
              <w:rPr>
                <w:sz w:val="20"/>
                <w:szCs w:val="20"/>
                <w:color w:val="auto"/>
              </w:rPr>
            </w:pPr>
            <w:r>
              <w:rPr>
                <w:rFonts w:ascii="Arial" w:cs="Arial" w:eastAsia="Arial" w:hAnsi="Arial"/>
                <w:sz w:val="18"/>
                <w:szCs w:val="18"/>
                <w:color w:val="auto"/>
                <w:w w:val="91"/>
              </w:rPr>
              <w:t>Reconciliation of assets and</w:t>
            </w:r>
          </w:p>
        </w:tc>
      </w:tr>
      <w:tr>
        <w:trPr>
          <w:trHeight w:val="230"/>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originally reported</w:t>
            </w:r>
          </w:p>
        </w:tc>
        <w:tc>
          <w:tcPr>
            <w:tcW w:w="380" w:type="dxa"/>
            <w:vAlign w:val="bottom"/>
          </w:tcPr>
          <w:p>
            <w:pPr>
              <w:spacing w:after="0"/>
              <w:rPr>
                <w:sz w:val="20"/>
                <w:szCs w:val="20"/>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w w:val="97"/>
              </w:rPr>
              <w:t>liabilities transferred</w:t>
            </w:r>
          </w:p>
        </w:tc>
      </w:tr>
      <w:tr>
        <w:trPr>
          <w:trHeight w:val="27"/>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Trademarks and Technology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1,433</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for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2,773</w:t>
            </w: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1,869</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Sale of Theatre Rigging Manufacturing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July 2014, we sold our automated rigging systems business for theatre applications. Related to the sale, we recorded a $1,261 gain, which is included in cost of goods sold in the High School Park and Recreation business unit.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part of the transaction, we sold assets of $2,817 that primarily consisted of accounts receivable, patents, inventory, and manufacturing equipment, net of $355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August 1, 2015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required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1, 2015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5,385</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perform an analysis of goodwill on an annual basis. We performed our annual analysis based on the goodwill amount as of the first business day of our third quarter in fiscal 2015, which was November 2, 2014. The result of the analysis indicated no goodwill impairment existed as of that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1,</w:t>
            </w:r>
          </w:p>
        </w:tc>
        <w:tc>
          <w:tcPr>
            <w:tcW w:w="28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2,</w:t>
            </w:r>
          </w:p>
        </w:tc>
      </w:t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7,450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7,512</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32,892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28,552</w:t>
            </w:r>
          </w:p>
        </w:tc>
      </w:tr>
      <w:tr>
        <w:trPr>
          <w:trHeight w:val="237"/>
        </w:trPr>
        <w:tc>
          <w:tcPr>
            <w:tcW w:w="7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72,011</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64,389</w:t>
            </w: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$2,477 and $2,316 at August 1, 2015 and May 2, 2015,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United States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$9,643 and $9,874 as of August 1, 2015 and May 2, 2015, respectively. Contract and lease receivables bearing annual interest rates of 4.8 to 10.0 percent are due in varying annual installments through August 2025. The face amount of long-term receivables was $11,012 as of August 1, 2015 and $10,976 as of May 2, 2015. Included in accounts receivable as of August 1, 2015 and May 2, 2015 was $531 and $385, respectively, of retainage on construction-type contracts, all of which is expected to be collected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Our assessment of whether a loss is reasonably possible or probable is based on our assessment and consultation with legal counsel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ultimate outcome of the matter following all appeals.</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August 1, 2015 and May 2, 2015 we had $500 and $0, respectively, accrued for contingent liabilities that management had determined to be probable and estimable. In the opinion of management, the ultimate liability of all unresolved legal proceedings is not expected to have a material effect on our financial position, liquidity or capital resources.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as of August 1, 2015 and May 2, 2015.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there is no guarantee liability in accrued expenses that needed to be recognized in connection with these arrangements.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three months ended August 1, 2015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26,481</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3,344</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costs for pre-existing warranties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1,923</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27,474</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August 1, 2015, we had outstanding letters of credit and surety bonds in the amount of $13,336 and $50,931,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$640 and $696 for the three months ended August 1, 2015 and August 2, 2014,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August 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August 1, 2015, we were obligated under the following conditional and unconditional purchase commitments, which included $700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our fiscal years 2012, 2013, and 2014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2015, we had $2,900 of unrecognized tax benefits which would affect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August 1, 2015 and May 2, 2015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1, 2015</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35,269</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13,636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13,636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24,864</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60,832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13. Derivative Financial Instruments for more information regarding our derivatives.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value in connection with business combinations or when an impairment is recognized and the related assets are written down to fair value. We utilized the fair value measurement standard, using primarily Level 3 inputs, to value the assets and liabilities for the business combination involving Data Display and the determination of goodwill associated with the sale of our automated rigging systems business for theatre applications. See Note 5. Business Combinations for more information. We did not make any material business combinations or recognize significant impairment losses during fiscal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August 1, 2015 and May 2, 2015, we had not designated any of our derivative instruments as accounting hedges, and thus we recorded the changes in fair value in other (expense) income,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August 1, 2015 and May 2,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40"/>
              <w:spacing w:after="0"/>
              <w:rPr>
                <w:sz w:val="20"/>
                <w:szCs w:val="20"/>
                <w:color w:val="auto"/>
              </w:rPr>
            </w:pPr>
            <w:r>
              <w:rPr>
                <w:rFonts w:ascii="Arial" w:cs="Arial" w:eastAsia="Arial" w:hAnsi="Arial"/>
                <w:sz w:val="18"/>
                <w:szCs w:val="18"/>
                <w:b w:val="1"/>
                <w:bCs w:val="1"/>
                <w:color w:val="auto"/>
              </w:rPr>
              <w:t>August 1, 2015</w:t>
            </w:r>
          </w:p>
        </w:tc>
        <w:tc>
          <w:tcPr>
            <w:tcW w:w="27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May 2, 2015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Dollars/Japanese Yen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16,707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4,636</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1, 2015 and May 2, 2015, there was a net asset and liability of $35 and $283, respectively, representing the fair value of foreign currency exchange forward contracts, which were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September 3, 2015, our Board of Directors declared a dividend of $0.10 per share payable on September 25, 2015 to shareholders of record of our common stock on September 14,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May 2, 2015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highlights the principal factors impacting our financial condition and further describes our results of operations. This discussion should be read in conjunction with the accompanying Consolidated Financial Statements and Notes to the Consolidated Financial Statements included in this Report.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(formerly known as Schools and Theatres), and Transportation, all of which include the geographic territories of the United States and Canada. Disclosures related to our business segments are provided in Note 3. Segment Disclosure.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out-of-home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currently focus on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Fiscal 2015 was a 53-week year; therefore, the three months ended August 1, 2015 contain operating results for 13 weeks while the three months ended August 2, 2014 contained operating results for 14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AUGUST 1, 2015 AND AUGUST 2,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1,</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Dollar</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6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9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line="194" w:lineRule="exact"/>
              <w:rPr>
                <w:sz w:val="20"/>
                <w:szCs w:val="20"/>
                <w:color w:val="auto"/>
              </w:rPr>
            </w:pPr>
            <w:r>
              <w:rPr>
                <w:rFonts w:ascii="Arial" w:cs="Arial" w:eastAsia="Arial" w:hAnsi="Arial"/>
                <w:sz w:val="18"/>
                <w:szCs w:val="18"/>
                <w:b w:val="1"/>
                <w:bCs w:val="1"/>
                <w:color w:val="auto"/>
                <w:w w:val="90"/>
              </w:rPr>
              <w:t>Change</w:t>
            </w:r>
          </w:p>
        </w:tc>
        <w:tc>
          <w:tcPr>
            <w:tcW w:w="12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47,922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75,674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(27,752)</w:t>
            </w:r>
          </w:p>
        </w:tc>
        <w:tc>
          <w:tcPr>
            <w:tcW w:w="22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13,767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150,221</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166,618</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(16,397)</w:t>
            </w:r>
          </w:p>
        </w:tc>
        <w:tc>
          <w:tcPr>
            <w:tcW w:w="2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9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34,957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41,773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(6,816)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7,159</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165,072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and orders in all business units were impacted as a result of the three months ended August 1, 2015 including 13 weeks compared to the three months ended August 2, 2014, which contained results for 14 weeks.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increase in net sales for the three months ended August 1, 2015 compared to the same period one year ago was the result of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our on-premise niche and spectacular niche correlating to a strong order backlog coming into fiscal 2016. Sales decreased in our digital billboard niche due to a higher than usual fiscal 2015 first quarter sales caused by construction site delays in late fiscal 2014 that moved more work into fiscal 2015.</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orders for the three months ended August 1, 2015 compared to the same period one year ago was the result of the volatility of large custom video orders in our spectacular niche. In addition, we had a large custom video order in the first quarter of fiscal 2015 and no order of a similar size occurred during the first quarter of fiscal 2016. Orders decreased in our on-premise niche and remained flat in our billboard niche primarily due to volatility on order timing and a general market delay in placing orders as compared with prior history.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three months ended August 1, 2015 compared to the same period one year ago was primarily due to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timing differences due to change in the demand profile in the marketplace. During the fourth quarter of fiscal 2015, we worked on a number of spring baseball projects, completed the work, and recognized the sales prior to the first quarter of fiscal 2016. In the first quarter of fiscal 2016, the mix of business has turned to more demand for indoor arena applications which we expect to deliver over the coming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for the three months ended August 1, 2015 compared to the same period one year ago due to orders received in the first quarter of fiscal 2016 in connection with a large multi-million dollar new stadium project and a number of projects for professional and minor league sports, college and university sports stadiums.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decrease in net sales for the three months ended August 1, 2015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extra week in the first quarter of fiscal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were relatively flat for the three months ended August 1, 2015 compared to the same period one year ago after adjusting out fiscal 2015 orders relating to the theatre rigging manufacturing division, which was sold during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August 1, 2015 compared to the same period one year ago remained relatively flat.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for the three months ended August 1, 2015 compared to the same period one year ago increased primarily due to market demand for intelligent transportation systems from a number of transportation departments and success in winning mass transit rail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 our International business unit increased for the three months ended August 1, 2015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recognizing revenue on a large transportation project in Switzerland and Out-of-Home and sports stadium projects.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Orders increased for the three months ended August 1, 2015 compared to the same period one year ago primarily due to orders booked on a number of large projects relating to the sports niche for stadiums and arenas, a multi-million dollar architectural lighting project, and Out-of-Home segment orders.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product order backlog as of August 1, 2015 was $205.5 million as compared to $165.1 million as of August 2, 2014 and $190.5 million at the end of fiscal 2015. Historically, our backlog varies due to the seasonality of our business, the timing of large projects, and customer delivery schedules for these orders. The backlog increased from August 2, 2014 in our Live Events, High School Park and Recreation, Transportation, and International business units and decreased in our Commercial business unit. As of August 1, 2015, Live Events backlog included approximately $28 million that we expect to realize after fiscal 2016 because of the timing of new stadium builds.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80"/>
              <w:spacing w:after="0"/>
              <w:rPr>
                <w:sz w:val="20"/>
                <w:szCs w:val="20"/>
                <w:color w:val="auto"/>
              </w:rPr>
            </w:pPr>
            <w:r>
              <w:rPr>
                <w:rFonts w:ascii="Arial" w:cs="Arial" w:eastAsia="Arial" w:hAnsi="Arial"/>
                <w:sz w:val="18"/>
                <w:szCs w:val="18"/>
                <w:b w:val="1"/>
                <w:bCs w:val="1"/>
                <w:color w:val="auto"/>
              </w:rPr>
              <w:t>August 1, 2015</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660"/>
              <w:spacing w:after="0"/>
              <w:rPr>
                <w:sz w:val="20"/>
                <w:szCs w:val="20"/>
                <w:color w:val="auto"/>
              </w:rPr>
            </w:pPr>
            <w:r>
              <w:rPr>
                <w:rFonts w:ascii="Arial" w:cs="Arial" w:eastAsia="Arial" w:hAnsi="Arial"/>
                <w:sz w:val="18"/>
                <w:szCs w:val="18"/>
                <w:b w:val="1"/>
                <w:bCs w:val="1"/>
                <w:color w:val="auto"/>
              </w:rPr>
              <w:t>August 2,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23.1%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28.3%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9,420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19.7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15,371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20.3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33.7</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40.6</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30.9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20.6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24.7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35,501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23.6%</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43,403</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26.0%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our gross profit percentage for the three months ended August 1, 2015 compared to the same period one year ago was due to the differences in gross profit percentages from our mix of business, higher warranty charges for particular projects, increased production labor costs, and the non-recurring fiscal 2015 first quarter gain on the theatre rigging business sale. The following describes the overall impact by business unit: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August 1, 2015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competitive nature of the market place. In the three months ended August 1, 2015, we produced a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percentage of sales in the spectacular niche, which historically has lower margins. Gross profit also declined due to an increase in our warranty cost as a percent of sales for particular projects and as a result of a non-recurring licensing charge.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gross profit percent decrease for the three months ended August 1, 2015 compared to the same period one year ago was the result of lower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an increase in the fixed costs of the manufacturing and service infrastructure, offset by lower warranty costs as a percent of sales.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decreased for the three months ended August 1, 2015 as compared to the same period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ago primarily due to recognizing a $1.3 million gain on the sale of our theatre rigging manufacturing division during the first quarter of fiscal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for the three months ended August 1, 2015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warranty costs as a percentage of sales, which was offset by improved manufacturing utilization.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three months ended August 1, 2015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overall gross margin decline on our large custom contracts which generally have lower margins due to their competitive nature, the low utilization of our international manufacturing facilities, and an increase in warranty costs as a percent of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August 1, 2015</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August 2,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3,238</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6.8</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3,323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13.8</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areas of selling expenses were impacted as a result of the three months ended August 1, 2015 including 13 weeks compared to the three months ended August 2, 2014, which contained results for 14 weeks.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expense in our Commercial, Live Events, and High School Park and Recreation business units decreased in the first quarter of fiscal 2016 compared to the same quarter a year ago, which was mainly related to the additional week of selling expenses in the first quarter of fiscal year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Transportation and International business units increased in the three months ended August 1, 2015 compared to the same period one year ago primarily due to the addition of Data Display during the second quarter of fiscal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1, 2015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August 2,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areas of operating expenses were impacted as a result of the three months ended August 1, 2015 including 13 weeks compared to the three months ended August 2, 2014, which contained results for 14 weeks.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2016 increased as compared to the same period one year ago primarily due to increases in information technology and personnel expenses.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facilities cost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first quarter of fiscal 2016 as compared to the same period one year ago increased primarily due to an increase in materials used in the development of product transitions and labor costs assigned to product development projects.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600"/>
              <w:spacing w:after="0"/>
              <w:rPr>
                <w:sz w:val="20"/>
                <w:szCs w:val="20"/>
                <w:color w:val="auto"/>
              </w:rPr>
            </w:pPr>
            <w:r>
              <w:rPr>
                <w:rFonts w:ascii="Arial" w:cs="Arial" w:eastAsia="Arial" w:hAnsi="Arial"/>
                <w:sz w:val="18"/>
                <w:szCs w:val="18"/>
                <w:b w:val="1"/>
                <w:bCs w:val="1"/>
                <w:color w:val="auto"/>
              </w:rPr>
              <w:t>August 1, 2015</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August 2,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net in the first quarter of fiscal 2016 compared to the same period one year ago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first quarter of fiscal 2016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unrealized foreign currency losses from the volatility of the Euro, Australian dollar, and Canadian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benefit was 35.9 percent for the first quarter of fiscal 2016 as compared to an effective tax rate of 36.1 percent for the first quarter of fiscal 2015. The substantial factors which decreased our effective tax rate were increases in our domestic manufacturing deductions and decreases in our projected book income and the related impact of permanent items such as meals and entertainment and stock compensation offset by changes to the geographic mix of income before taxes.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August 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2,</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24,461</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(5,340)</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used in operating activities was $10.1 million for the first three months of fiscal 2016 compared to cash provided of $24.5 million in the first three months of fiscal 2015. The $34.6 million decrease in cash from operating activities from August 2, 2014 to August 1, 2015 was the net result of a decrease in changes in net operating assets and liabilities of $30.8 million, a decrease of $0.2 million in our deferred income taxes, net, a decrease of $5.0 million in net income, adjusted by a $1.1 million gain on sale of property, equipment and other assets and a $0.3 million increase in depreciation and amortization.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significant drivers of cash used in operating activities were the changes in accounts payable, customer deposits, construction-type contracts, and inventory, offset by cash generated from accounts receivable and prepaid expenses. Changes in accounts receivables consumed $2.4 million of cash in the first three months of fiscal 2016 compared to consuming $4.1 million in the same period one year ago. Changes in prepaid expenses generated $1.2 million of cash in the first three months of fiscal 2016 compared to consuming $1.6 million in the same period one year ago. Changes in construction-type contracts, customer deposits, and accounts payable consumed $11.6 million of cash in the first three months of fiscal 2016 compared to generating $11.5 million in the same period one year ago. Changes in inventory consumed $7.6 million of cash in the first three months of fiscal 2016 compared to consuming $2.0 million in the same period one year ago.</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totaled $7.8 million in the first three months of fiscal 2016 compared to $5.3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fiscal 2015. Purchases of property and equipment totaled $7.2 million in the first three months of fiscal 2016 compared to $8.1 million in the first three months of fiscal 2015. The change from the prior year is due to the purchase of new manufacturing equipment for various new product lines as well as machine upgrades and additions to our information technology infrastructure.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net cash inflow of $3.5 million was recognized during the first three months of fiscal 2015 from the disposition of our automated rigging systems division for theatre applications. No comparable transaction occurred in the first three months of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net cash outlay of $0.6 million was recognized during each of the first three months of fiscal 2016 and fiscal 2015 for acquisitions, investment in affiliates and equity investments.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$3.8 million for the three months ended August 1, 2015 compared to $4.1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one year ago. Dividends of $4.4 million, or 10.0 cents per share, were paid to Daktronics shareholders during the first quarter of fiscal 2016 compared to $4.3 million, or 10.0 cents per share, paid to Daktronics shareholders during the first quarter of fiscal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Although we have $4.8 million of retainage on long-term contracts included in receivables and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billings as of August 1, 2015, we expect all of it to be collected within one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was $145.2 million at August 1, 2015 and $148.1 million at May 2, 2015. The decrease in working capital was primarily the result of a decrease in cash due to tax payments, dividend payments, and property and equipment purchases offset by decreases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and construction-type contracts, and an increase in inventory. We have historically financed working capital needs through a combination of cash flow from operations and borrowings under bank credit agreements.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1.6 percent at August 1, 2015. We are assessed a loan fee equal to 0.125 percent per annum of any non-used portion of the loan. As of August 1, 2015, there were no advances to us under the line of credit and the balance of letters of credit outstanding was approximately $10.9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2-to-1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1-to-1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As of August 1, 2015, there were no advances outstanding and approximately $2.4 million in bank guarantees under this line of credit.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August 1, 2015 and May 2, 2015. The minimum fixed charge coverage ratio as of May 2, 2015 was 33-to-1, and the ratio of interest-bearing debt to EBITDA as of August 1, 2015 was .03-to-1.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utilize cash to pay dividends to our investors. The following table summarizes the quarterly dividend declared and paid since the prior fiscal year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29, 2015</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12, 2015</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23, 2015</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September 3, 2015</w:t>
            </w:r>
          </w:p>
        </w:tc>
        <w:tc>
          <w:tcPr>
            <w:tcW w:w="1960" w:type="dxa"/>
            <w:vAlign w:val="bottom"/>
          </w:tcPr>
          <w:p>
            <w:pPr>
              <w:ind w:left="280"/>
              <w:spacing w:after="0"/>
              <w:rPr>
                <w:sz w:val="20"/>
                <w:szCs w:val="20"/>
                <w:color w:val="auto"/>
              </w:rPr>
            </w:pPr>
            <w:r>
              <w:rPr>
                <w:rFonts w:ascii="Arial" w:cs="Arial" w:eastAsia="Arial" w:hAnsi="Arial"/>
                <w:sz w:val="18"/>
                <w:szCs w:val="18"/>
                <w:color w:val="auto"/>
              </w:rPr>
              <w:t>September 14, 2015</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25, 2015</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$0.10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August 1, 2015, we had $50.9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approximately $25 million for fiscal 2016 for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our working capital available from all sources will be adequate to meet the cash requirements of our operations in the foreseeable future.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August 1, 2015, most of our net sales were denominated in United States dollars, and our exposure to foreign currency exchange rate changes on net sales has not been significant. For the first quarter of fiscal 2016, net sales originating outside the United States were 20.2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$1.8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$13.2 million, and all contracts mature within 17 months. These contracts are marked to market each balance sheet date and are not designated as hedges. See Note 13. Derivative Financial Instruments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August 1, 2015, our outstanding marketing obligations were $0.8 million, all of which were in fixed rate obligations.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August 1, 2015, our outstanding long-term receivables were $9.6 million. Each 25 basis point increase in interest rates would have an associated immaterial annual opportunity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$35.3 million in cash balances at August 1, 2015, $26.3 million was denominated in U.S.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1, 2015, which is the end of the period covered by this Report. Based upon that evaluation, the Chief Executive Officer and Chief Financial Officer concluded that as of August 1, 2015,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1, 2015,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2, 2015.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September 3,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720" w:right="40" w:hanging="688"/>
        <w:spacing w:after="0" w:line="298"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Daktronics, Inc. 2015 Stock Incentive Plan ("2015 Plan"). (Incorporated by reference to Exhibit A to the Company's Definitive Proxy Statement on Schedule 14A filed on July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Award Agreement under the 2015 Plan (Incorporated by reference to Exhibit 10.2 filed with our Current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8-K on September 3, 2015).</w:t>
      </w:r>
    </w:p>
    <w:p>
      <w:pPr>
        <w:spacing w:after="0" w:line="49" w:lineRule="exact"/>
        <w:rPr>
          <w:sz w:val="20"/>
          <w:szCs w:val="20"/>
          <w:color w:val="auto"/>
        </w:rPr>
      </w:pPr>
    </w:p>
    <w:p>
      <w:pPr>
        <w:ind w:left="720" w:right="220" w:hanging="688"/>
        <w:spacing w:after="0" w:line="277"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Non-Qualified Stock Option Agreement Terms and Conditions under the 2015 Plan (Incorporated by reference to Exhibit 10.3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Incentive Stock Option Terms and Conditions under the 2015 Plan (Incorporated by reference to Exhibit 10.4 filed with our Current Report on Form 8-K on September 3, 2015).</w:t>
      </w:r>
    </w:p>
    <w:p>
      <w:pPr>
        <w:spacing w:after="0" w:line="8" w:lineRule="exact"/>
        <w:rPr>
          <w:sz w:val="20"/>
          <w:szCs w:val="20"/>
          <w:color w:val="auto"/>
        </w:rPr>
      </w:pPr>
    </w:p>
    <w:p>
      <w:pPr>
        <w:ind w:left="720" w:right="160" w:hanging="688"/>
        <w:spacing w:after="0" w:line="277" w:lineRule="auto"/>
        <w:tabs>
          <w:tab w:leader="none" w:pos="700" w:val="left"/>
        </w:tabs>
        <w:rPr>
          <w:sz w:val="20"/>
          <w:szCs w:val="20"/>
          <w:color w:val="auto"/>
        </w:rPr>
      </w:pPr>
      <w:r>
        <w:rPr>
          <w:rFonts w:ascii="Arial" w:cs="Arial" w:eastAsia="Arial" w:hAnsi="Arial"/>
          <w:sz w:val="18"/>
          <w:szCs w:val="18"/>
          <w:color w:val="auto"/>
        </w:rPr>
        <w:t>10.10</w:t>
        <w:tab/>
        <w:t>Form of Restricted Stock Unit Terms and Conditions under the 2015 Plan (Incorporated by reference to Exhibit 10.5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40" w:hanging="685"/>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August 1, 2015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1, 2015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9/3/2015</w:t>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1, 2015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9/3/2015</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1, 2015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9/3/2015</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1, 2015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9/3/2015</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2019-12-29T16:10:54Z</dcterms:created>
  <dcterms:modified xsi:type="dcterms:W3CDTF">2019-12-29T16:10:54Z</dcterms:modified>
</cp:coreProperties>
</file>