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4020" w:right="1880" w:hanging="4011"/>
        <w:spacing w:after="0" w:line="286"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July 27, 2024</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001-38747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344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32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25"/>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527"/>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Brookings,</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SD</w:t>
            </w:r>
          </w:p>
        </w:tc>
        <w:tc>
          <w:tcPr>
            <w:tcW w:w="432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56"/>
        </w:trPr>
        <w:tc>
          <w:tcPr>
            <w:tcW w:w="3440" w:type="dxa"/>
            <w:vAlign w:val="bottom"/>
          </w:tcPr>
          <w:p>
            <w:pPr>
              <w:spacing w:after="0"/>
              <w:rPr>
                <w:sz w:val="22"/>
                <w:szCs w:val="22"/>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522"/>
        </w:trPr>
        <w:tc>
          <w:tcPr>
            <w:tcW w:w="3440" w:type="dxa"/>
            <w:vAlign w:val="bottom"/>
          </w:tcPr>
          <w:p>
            <w:pPr>
              <w:spacing w:after="0"/>
              <w:rPr>
                <w:sz w:val="24"/>
                <w:szCs w:val="24"/>
                <w:color w:val="auto"/>
              </w:rPr>
            </w:pPr>
          </w:p>
        </w:tc>
        <w:tc>
          <w:tcPr>
            <w:tcW w:w="306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7820" w:type="dxa"/>
            <w:vAlign w:val="bottom"/>
            <w:gridSpan w:val="5"/>
          </w:tcPr>
          <w:p>
            <w:pPr>
              <w:jc w:val="center"/>
              <w:ind w:right="3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3440" w:type="dxa"/>
            <w:vAlign w:val="bottom"/>
          </w:tcPr>
          <w:p>
            <w:pPr>
              <w:spacing w:after="0"/>
              <w:rPr>
                <w:sz w:val="24"/>
                <w:szCs w:val="24"/>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43"/>
        </w:trPr>
        <w:tc>
          <w:tcPr>
            <w:tcW w:w="34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r>
      <w:tr>
        <w:trPr>
          <w:trHeight w:val="243"/>
        </w:trPr>
        <w:tc>
          <w:tcPr>
            <w:tcW w:w="3440" w:type="dxa"/>
            <w:vAlign w:val="bottom"/>
            <w:tcBorders>
              <w:left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364" w:right="319" w:bottom="0" w:gutter="0" w:footer="0" w:header="0"/>
        </w:sectPr>
      </w:pPr>
    </w:p>
    <w:p>
      <w:pPr>
        <w:spacing w:after="0" w:line="2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spacing w:after="0" w:line="1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August 26, 2024 was 46,648,863.</w:t>
      </w:r>
    </w:p>
    <w:p>
      <w:pPr>
        <w:sectPr>
          <w:pgSz w:w="11900" w:h="16838" w:orient="portrait"/>
          <w:cols w:equalWidth="0" w:num="1">
            <w:col w:w="11260"/>
          </w:cols>
          <w:pgMar w:left="320" w:top="1364" w:right="31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July 27,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98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8980" w:type="dxa"/>
            <w:vAlign w:val="bottom"/>
            <w:gridSpan w:val="20"/>
            <w:vMerge w:val="continue"/>
          </w:tcPr>
          <w:p>
            <w:pPr>
              <w:spacing w:after="0"/>
              <w:rPr>
                <w:sz w:val="16"/>
                <w:szCs w:val="16"/>
                <w:color w:val="auto"/>
              </w:rPr>
            </w:pPr>
          </w:p>
        </w:tc>
        <w:tc>
          <w:tcPr>
            <w:tcW w:w="560" w:type="dxa"/>
            <w:vAlign w:val="bottom"/>
            <w:gridSpan w:val="4"/>
          </w:tcPr>
          <w:p>
            <w:pPr>
              <w:jc w:val="center"/>
              <w:ind w:left="31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60" w:type="dxa"/>
            <w:vAlign w:val="bottom"/>
            <w:gridSpan w:val="5"/>
          </w:tcPr>
          <w:p>
            <w:pPr>
              <w:spacing w:after="0"/>
              <w:rPr>
                <w:sz w:val="18"/>
                <w:szCs w:val="18"/>
                <w:color w:val="auto"/>
              </w:rPr>
            </w:pPr>
          </w:p>
        </w:tc>
        <w:tc>
          <w:tcPr>
            <w:tcW w:w="2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60" w:type="dxa"/>
            <w:vAlign w:val="bottom"/>
            <w:gridSpan w:val="9"/>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July 27, 2024 and April 27, 2024</w:t>
            </w: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July 27, 2024 and July 29, 2023</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80" w:type="dxa"/>
            <w:vAlign w:val="bottom"/>
            <w:tcBorders>
              <w:bottom w:val="single" w:sz="8" w:color="0000FF"/>
            </w:tcBorders>
            <w:gridSpan w:val="16"/>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Income for the Three Months Ended July 27, 2024 and</w:t>
            </w: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00" w:type="dxa"/>
            <w:vAlign w:val="bottom"/>
            <w:tcBorders>
              <w:bottom w:val="single" w:sz="8" w:color="0000FF"/>
            </w:tcBorders>
            <w:gridSpan w:val="19"/>
            <w:vMerge w:val="continue"/>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8"/>
              </w:rPr>
              <w:t>July 29, 2023</w:t>
            </w:r>
          </w:p>
        </w:tc>
        <w:tc>
          <w:tcPr>
            <w:tcW w:w="3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2"/>
          </w:tcPr>
          <w:p>
            <w:pPr>
              <w:spacing w:after="0"/>
              <w:rPr>
                <w:sz w:val="17"/>
                <w:szCs w:val="17"/>
                <w:color w:val="auto"/>
              </w:rPr>
            </w:pPr>
          </w:p>
        </w:tc>
        <w:tc>
          <w:tcPr>
            <w:tcW w:w="21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Months Ended July 27, 2024 and July 29,</w:t>
            </w: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00" w:type="dxa"/>
            <w:vAlign w:val="bottom"/>
            <w:gridSpan w:val="19"/>
            <w:vMerge w:val="continue"/>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2023</w:t>
            </w:r>
          </w:p>
        </w:tc>
        <w:tc>
          <w:tcPr>
            <w:tcW w:w="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1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July 27, 2024 and July 29, 2023</w:t>
            </w: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40" w:type="dxa"/>
            <w:vAlign w:val="bottom"/>
            <w:tcBorders>
              <w:bottom w:val="single" w:sz="8" w:color="0000FF"/>
            </w:tcBorders>
            <w:gridSpan w:val="17"/>
            <w:vMerge w:val="continue"/>
          </w:tcPr>
          <w:p>
            <w:pPr>
              <w:spacing w:after="0"/>
              <w:rPr>
                <w:sz w:val="18"/>
                <w:szCs w:val="18"/>
                <w:color w:val="auto"/>
              </w:rPr>
            </w:pPr>
          </w:p>
        </w:tc>
        <w:tc>
          <w:tcPr>
            <w:tcW w:w="360" w:type="dxa"/>
            <w:vAlign w:val="bottom"/>
            <w:gridSpan w:val="2"/>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172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Borders>
              <w:bottom w:val="single" w:sz="8" w:color="0000FF"/>
            </w:tcBorders>
            <w:gridSpan w:val="13"/>
            <w:vMerge w:val="continue"/>
          </w:tcPr>
          <w:p>
            <w:pPr>
              <w:spacing w:after="0"/>
              <w:rPr>
                <w:sz w:val="18"/>
                <w:szCs w:val="18"/>
                <w:color w:val="auto"/>
              </w:rPr>
            </w:pPr>
          </w:p>
        </w:tc>
        <w:tc>
          <w:tcPr>
            <w:tcW w:w="1720" w:type="dxa"/>
            <w:vAlign w:val="bottom"/>
            <w:gridSpan w:val="2"/>
          </w:tcPr>
          <w:p>
            <w:pPr>
              <w:spacing w:after="0"/>
              <w:rPr>
                <w:sz w:val="18"/>
                <w:szCs w:val="18"/>
                <w:color w:val="auto"/>
              </w:rPr>
            </w:pPr>
          </w:p>
        </w:tc>
        <w:tc>
          <w:tcPr>
            <w:tcW w:w="2520" w:type="dxa"/>
            <w:vAlign w:val="bottom"/>
            <w:gridSpan w:val="4"/>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0"/>
              </w:rPr>
              <w:t>Item 2.</w:t>
            </w:r>
          </w:p>
        </w:tc>
        <w:tc>
          <w:tcPr>
            <w:tcW w:w="860" w:type="dxa"/>
            <w:vAlign w:val="bottom"/>
            <w:gridSpan w:val="5"/>
          </w:tcPr>
          <w:p>
            <w:pPr>
              <w:spacing w:after="0"/>
              <w:rPr>
                <w:sz w:val="17"/>
                <w:szCs w:val="17"/>
                <w:color w:val="auto"/>
              </w:rPr>
            </w:pPr>
          </w:p>
        </w:tc>
        <w:tc>
          <w:tcPr>
            <w:tcW w:w="64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2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80" w:type="dxa"/>
            <w:vAlign w:val="bottom"/>
            <w:gridSpan w:val="4"/>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7"/>
          </w:tcPr>
          <w:p>
            <w:pPr>
              <w:spacing w:after="0"/>
              <w:rPr>
                <w:sz w:val="18"/>
                <w:szCs w:val="18"/>
                <w:color w:val="auto"/>
              </w:rPr>
            </w:pP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gridSpan w:val="4"/>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0" w:type="dxa"/>
            <w:vAlign w:val="bottom"/>
            <w:tcBorders>
              <w:top w:val="single" w:sz="8" w:color="0000FF"/>
            </w:tcBorders>
          </w:tcPr>
          <w:p>
            <w:pPr>
              <w:spacing w:after="0"/>
              <w:rPr>
                <w:sz w:val="18"/>
                <w:szCs w:val="18"/>
                <w:color w:val="auto"/>
              </w:rPr>
            </w:pPr>
          </w:p>
        </w:tc>
        <w:tc>
          <w:tcPr>
            <w:tcW w:w="780" w:type="dxa"/>
            <w:vAlign w:val="bottom"/>
            <w:gridSpan w:val="4"/>
          </w:tcPr>
          <w:p>
            <w:pPr>
              <w:spacing w:after="0"/>
              <w:rPr>
                <w:sz w:val="18"/>
                <w:szCs w:val="18"/>
                <w:color w:val="auto"/>
              </w:rPr>
            </w:pPr>
          </w:p>
        </w:tc>
        <w:tc>
          <w:tcPr>
            <w:tcW w:w="1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40" w:type="dxa"/>
            <w:vAlign w:val="bottom"/>
            <w:gridSpan w:val="14"/>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860" w:type="dxa"/>
            <w:vAlign w:val="bottom"/>
            <w:gridSpan w:val="5"/>
          </w:tcPr>
          <w:p>
            <w:pPr>
              <w:spacing w:after="0"/>
              <w:rPr>
                <w:sz w:val="18"/>
                <w:szCs w:val="18"/>
                <w:color w:val="auto"/>
              </w:rPr>
            </w:pP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2"/>
          </w:tcPr>
          <w:p>
            <w:pPr>
              <w:spacing w:after="0"/>
              <w:rPr>
                <w:sz w:val="18"/>
                <w:szCs w:val="18"/>
                <w:color w:val="auto"/>
              </w:rPr>
            </w:pPr>
          </w:p>
        </w:tc>
        <w:tc>
          <w:tcPr>
            <w:tcW w:w="464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540" w:type="dxa"/>
            <w:vAlign w:val="bottom"/>
            <w:gridSpan w:val="2"/>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320" w:type="dxa"/>
            <w:vAlign w:val="bottom"/>
            <w:tcBorders>
              <w:top w:val="single" w:sz="8" w:color="0000FF"/>
            </w:tcBorders>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20" w:type="dxa"/>
            <w:vAlign w:val="bottom"/>
            <w:gridSpan w:val="11"/>
          </w:tcPr>
          <w:p>
            <w:pPr>
              <w:spacing w:after="0"/>
              <w:rPr>
                <w:sz w:val="18"/>
                <w:szCs w:val="18"/>
                <w:color w:val="auto"/>
              </w:rPr>
            </w:pP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860" w:type="dxa"/>
            <w:vAlign w:val="bottom"/>
            <w:gridSpan w:val="5"/>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18"/>
                <w:szCs w:val="18"/>
                <w:color w:val="auto"/>
              </w:rPr>
            </w:pPr>
          </w:p>
        </w:tc>
        <w:tc>
          <w:tcPr>
            <w:tcW w:w="766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Index to Exhibits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400" w:type="dxa"/>
            <w:vAlign w:val="bottom"/>
          </w:tcPr>
          <w:p>
            <w:pPr>
              <w:spacing w:after="0"/>
              <w:rPr>
                <w:sz w:val="24"/>
                <w:szCs w:val="24"/>
                <w:color w:val="auto"/>
              </w:rPr>
            </w:pPr>
          </w:p>
        </w:tc>
        <w:tc>
          <w:tcPr>
            <w:tcW w:w="50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3400" w:type="dxa"/>
            <w:vAlign w:val="bottom"/>
          </w:tcPr>
          <w:p>
            <w:pPr>
              <w:spacing w:after="0"/>
              <w:rPr>
                <w:sz w:val="19"/>
                <w:szCs w:val="19"/>
                <w:color w:val="auto"/>
              </w:rPr>
            </w:pPr>
          </w:p>
        </w:tc>
        <w:tc>
          <w:tcPr>
            <w:tcW w:w="50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400" w:type="dxa"/>
            <w:vAlign w:val="bottom"/>
          </w:tcPr>
          <w:p>
            <w:pPr>
              <w:spacing w:after="0"/>
              <w:rPr>
                <w:sz w:val="20"/>
                <w:szCs w:val="20"/>
                <w:color w:val="auto"/>
              </w:rPr>
            </w:pPr>
          </w:p>
        </w:tc>
        <w:tc>
          <w:tcPr>
            <w:tcW w:w="50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(in thousands, except per share data) (unaudited)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3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27,</w:t>
            </w:r>
          </w:p>
        </w:tc>
        <w:tc>
          <w:tcPr>
            <w:tcW w:w="26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38"/>
        </w:trPr>
        <w:tc>
          <w:tcPr>
            <w:tcW w:w="34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96,809</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117,186</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138,008</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4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47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50"/>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47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401,949</w:t>
            </w:r>
          </w:p>
        </w:tc>
      </w:tr>
      <w:tr>
        <w:trPr>
          <w:trHeight w:val="250"/>
        </w:trPr>
        <w:tc>
          <w:tcPr>
            <w:tcW w:w="34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Debt issuance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71,752</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w:t>
            </w:r>
          </w:p>
        </w:tc>
      </w:tr>
      <w:tr>
        <w:trPr>
          <w:trHeight w:val="270"/>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25,850</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25,862</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553,886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527,884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27,</w:t>
            </w:r>
          </w:p>
        </w:tc>
        <w:tc>
          <w:tcPr>
            <w:tcW w:w="260" w:type="dxa"/>
            <w:vAlign w:val="bottom"/>
          </w:tcPr>
          <w:p>
            <w:pPr>
              <w:spacing w:after="0"/>
              <w:rPr>
                <w:sz w:val="17"/>
                <w:szCs w:val="17"/>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8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60,757</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65,524</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43,028</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192,296</w:t>
            </w:r>
          </w:p>
        </w:tc>
      </w:tr>
      <w:tr>
        <w:trPr>
          <w:trHeight w:val="237"/>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16,342</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53,164</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118,729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96,796</w:t>
            </w:r>
          </w:p>
        </w:tc>
      </w:tr>
      <w:tr>
        <w:trPr>
          <w:trHeight w:val="237"/>
        </w:trPr>
        <w:tc>
          <w:tcPr>
            <w:tcW w:w="8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no par value, authorized 50 shares; no shares issued and outstanding</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 authorized 115,000 shares; 48,523 and 48,121 shares issued as of July 27, 2024</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April 27, 2024, respectively</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65,525</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52,046</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138,031</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1,907 shares as of July 27, 2024 and April 27, 2024, respectively</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238,211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238,792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527,884</w:t>
            </w: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69"/>
        </w:trPr>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b w:val="1"/>
                <w:bCs w:val="1"/>
                <w:color w:val="auto"/>
              </w:rPr>
              <w:t>July 27,</w:t>
            </w:r>
          </w:p>
        </w:tc>
        <w:tc>
          <w:tcPr>
            <w:tcW w:w="360" w:type="dxa"/>
            <w:vAlign w:val="bottom"/>
          </w:tcPr>
          <w:p>
            <w:pPr>
              <w:spacing w:after="0"/>
              <w:rPr>
                <w:sz w:val="14"/>
                <w:szCs w:val="14"/>
                <w:color w:val="auto"/>
              </w:rPr>
            </w:pPr>
          </w:p>
        </w:tc>
        <w:tc>
          <w:tcPr>
            <w:tcW w:w="148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July 29,</w:t>
            </w:r>
          </w:p>
        </w:tc>
      </w:tr>
      <w:tr>
        <w:trPr>
          <w:trHeight w:val="241"/>
        </w:trPr>
        <w:tc>
          <w:tcPr>
            <w:tcW w:w="74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232,531</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161,384</w:t>
            </w:r>
          </w:p>
        </w:tc>
      </w:tr>
      <w:tr>
        <w:trPr>
          <w:trHeight w:val="25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71,147</w:t>
            </w:r>
          </w:p>
        </w:tc>
      </w:tr>
      <w:tr>
        <w:trPr>
          <w:trHeight w:val="270"/>
        </w:trPr>
        <w:tc>
          <w:tcPr>
            <w:tcW w:w="7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27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w:t>
            </w:r>
          </w:p>
        </w:tc>
      </w:tr>
      <w:tr>
        <w:trPr>
          <w:trHeight w:val="223"/>
        </w:trPr>
        <w:tc>
          <w:tcPr>
            <w:tcW w:w="7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w:t>
            </w:r>
          </w:p>
        </w:tc>
      </w:tr>
      <w:tr>
        <w:trPr>
          <w:trHeight w:val="25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40,216</w:t>
            </w:r>
          </w:p>
        </w:tc>
      </w:tr>
      <w:tr>
        <w:trPr>
          <w:trHeight w:val="250"/>
        </w:trPr>
        <w:tc>
          <w:tcPr>
            <w:tcW w:w="7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7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and debt issuance costs write-off, net</w:t>
            </w:r>
          </w:p>
        </w:tc>
        <w:tc>
          <w:tcPr>
            <w:tcW w:w="3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r>
      <w:tr>
        <w:trPr>
          <w:trHeight w:val="250"/>
        </w:trPr>
        <w:tc>
          <w:tcPr>
            <w:tcW w:w="7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28,096</w:t>
            </w:r>
          </w:p>
        </w:tc>
      </w:tr>
      <w:tr>
        <w:trPr>
          <w:trHeight w:val="27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w:t>
            </w:r>
          </w:p>
        </w:tc>
      </w:tr>
      <w:tr>
        <w:trPr>
          <w:trHeight w:val="248"/>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45,645</w:t>
            </w: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46,198</w:t>
            </w:r>
          </w:p>
        </w:tc>
      </w:tr>
      <w:tr>
        <w:trPr>
          <w:trHeight w:val="270"/>
        </w:trPr>
        <w:tc>
          <w:tcPr>
            <w:tcW w:w="7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5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69"/>
        </w:trPr>
        <w:tc>
          <w:tcPr>
            <w:tcW w:w="7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8"/>
                <w:szCs w:val="18"/>
                <w:b w:val="1"/>
                <w:bCs w:val="1"/>
                <w:color w:val="auto"/>
              </w:rPr>
              <w:t>July 27,</w:t>
            </w:r>
          </w:p>
        </w:tc>
        <w:tc>
          <w:tcPr>
            <w:tcW w:w="320" w:type="dxa"/>
            <w:vAlign w:val="bottom"/>
          </w:tcPr>
          <w:p>
            <w:pPr>
              <w:spacing w:after="0"/>
              <w:rPr>
                <w:sz w:val="14"/>
                <w:szCs w:val="14"/>
                <w:color w:val="auto"/>
              </w:rPr>
            </w:pPr>
          </w:p>
        </w:tc>
        <w:tc>
          <w:tcPr>
            <w:tcW w:w="1340" w:type="dxa"/>
            <w:vAlign w:val="bottom"/>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July 29,</w:t>
            </w:r>
          </w:p>
        </w:tc>
      </w:tr>
      <w:tr>
        <w:trPr>
          <w:trHeight w:val="241"/>
        </w:trPr>
        <w:tc>
          <w:tcPr>
            <w:tcW w:w="7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2"/>
        </w:trPr>
        <w:tc>
          <w:tcPr>
            <w:tcW w:w="7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19,196</w:t>
            </w:r>
          </w:p>
        </w:tc>
      </w:tr>
      <w:tr>
        <w:trPr>
          <w:trHeight w:val="270"/>
        </w:trPr>
        <w:tc>
          <w:tcPr>
            <w:tcW w:w="7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3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27,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138,031</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238,792</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0" w:type="dxa"/>
            <w:vAlign w:val="bottom"/>
          </w:tcPr>
          <w:p>
            <w:pPr>
              <w:spacing w:after="0"/>
              <w:rPr>
                <w:sz w:val="1"/>
                <w:szCs w:val="1"/>
                <w:color w:val="auto"/>
              </w:rPr>
            </w:pPr>
          </w:p>
        </w:tc>
      </w:tr>
      <w:tr>
        <w:trPr>
          <w:trHeight w:val="196"/>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22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27,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238,211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29,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103,410</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200,878</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Unrealized gain on available-for-</w:t>
            </w: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 securities, net of tax</w:t>
            </w: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9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29,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63,684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122,606</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(5,774)</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221,047</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818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July 27,</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428"/>
              <w:spacing w:after="0" w:line="131" w:lineRule="exact"/>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8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income</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4,669</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loss on sale of property, equipment and other assets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 loss of affiliates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Provision for doubtful accounts, net</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10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convertible note</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Debt issuance costs write-off</w:t>
            </w:r>
          </w:p>
        </w:tc>
        <w:tc>
          <w:tcPr>
            <w:tcW w:w="10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(16,875)</w:t>
            </w:r>
          </w:p>
        </w:tc>
      </w:tr>
      <w:tr>
        <w:trPr>
          <w:trHeight w:val="189"/>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19,250</w:t>
            </w:r>
          </w:p>
        </w:tc>
      </w:tr>
      <w:tr>
        <w:trPr>
          <w:trHeight w:val="203"/>
        </w:trPr>
        <w:tc>
          <w:tcPr>
            <w:tcW w:w="8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sales of property, equipment and other assets</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sales or maturities of marketable securities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Purchases of equity and loans to equity investees</w:t>
            </w:r>
          </w:p>
        </w:tc>
        <w:tc>
          <w:tcPr>
            <w:tcW w:w="1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w:t>
            </w: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w:t>
            </w:r>
          </w:p>
        </w:tc>
      </w:tr>
      <w:tr>
        <w:trPr>
          <w:trHeight w:val="203"/>
        </w:trPr>
        <w:tc>
          <w:tcPr>
            <w:tcW w:w="8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on notes payable</w:t>
            </w:r>
          </w:p>
        </w:tc>
        <w:tc>
          <w:tcPr>
            <w:tcW w:w="100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payments on long-term obligations</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Debt issuance costs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w:t>
            </w: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16,356</w:t>
            </w:r>
          </w:p>
        </w:tc>
      </w:tr>
      <w:tr>
        <w:trPr>
          <w:trHeight w:val="203"/>
        </w:trPr>
        <w:tc>
          <w:tcPr>
            <w:tcW w:w="8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29,660</w:t>
            </w:r>
          </w:p>
        </w:tc>
      </w:tr>
      <w:tr>
        <w:trPr>
          <w:trHeight w:val="203"/>
        </w:trPr>
        <w:tc>
          <w:tcPr>
            <w:tcW w:w="8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Beginning of period</w:t>
            </w:r>
          </w:p>
        </w:tc>
        <w:tc>
          <w:tcPr>
            <w:tcW w:w="10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24,690</w:t>
            </w:r>
          </w:p>
        </w:tc>
      </w:tr>
      <w:tr>
        <w:trPr>
          <w:trHeight w:val="20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End of period</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97,188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54,350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for:</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r>
      <w:tr>
        <w:trPr>
          <w:trHeight w:val="202"/>
        </w:trPr>
        <w:tc>
          <w:tcPr>
            <w:tcW w:w="8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of common stock under the ESPP</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amounts in thousands, except per share data)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industry leaders in designing and manufacturing electronic scoreboards, programmable display systems and large screen video displays for sporting, commercial and transportation applications.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of assets and liabilities, revenues and expenses, and the disclosure of contingent liabilities. Estimates used in the preparation of the unaudited consolidated financial statements include, among others, revenue recognition, future warranty expenses, the fair value of long-term debt, the fair value of investments in affiliates, income tax expenses, and stock-based compensation. Due to the inherent uncertainty involved in making estimates, actual results in future periods may differ from those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financial statements prepared in accordance with GAAP have been condensed or omitted. The balance sheet as of April 27, 2024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fiscal year ended April 27, 2024,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three months ended July 27, 2024 and July 29, 2023 contained operating results for 13 weeks.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and estimates as described in our Annual Report on Form 10-K for the fiscal year ended April 27,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certain issuances of foreign bank guarantees.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27,</w:t>
            </w: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29,</w:t>
            </w: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0" w:type="dxa"/>
            <w:vAlign w:val="bottom"/>
          </w:tcPr>
          <w:p>
            <w:pPr>
              <w:spacing w:after="0"/>
              <w:rPr>
                <w:sz w:val="1"/>
                <w:szCs w:val="1"/>
                <w:color w:val="auto"/>
              </w:rPr>
            </w:pPr>
          </w:p>
        </w:tc>
      </w:tr>
      <w:tr>
        <w:trPr>
          <w:trHeight w:val="241"/>
        </w:trPr>
        <w:tc>
          <w:tcPr>
            <w:tcW w:w="6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55"/>
        </w:trPr>
        <w:tc>
          <w:tcPr>
            <w:tcW w:w="6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97,188</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54,350</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of cash flows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$96,809 in cash and cash equivalent balances as of July 27, 2024, $81,246 were denominated in United States dollars, of which $1,649 were held by our foreign subsidiaries. As of July 27, 2024, we had an additional $15,563 in cash balances denominated in foreign currencies, of which $10,922 were maintained in accounts of our foreign subsidiaries.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Accounting Standard Updates ("ASU") issued that were adopted in the three months ended July 27,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("ASU 2023-07"). ASU 2023-07 requires enhanced disclosures about significant segment expenses.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adopt ASU 2023-07 for its annual reporting in fiscal year 2025 and for interim period reporting beginning in the first quarter of fiscal year 2026 on a retrospective basis. Early adoption is permitted. We are currently evaluating the impact of ASU 2023-07 on our segment disclosures.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the disclosure of specified additional information in its income tax rate reconciliation and to provide additional information for reconciling items that meet a quantitative threshold. ASU 2023-09 will also require disaggregation of income taxes paid disclosure by federal, state and foreign taxes, with further disaggregation required for significant individual jurisdictions. The Company is required to adopt this guidance for its annual reporting in fiscal year 2026 on a prospective basis. Early adoption and retroactive application are permitted. We are currently evaluating the impact of ASU 2023-09 on our income tax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use the equity method to account for investments in companies if our investment provides us with the ability to exercise significant influence over operating and financial policies of the investee. Our consolidated net (loss) income includes our Company's proportionate share of the net income or loss of these companies. Our judgment regarding the level of influence over each equity method investee includes considering key factors such as our ownership interest, representation on the board of directors, participation in policy-making decisions, other commercial arrangements, and material intercompany transactions. We evaluated the nature of our investment in affiliates of Xdisplay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("XDC"), which is developing micro-LED mass transfer expertise and technologies, and Miortech (dba Etulipa), which is developing low power outdoor electrowetting technology. Our ownership in Miortech was 55.9 percent and in XDC was 16.4 percent as of July 27, 2024. The aggregate amount of our investments accounted for under the equity method was $893 and $1,813 as of July 27, 2024 and April 27, 2024, respectively.</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determined both entities are variable interest entities, and based on management's analysis, we determined that Daktronics is not the primary beneficiary because the power criterion was not met; therefore, the investments in Miortech and XDC are accounted for under the equity method. Our consolidated net (loss) income includes our Company's proportionate share of the net income or loss of each affiliates. Our proportional share of the respective affiliates' earnings or losses is included in the "Other expense and debt issuance costs write-off, net" line item in our condensed consolidated statements of operations. For the three months ended July 27, 2024, our share of the losses of our affiliates was $931 as compared to $690 for the three months ended July 29, 2023.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our investments in affiliates for impairment indicators. There were no impairments recorded during three months ended July 27, 2024 compared to an impairment of $442 the first quarter of fiscal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purchased services for research and development activities from our equity method investees. The total of these related party transactions for the three months ended July 27, 2024 and July 29, 2023 was $223 and $78, respectively, which is included in the "Product design and development" line item in our condensed consolidated statements of operations, and for the three months ended July 27, 2024 and July 29, 2023, $123 and $2, respectively, remains unpaid and is included in the "Accounts payable" line item in our condensed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advanced our affiliates convertible and promissory notes (collectively, the "Affiliate Notes"). We advanced $958 in the three months ended July 27, 2024 and $5,050 in fiscal year 2024 under the Affiliate Notes. The total outstanding amount of the Affiliate Notes was $15,371 and $14,241 as of July 27, 2024 and April 27, 2024, respectively. The balances of Affiliate Notes are included in the "Investments in affiliates and other assets" line item in our condensed consolidated balance sheets. We evaluate the Affiliate Notes for impairment and credit losses. As of July 27, 2024 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April 27, 2024, no provision for losses was recorded as management's analysis concluded the Affiliate Notes were collectable or realizable based on the rights of these instruments and related valuation of each affiliate.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Affiliate Notes balance combined with the investment in affiliates balance totaled $16,264 and $16,054 as of July 27, 2024 and April 27,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 ("EPS")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follow the provisions of Accounting Standards Codification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where basic earnings per share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shares of common stock or resulted in the issuance of shares of common stock which share in our earnings.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(loss) income and common share amounts used in the calculation of basic and diluted EPS for the three months ended July 27, 2024 and July 29,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69"/>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July 27,</w:t>
            </w:r>
          </w:p>
        </w:tc>
        <w:tc>
          <w:tcPr>
            <w:tcW w:w="280" w:type="dxa"/>
            <w:vAlign w:val="bottom"/>
          </w:tcPr>
          <w:p>
            <w:pPr>
              <w:spacing w:after="0"/>
              <w:rPr>
                <w:sz w:val="14"/>
                <w:szCs w:val="14"/>
                <w:color w:val="auto"/>
              </w:rPr>
            </w:pPr>
          </w:p>
        </w:tc>
        <w:tc>
          <w:tcPr>
            <w:tcW w:w="120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July 29,</w:t>
            </w:r>
          </w:p>
        </w:tc>
      </w:tr>
      <w:tr>
        <w:trPr>
          <w:trHeight w:val="241"/>
        </w:trPr>
        <w:tc>
          <w:tcPr>
            <w:tcW w:w="8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2"/>
        </w:trPr>
        <w:tc>
          <w:tcPr>
            <w:tcW w:w="8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19,196</w:t>
            </w: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(loss)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1"/>
        </w:trPr>
        <w:tc>
          <w:tcPr>
            <w:tcW w:w="8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45,645</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Dilution associated with convertible note</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assuming dilution</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46,198</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161 and 1,326 shares of common stock with a weighted average exercise price of $12.52 and $8.97 for the three months ended July 27, 2024 and July 29, 2023, respectively, were not included in the computation of diluted earnings per share because the effects would be anti-dilutive.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July 27, 2024 and July 29, 2023, shares of common stock issuable upon conversion of the secured convertible note in the original principal payment of $25,000 due on May 11, 2027 (the "Convertible Note") were not included in the computation of diluted EPS, as the effect would be anti-dilutive. For the three months ended July 27, 2024 and July 29, 2023, 4,037 and 3,549, respectively, potential common shares related to the convertible note issued by the Company to Alta Fox Opportunities Fund, LP, were excluded from the calculation of diluted EPS.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July 27, 2024</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3"/>
                <w:szCs w:val="2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4"/>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124,364</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84,423</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92,344</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133,744</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July 29, 2023</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3"/>
                <w:szCs w:val="2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4"/>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125,958</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93,517</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94,986</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137,545</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customers in excess of revenue recognized to date.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27,</w:t>
            </w: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1"/>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(1,671)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6,258</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27, 2024 to July 27, 2024 were due to the timing of billing schedules and revenue recognition, which can vary significantly depending on the contractual payment terms and the seasonality of the sports markets. We had no significant impairments of contract assets for the three months ended July 27,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of our condensed consolidated balance sheets. Changes in unearned service-type warranty contracts, net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July 27,</w:t>
            </w:r>
          </w:p>
        </w:tc>
      </w:tr>
      <w:tr>
        <w:trPr>
          <w:trHeight w:val="241"/>
        </w:trPr>
        <w:tc>
          <w:tcPr>
            <w:tcW w:w="9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w:t>
            </w: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w:t>
            </w:r>
          </w:p>
        </w:tc>
      </w:tr>
      <w:tr>
        <w:trPr>
          <w:trHeight w:val="230"/>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27, 2024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in progress identified as loss contracts as of July 27, 2024 and April 27, 2024 were immaterial. Loss provisions are recorded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July 27, 2024, we recognized revenue of $39,918 related to our contract liabilities as of April 27,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July 27, 2024, the aggregate amount of the transaction price allocated to the remaining performance obligations was $332,665. Remaining performance obligations related to product and service agreements as of July 27, 2024 were $267,207 and $65,458, respectively. We expect approximately $268,362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years during the three months ended July 27, 2024 and July 29, 2023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9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00"/>
        </w:trPr>
        <w:tc>
          <w:tcPr>
            <w:tcW w:w="7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69"/>
        </w:trPr>
        <w:tc>
          <w:tcPr>
            <w:tcW w:w="7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8"/>
                <w:szCs w:val="18"/>
                <w:b w:val="1"/>
                <w:bCs w:val="1"/>
                <w:color w:val="auto"/>
              </w:rPr>
              <w:t>July 27,</w:t>
            </w:r>
          </w:p>
        </w:tc>
        <w:tc>
          <w:tcPr>
            <w:tcW w:w="320" w:type="dxa"/>
            <w:vAlign w:val="bottom"/>
          </w:tcPr>
          <w:p>
            <w:pPr>
              <w:spacing w:after="0"/>
              <w:rPr>
                <w:sz w:val="14"/>
                <w:szCs w:val="14"/>
                <w:color w:val="auto"/>
              </w:rPr>
            </w:pPr>
          </w:p>
        </w:tc>
        <w:tc>
          <w:tcPr>
            <w:tcW w:w="1340" w:type="dxa"/>
            <w:vAlign w:val="bottom"/>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July 29,</w:t>
            </w:r>
          </w:p>
        </w:tc>
      </w:tr>
      <w:tr>
        <w:trPr>
          <w:trHeight w:val="241"/>
        </w:trPr>
        <w:tc>
          <w:tcPr>
            <w:tcW w:w="78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46,883</w:t>
            </w:r>
          </w:p>
        </w:tc>
      </w:tr>
      <w:tr>
        <w:trPr>
          <w:trHeight w:val="22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91,999</w:t>
            </w:r>
          </w:p>
        </w:tc>
      </w:tr>
      <w:tr>
        <w:trPr>
          <w:trHeight w:val="229"/>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56,234</w:t>
            </w:r>
          </w:p>
        </w:tc>
      </w:tr>
      <w:tr>
        <w:trPr>
          <w:trHeight w:val="23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r>
      <w:tr>
        <w:trPr>
          <w:trHeight w:val="229"/>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16,046</w:t>
            </w:r>
          </w:p>
        </w:tc>
      </w:tr>
      <w:tr>
        <w:trPr>
          <w:trHeight w:val="248"/>
        </w:trPr>
        <w:tc>
          <w:tcPr>
            <w:tcW w:w="7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12,769</w:t>
            </w:r>
          </w:p>
        </w:tc>
      </w:tr>
      <w:tr>
        <w:trPr>
          <w:trHeight w:val="22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27,940</w:t>
            </w:r>
          </w:p>
        </w:tc>
      </w:tr>
      <w:tr>
        <w:trPr>
          <w:trHeight w:val="23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20,825</w:t>
            </w:r>
          </w:p>
        </w:tc>
      </w:tr>
      <w:tr>
        <w:trPr>
          <w:trHeight w:val="22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r>
      <w:tr>
        <w:trPr>
          <w:trHeight w:val="229"/>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r>
      <w:tr>
        <w:trPr>
          <w:trHeight w:val="223"/>
        </w:trPr>
        <w:tc>
          <w:tcPr>
            <w:tcW w:w="78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71,147</w:t>
            </w:r>
          </w:p>
        </w:tc>
      </w:tr>
      <w:tr>
        <w:trPr>
          <w:trHeight w:val="250"/>
        </w:trPr>
        <w:tc>
          <w:tcPr>
            <w:tcW w:w="7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r>
      <w:tr>
        <w:trPr>
          <w:trHeight w:val="23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230"/>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w:t>
            </w:r>
          </w:p>
        </w:tc>
      </w:tr>
      <w:tr>
        <w:trPr>
          <w:trHeight w:val="223"/>
        </w:trPr>
        <w:tc>
          <w:tcPr>
            <w:tcW w:w="78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w:t>
            </w:r>
          </w:p>
        </w:tc>
      </w:tr>
      <w:tr>
        <w:trPr>
          <w:trHeight w:val="223"/>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40,216</w:t>
            </w:r>
          </w:p>
        </w:tc>
      </w:tr>
      <w:tr>
        <w:trPr>
          <w:trHeight w:val="250"/>
        </w:trPr>
        <w:tc>
          <w:tcPr>
            <w:tcW w:w="7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 and debt issuance costs write-off,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left="1320"/>
        <w:spacing w:after="0"/>
        <w:tabs>
          <w:tab w:leader="none" w:pos="29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(881)</w:t>
      </w:r>
    </w:p>
    <w:p>
      <w:pPr>
        <w:spacing w:after="0" w:line="63" w:lineRule="exact"/>
        <w:rPr>
          <w:sz w:val="20"/>
          <w:szCs w:val="20"/>
          <w:color w:val="auto"/>
        </w:rPr>
      </w:pPr>
    </w:p>
    <w:p>
      <w:pPr>
        <w:ind w:left="1000"/>
        <w:spacing w:after="0"/>
        <w:tabs>
          <w:tab w:leader="none" w:pos="2820" w:val="left"/>
        </w:tabs>
        <w:rPr>
          <w:sz w:val="20"/>
          <w:szCs w:val="20"/>
          <w:color w:val="auto"/>
        </w:rPr>
      </w:pPr>
      <w:r>
        <w:rPr>
          <w:rFonts w:ascii="Times New Roman" w:cs="Times New Roman" w:eastAsia="Times New Roman" w:hAnsi="Times New Roman"/>
          <w:sz w:val="18"/>
          <w:szCs w:val="18"/>
          <w:color w:val="auto"/>
        </w:rPr>
        <w:t>(21,590)</w:t>
      </w:r>
      <w:r>
        <w:rPr>
          <w:sz w:val="20"/>
          <w:szCs w:val="20"/>
          <w:color w:val="auto"/>
        </w:rPr>
        <w:tab/>
      </w:r>
      <w:r>
        <w:rPr>
          <w:rFonts w:ascii="Times New Roman" w:cs="Times New Roman" w:eastAsia="Times New Roman" w:hAnsi="Times New Roman"/>
          <w:sz w:val="18"/>
          <w:szCs w:val="18"/>
          <w:color w:val="auto"/>
        </w:rPr>
        <w:t>(7,260)</w:t>
      </w:r>
    </w:p>
    <w:p>
      <w:pPr>
        <w:spacing w:after="0" w:line="27" w:lineRule="exact"/>
        <w:rPr>
          <w:sz w:val="20"/>
          <w:szCs w:val="20"/>
          <w:color w:val="auto"/>
        </w:rPr>
      </w:pPr>
    </w:p>
    <w:p>
      <w:pPr>
        <w:ind w:left="2840" w:hanging="1612"/>
        <w:spacing w:after="0"/>
        <w:tabs>
          <w:tab w:leader="none" w:pos="2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2168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1" w:lineRule="exact"/>
        <w:rPr>
          <w:sz w:val="20"/>
          <w:szCs w:val="20"/>
          <w:color w:val="auto"/>
        </w:rPr>
      </w:pPr>
    </w:p>
    <w:p>
      <w:pPr>
        <w:spacing w:after="0"/>
        <w:tabs>
          <w:tab w:leader="none" w:pos="1280" w:val="left"/>
          <w:tab w:leader="none" w:pos="1740" w:val="left"/>
          <w:tab w:leader="none" w:pos="2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220</w:t>
        <w:tab/>
        <w:t>$</w:t>
      </w:r>
      <w:r>
        <w:rPr>
          <w:sz w:val="20"/>
          <w:szCs w:val="20"/>
          <w:color w:val="auto"/>
        </w:rPr>
        <w:tab/>
      </w:r>
      <w:r>
        <w:rPr>
          <w:rFonts w:ascii="Times New Roman" w:cs="Times New Roman" w:eastAsia="Times New Roman" w:hAnsi="Times New Roman"/>
          <w:sz w:val="17"/>
          <w:szCs w:val="17"/>
          <w:color w:val="auto"/>
        </w:rPr>
        <w:t>28,096</w:t>
      </w:r>
    </w:p>
    <w:p>
      <w:pPr>
        <w:spacing w:after="0" w:line="26" w:lineRule="exact"/>
        <w:rPr>
          <w:sz w:val="20"/>
          <w:szCs w:val="20"/>
          <w:color w:val="auto"/>
        </w:rPr>
      </w:pPr>
    </w:p>
    <w:p>
      <w:pPr>
        <w:sectPr>
          <w:pgSz w:w="11900" w:h="16838" w:orient="portrait"/>
          <w:cols w:equalWidth="0" w:num="2">
            <w:col w:w="7120" w:space="720"/>
            <w:col w:w="34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782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depreciation and amortization</w:t>
            </w: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48"/>
        </w:trPr>
        <w:tc>
          <w:tcPr>
            <w:tcW w:w="7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69"/>
        </w:trPr>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b w:val="1"/>
                <w:bCs w:val="1"/>
                <w:color w:val="auto"/>
              </w:rPr>
              <w:t>July 27,</w:t>
            </w:r>
          </w:p>
        </w:tc>
        <w:tc>
          <w:tcPr>
            <w:tcW w:w="360" w:type="dxa"/>
            <w:vAlign w:val="bottom"/>
          </w:tcPr>
          <w:p>
            <w:pPr>
              <w:spacing w:after="0"/>
              <w:rPr>
                <w:sz w:val="14"/>
                <w:szCs w:val="14"/>
                <w:color w:val="auto"/>
              </w:rPr>
            </w:pPr>
          </w:p>
        </w:tc>
        <w:tc>
          <w:tcPr>
            <w:tcW w:w="148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July 29,</w:t>
            </w:r>
          </w:p>
        </w:tc>
      </w:tr>
      <w:tr>
        <w:trPr>
          <w:trHeight w:val="241"/>
        </w:trPr>
        <w:tc>
          <w:tcPr>
            <w:tcW w:w="74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214,593</w:t>
            </w:r>
          </w:p>
        </w:tc>
      </w:tr>
      <w:tr>
        <w:trPr>
          <w:trHeight w:val="23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w:t>
            </w:r>
          </w:p>
        </w:tc>
      </w:tr>
      <w:tr>
        <w:trPr>
          <w:trHeight w:val="223"/>
        </w:trPr>
        <w:tc>
          <w:tcPr>
            <w:tcW w:w="74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232,531</w:t>
            </w:r>
          </w:p>
        </w:tc>
      </w:tr>
      <w:tr>
        <w:trPr>
          <w:trHeight w:val="21"/>
        </w:trPr>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27,</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74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64,332</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23"/>
        </w:trPr>
        <w:tc>
          <w:tcPr>
            <w:tcW w:w="746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71,752</w:t>
            </w:r>
          </w:p>
        </w:tc>
      </w:tr>
      <w:tr>
        <w:trPr>
          <w:trHeight w:val="21"/>
        </w:trPr>
        <w:tc>
          <w:tcPr>
            <w:tcW w:w="7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segment with a goodwill balance for the three months ended July 27, 2024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27, 2024</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27, 2024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r>
      <w:tr>
        <w:trPr>
          <w:trHeight w:val="21"/>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impairments to goodwill as of July 27, 2024 were $4,576.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Financing Agreements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817"/>
        </w:trPr>
        <w:tc>
          <w:tcPr>
            <w:tcW w:w="1280" w:type="dxa"/>
            <w:vAlign w:val="bottom"/>
            <w:tcBorders>
              <w:top w:val="single" w:sz="8" w:color="0E32E1"/>
            </w:tcBorders>
          </w:tcPr>
          <w:p>
            <w:pPr>
              <w:spacing w:after="0"/>
              <w:rPr>
                <w:sz w:val="24"/>
                <w:szCs w:val="24"/>
                <w:color w:val="auto"/>
              </w:rPr>
            </w:pPr>
          </w:p>
        </w:tc>
        <w:tc>
          <w:tcPr>
            <w:tcW w:w="6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27,</w:t>
            </w:r>
          </w:p>
        </w:tc>
        <w:tc>
          <w:tcPr>
            <w:tcW w:w="300" w:type="dxa"/>
            <w:vAlign w:val="bottom"/>
          </w:tcPr>
          <w:p>
            <w:pPr>
              <w:spacing w:after="0"/>
              <w:rPr>
                <w:sz w:val="24"/>
                <w:szCs w:val="24"/>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April 27,</w:t>
            </w:r>
          </w:p>
        </w:tc>
      </w:tr>
      <w:tr>
        <w:trPr>
          <w:trHeight w:val="241"/>
        </w:trPr>
        <w:tc>
          <w:tcPr>
            <w:tcW w:w="1280" w:type="dxa"/>
            <w:vAlign w:val="bottom"/>
            <w:tcBorders>
              <w:bottom w:val="single" w:sz="8" w:color="CCEEFF"/>
            </w:tcBorders>
          </w:tcPr>
          <w:p>
            <w:pPr>
              <w:spacing w:after="0"/>
              <w:rPr>
                <w:sz w:val="20"/>
                <w:szCs w:val="20"/>
                <w:color w:val="auto"/>
              </w:rPr>
            </w:pPr>
          </w:p>
        </w:tc>
        <w:tc>
          <w:tcPr>
            <w:tcW w:w="66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r>
      <w:tr>
        <w:trPr>
          <w:trHeight w:val="229"/>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gross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38,875</w:t>
            </w:r>
          </w:p>
        </w:tc>
      </w:tr>
      <w:tr>
        <w:trPr>
          <w:trHeight w:val="22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29"/>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11, 2023, we closed on a $75,000 senior credit facility (the "Credit Facility"). The Credit Facility consists of a $60,000 asset-based revolving credit facility (the "ABL") maturing on May 11, 2026, which is secured by a first priority lien on the Company's assets, and a $15,000 delayed draw loan (the "Delayed Draw Loan") secured by a first priority mortgage on our Brookings, South Dakota real estate (the "Mortgage").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ABL, certain factors can impact our borrowing capacity. As of July 27, 2024, our borrowing capacity was $38,568, there were no borrowings outstanding, and there was $5,343 used to secure letters of credit outstanding. The interest rate on the ABL is set on a sliding scale based on the trailing 12-month fixed charge coverage and ranges from 2.5 to 3.5 percent over the standard overnight financing rate (SOFR).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$15,000 Delayed Draw Loan was funded on July 7, 2023. It amortizes over 10 years and has monthly payments of $125. The Delayed Draw Loan is subject to the terms of the Credit Agreement and matures on May 11, 2026. The interest rate on the Delayed Draw Loan is set on a sliding scale based on the trailing 12-month fixed charge coverage ratio and ranges between 1.0 and 2.0 percent over the Commercial Bank Floating Rate (CBFR). The interest rate as of July 27, 2024 for Delayed Draw Loan was 9.5 percent.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11, 2023, we borrowed $25,000 in aggregate principal amount evidenced by the secured convertible note (the "Convertible Note") due May 11, 2027. Alta Fox Opportunities Fund, LP, as the holder (the "Holder") of the Convertible Note has a second priority lien on assets securing the ABL facility and a first priority lien on substantially all of the other assets of the Company, excluding all real property.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Features</w:t>
      </w:r>
    </w:p>
    <w:p>
      <w:pPr>
        <w:spacing w:after="0" w:line="227" w:lineRule="exact"/>
        <w:rPr>
          <w:sz w:val="20"/>
          <w:szCs w:val="20"/>
          <w:color w:val="auto"/>
        </w:rPr>
      </w:pPr>
    </w:p>
    <w:p>
      <w:pPr>
        <w:jc w:val="both"/>
        <w:ind w:left="660" w:hanging="328"/>
        <w:spacing w:after="0" w:line="258"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Convertible Note allows the Holder and any of the Holder’s permitted transferees, donees, pledgees, assignees or successors-in-interest (collectively, the “Selling Shareholders”) to convert all or any portion of the principal amount of the Convertible Note, together with any accrued and unpaid interest and any other unpaid amounts, including late charges, if any (together, the “Conversion Amount”), into shares of the Company’s common stock at an initial conversion price of $6.31 per share, subject to adjustment in accordance with the terms of the Convertible Note (the “Conversion Price”).</w:t>
      </w:r>
    </w:p>
    <w:p>
      <w:pPr>
        <w:spacing w:after="0" w:line="183"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has a forced conversion right, which is exercisable on the occurrence of certain conditions set forth in the Convertible Note, pursuant to which it can cause all or any portion of the outstanding and unpaid Conversion Amount to be converted into shares of common stock at the Conversion Price.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if the Company fails other than by reason of a failure by the Holder to comply with its obligations, the Holder is permitted to cash payments from the Company until such conversion failure is cured.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Features</w:t>
      </w:r>
    </w:p>
    <w:p>
      <w:pPr>
        <w:spacing w:after="0" w:line="227" w:lineRule="exact"/>
        <w:rPr>
          <w:sz w:val="20"/>
          <w:szCs w:val="20"/>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were to have an "Event of Default", as defined by the Convertible Note, then the Holder may require the Company to redeem all or any portion of the Convertible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"Change of Control", as defined by the Convertible Note, then the Holder is entitled to payment of the outstanding amount of the Convertible Note at the "Change in Control Redemption Price," as defined in the Convertible Note.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Interest accruing under the Convertible Note is payable, at the option of the Company, in either (i) cash or (ii) a combination of cash interest and capitalized interest; provided, however, that at least fifty percent (50%) of the interest paid on each interest date must be paid as cash interest. The Convertible Note accrues interest quarterly at an annual rate of 9.0 percent when interest is paid in cash or an annual rate of 10.0 percent if interest is paid in kind. Upon an event of default under the Convertible Note, the annual interest rate will increase to 12.0 percent. The annual rate of 9.0 percent was used to calculate the interest accrued as of July 27, 2024, as interest will be paid in cash.</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Note as described in "Note 10. Fair Value Measurement" of the Notes to our Condensed Consolidated Financial Statements included in this Form 10-Q. The financial liability was initially measured at its issue-date fair value and is subsequently remeasured at fair value on a recurring basis at each reporting period date. We have elected to present the fair value and the accrued interest component separately in the condensed consolidated statements of operations. Therefore, interest will be recognized and accrued separately in interest expense, with changes in fair value of the Convertible Note presented in the "Change in fair value of convertible note" line item in our condensed consolidated statements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fair value of the Convertible Note during the three months ended July 27, 2024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Liability Component</w:t>
            </w:r>
          </w:p>
        </w:tc>
      </w:tr>
      <w:tr>
        <w:trPr>
          <w:trHeight w:val="234"/>
        </w:trPr>
        <w:tc>
          <w:tcPr>
            <w:tcW w:w="2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w:t>
            </w:r>
          </w:p>
        </w:tc>
      </w:tr>
      <w:tr>
        <w:trPr>
          <w:trHeight w:val="184"/>
        </w:trPr>
        <w:tc>
          <w:tcPr>
            <w:tcW w:w="2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 of convertible promissory</w:t>
            </w: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 recognized</w:t>
            </w:r>
          </w:p>
        </w:tc>
        <w:tc>
          <w:tcPr>
            <w:tcW w:w="2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w:t>
            </w: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27,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63,140</w:t>
            </w:r>
          </w:p>
        </w:tc>
      </w:tr>
      <w:tr>
        <w:trPr>
          <w:trHeight w:val="20"/>
        </w:trPr>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estimated fair value of the Convertible Note upon its issuance date of May 11, 2023 and as of July 27, 2024 was computed using a binomial lattice model which incorporates significant inputs that are not observable in the market and thus represents a Level 3 measurement.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determined the fair value by using the following key assumptions in the binomial lattice model:</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(Annual)</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Implied Yield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15.98 %</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45.00 %</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(Annual)</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and the Convertible Note require a fixed charge coverage ratio of greater than 1.1 and include other customary non-financial covenants. As of July 27, 2024, we were in compliance with our financial covenants under the Credit Agreement and the Convertible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issuance costs incurred and capitalized are amortized on a straight-line basis over the term of the associated debt agreement. If early principal payments or conversions occur, a proportional amount of unamortized debt issuance costs is expensed. As part of these financings, we capitalized $8,195 in debt issuance costs. During the three months ended July 29, 2023, due to the Convertible Note being accounted for at fair value, we expensed $3,353 of the related debt issuance costs which is included in the "Other expense and debt issuance costs write-off, net" line item in our condensed consolidated statements of operations. During the three months ended July 27, 2024 and July 29, 2023, we amortized $403 and $328, respectively, of debt issuance costs. The remaining debt issuance costs of $2,888 are being amortized over the remaining two-year term of the Credit Facility.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Future Maturities</w:t>
            </w: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contractual maturities of debt in future fiscal years are as follows:</w:t>
            </w:r>
          </w:p>
        </w:tc>
        <w:tc>
          <w:tcPr>
            <w:tcW w:w="880" w:type="dxa"/>
            <w:vAlign w:val="bottom"/>
          </w:tcPr>
          <w:p>
            <w:pPr>
              <w:spacing w:after="0"/>
              <w:rPr>
                <w:sz w:val="24"/>
                <w:szCs w:val="24"/>
                <w:color w:val="auto"/>
              </w:rPr>
            </w:pPr>
          </w:p>
        </w:tc>
      </w:tr>
      <w:tr>
        <w:trPr>
          <w:trHeight w:val="52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5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38,500</w:t>
            </w:r>
          </w:p>
        </w:tc>
      </w:tr>
      <w:tr>
        <w:trPr>
          <w:trHeight w:val="20"/>
        </w:trPr>
        <w:tc>
          <w:tcPr>
            <w:tcW w:w="5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Times New Roman" w:cs="Times New Roman" w:eastAsia="Times New Roman" w:hAnsi="Times New Roman"/>
          <w:sz w:val="18"/>
          <w:szCs w:val="18"/>
          <w:i w:val="1"/>
          <w:iCs w:val="1"/>
          <w:color w:val="auto"/>
        </w:rPr>
        <w:t>Contingencies - Loss Contingencies</w:t>
      </w:r>
      <w:r>
        <w:rPr>
          <w:rFonts w:ascii="Times New Roman" w:cs="Times New Roman" w:eastAsia="Times New Roman" w:hAnsi="Times New Roman"/>
          <w:sz w:val="18"/>
          <w:szCs w:val="18"/>
          <w:color w:val="auto"/>
        </w:rPr>
        <w:t>. Our assessment of whether a loss is reasonably possible or probable is based on our assessment and consultation with legal counsel regarding the ultimate outcome of the matter following all appeals.</w:t>
      </w:r>
    </w:p>
    <w:p>
      <w:pPr>
        <w:spacing w:after="0" w:line="21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Warranties: </w:t>
      </w:r>
      <w:r>
        <w:rPr>
          <w:rFonts w:ascii="Times New Roman" w:cs="Times New Roman" w:eastAsia="Times New Roman" w:hAnsi="Times New Roman"/>
          <w:sz w:val="17"/>
          <w:szCs w:val="17"/>
          <w:color w:val="auto"/>
        </w:rPr>
        <w:t>Changes in our warranty obligation for the three months ended July 27, 2024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Settlements made during the period</w:t>
      </w:r>
    </w:p>
    <w:p>
      <w:pPr>
        <w:spacing w:after="0" w:line="23" w:lineRule="exact"/>
        <w:rPr>
          <w:sz w:val="20"/>
          <w:szCs w:val="20"/>
          <w:color w:val="auto"/>
        </w:rPr>
      </w:pPr>
    </w:p>
    <w:p>
      <w:pPr>
        <w:ind w:left="20" w:right="913" w:firstLine="324"/>
        <w:spacing w:after="0" w:line="339" w:lineRule="auto"/>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 Balance as of July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July 27,</w:t>
      </w: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0" w:lineRule="exact"/>
        <w:rPr>
          <w:sz w:val="20"/>
          <w:szCs w:val="20"/>
          <w:color w:val="auto"/>
        </w:rPr>
      </w:pPr>
    </w:p>
    <w:p>
      <w:pPr>
        <w:ind w:left="907" w:hanging="907"/>
        <w:spacing w:after="0"/>
        <w:tabs>
          <w:tab w:leader="none" w:pos="9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37,928</w:t>
      </w:r>
    </w:p>
    <w:p>
      <w:pPr>
        <w:spacing w:after="0" w:line="27" w:lineRule="exact"/>
        <w:rPr>
          <w:rFonts w:ascii="Times New Roman" w:cs="Times New Roman" w:eastAsia="Times New Roman" w:hAnsi="Times New Roman"/>
          <w:sz w:val="18"/>
          <w:szCs w:val="18"/>
          <w:color w:val="auto"/>
        </w:rPr>
      </w:pPr>
    </w:p>
    <w:p>
      <w:pPr>
        <w:ind w:left="9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(3,519)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449</w:t>
      </w:r>
    </w:p>
    <w:p>
      <w:pPr>
        <w:spacing w:after="0" w:line="31" w:lineRule="exact"/>
        <w:rPr>
          <w:sz w:val="20"/>
          <w:szCs w:val="20"/>
          <w:color w:val="auto"/>
        </w:rPr>
      </w:pPr>
    </w:p>
    <w:p>
      <w:pPr>
        <w:ind w:left="907" w:hanging="907"/>
        <w:spacing w:after="0"/>
        <w:tabs>
          <w:tab w:leader="none" w:pos="9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429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9053" w:space="720"/>
            <w:col w:w="1467"/>
          </w:cols>
          <w:pgMar w:left="320" w:top="121" w:right="339" w:bottom="1440" w:gutter="0" w:footer="0" w:header="0"/>
          <w:type w:val="continuous"/>
        </w:sectPr>
      </w:pPr>
    </w:p>
    <w:p>
      <w:pPr>
        <w:spacing w:after="0" w:line="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July 27, 2024, we had outstanding letters of credit and surety bonds in the amount of $5,343 and $15,729, respectively. Performance guarantees are issued to certain customers to guarantee the operation and installation of the equipment and our ability to complete a contract. These performance guarantees have various terms but generally have a term of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July 27, 2024, we were not aware of any material indemnification claims.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first quarter of fiscal 2025 was skewed due to the impact of the fair value in the Convertible Note in proportion to the period's small pre-tax income. The effective tax rate was 31.7 percent for the three months ended July 29, 2023. Both periods' income before taxes included the impacts of the change in the Convertible Note fair value adjustment. These changes are not deductible or taxable, which is the primary driver for each period's effective tax rate.</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operate both domestically and internationally and, as of July 27, 2024, the undistributed earnings of our foreign subsidiaries were considered to be reinvested indefinitely. Additionally, as of July 27, 2024, we had $495 of unrecognized tax benefits which would reduce our effective tax rate if recognized.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as of July 27, 2024 and April 27, 2024 according to the valuation techniques we used to determine their fair values. There have been no transfers of assets or liabilities among the fair value hierarchies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27, 2024</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96,809</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(63,140)</w:t>
            </w:r>
          </w:p>
        </w:tc>
      </w:tr>
      <w:tr>
        <w:trPr>
          <w:trHeight w:val="223"/>
        </w:trPr>
        <w:tc>
          <w:tcPr>
            <w:tcW w:w="50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97,188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April 27, 2024</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(41,550)</w:t>
            </w:r>
          </w:p>
        </w:tc>
      </w:tr>
      <w:tr>
        <w:trPr>
          <w:trHeight w:val="248"/>
        </w:trPr>
        <w:tc>
          <w:tcPr>
            <w:tcW w:w="50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elected to value the Convertible Note at fair value in accordance with ASC 825-10-15-4(a) because of the embedded derivatives contained in the Convertible Note. The fair value of the Convertible Note was estimated using a binomial lattice model. Binomial lattice allows for the examination of the value to a holder and understanding the investment decision that would occur at each node.</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Convertible Note entered into during the first quarter of fiscal 2024 was classified as Level 3 because certain inputs for the valuation were not readily determinable or observable.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have been no other changes in the valuation techniques used by us to value our financial instruments since the end of fiscal 2024. For additional information, see our Annual Report on Form 10-K for the fiscal year ended April 27, 2024 for the methods and assumptions used to estimate the fair value of each class of financial instrument.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reported in Part II, Item 7 “Management’s Discussion and Analysis of Financial Condition and Results of Operations” in the section entitled “Liquidity and Capital Resources” of our Annual Report on Form 10-K for the fiscal year ended April 27, 2024, effective on May 11, 2023, the Company entered into the Securities Purchase Agreement with the Holder of the Convertible Note. Under the Securities Purchase Agreement, the Company sold and issued to the Holder the Convertible Note in exchange for the payment by the Holder to the Company of $25,000. As of May 11, 2023, and based on Amendment No. 2 to the Schedule 13D filed by the Holder and its affiliates named therein on May 15, 2023 with the SEC, the Holder and its affiliates beneficially owned 4,768 shares of common stock of the Company, representing 9.99 percent of the Company’s common stock, causing the Holder to be a “related party” of the Company under the Company’s written policy and procedures and the applicable definitions under the Securities Act of 1933. The Securities Purchase Agreement, the Convertible Note, the Pledge and Security Agreement dated as of May 11, 2023 by and between the Holder and the Company, and the Registration Rights Agreement were approved in advance of their execution by the Company’s Strategy and Financing Review Committee, the members of which include all members of the Company’s Audit Committee.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May 11, 2023, the largest aggregate amount outstanding under the Convertible Note was $25,563, consisting of $25,000 of principal and $563 of interest. In the first three months of fiscal 2025, we have made interest payments of $375 under the Convertible Note.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description of the Securities Purchase Agreement, the Convertible Note, the Pledge and Security Agreement, and the Registration Rights Agreement dated as of May 11, 2023 by and between the Holder and the Company and their respective terms set forth in Part II, Item 7 “Management’s Discussion and Analysis of Financial Condition and Results of Operations” in the section entitled “Liquidity and Capital Resources” of the Company's Annual Report on Form 10-K for the fiscal year ended April 27, 2024 is hereby incorporated by reference into this Report. In addition, the Company is a party to the Standstill and Voting Agreement dated as of March 19, 2023 with Alta Fox Management, LLC and Connor Haley (the “Standstill Agreement”), who are affiliates of the Holder.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Amendment No. 3 (“Amendment No. 3”) to the Schedule 13D filed by the Holder and its affiliates named therein on June 9, 2023 with the SEC, and based on other information provided by the Holder, the following persons may be deemed to be beneficial owners of the shares of the Company’s common stock beneficially owned by the Holder: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7, 2023, the Company received from the Holder a written notice of a decrease in the “Percentage Cap” (as such term is defined in the Convertible Note) from 9.99 percent to 4.99 percent, which decrease became effective immediately upon the Company’s receipt of such written notice. The Percentage Cap generally represents the maximum percentage of shares of the Company’s common stock the Holder may own. In Amendment No. 3, the Holder and its affiliates identified in Amendment No. 3 owned 2,293 shares of common stock on June 9, 2023, representing 4.99 percent of the common stock of the Company, meaning the Holder and its affiliates are no longer “related parties” of the Company under the Company’s written policy and procedures and the applicable definitions under the Securities Act of 1933.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fiscal 2024, the Company and the South Dakota Board of Regents entered into a contract for a video display system for Dakota State University. The amount of the contract was $150. A member of the Company's Board of Directors is the President of Dakota State University.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Investments in Affiliates" for further details of related party transactions with our investments in the Affiliate Notes issued by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during the period from the most recent fiscal year-end, April 27, 2024, to and including July 27, 2024 and (ii) results of operations during the current fiscal period(s) as compared to the corresponding period(s) of the preceding fiscal year.</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"would," "could," "should," "will," "expect," "estimate," "anticipate," "believe," "intend," "plan," "forecast," "project" and similar expressions are intended to identify forward-looking statements within the meaning of the Private Securities Litigation Reform Act of 1995. Any and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the uncertainties related to market conditions and entry into a financing transaction; the Company’s potential need to seek additional strategic alternatives, including seeking additional debt or equity capital or other strategic transactions and/or measures; the Company’s ability to finalize or fully execute actions and steps that would be probable of mitigating the existence of any “substantial doubt” regarding the Company’s ability to continue as a going concern; the Company’s ability to increase cash flow to support the Company’s operating activities and fund its obligations and working capital needs; our ability to obtain additional financing on terms favorable to us, or at all; any future goodwill impairment charges; and the other risk factors described more fully in the Company’s Annual Report on Form 10-K for the fiscal year ended April 27, 2024 filed with the SEC, as well as other publicly available information about the Company.</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our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undertake no obligation to update publicly or revise any forward-looking statements, whether as a result of new information, future events or otherwise.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MD&amp;A should be read in conjunction with the Consolidated Financial Statements and related Notes included in Item 1 of Part 1 of this Quarterly Report on Form 10-Q and our Annual Report on Form 10-K for the fiscal year ended April 27, 2024 (including the information presented therein under Risk Factors), as well as other publicly available information about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quarter-over-quarter comparisons in this MD&amp;A are as of and for the fiscal quarters ended July 27, 2024 and July 29, 2023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personnel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 In addition to gross profit, management uses contribution margin as another measure of assessing segment profitability and allocating selling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resources to each segment. Management believes that contribution margin is useful to investors because it permits investors to view and evaluate our segment financial performance through the same lens as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Daktronics, Inc. and its subsidiaries are industry leaders in designing and manufacturing electronic scoreboards, programmable display systems and large screen video displays for sporting, commercial and transportation applications. We serve our customers by providing high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three months ended July 27, 2024 and July 29, 2023 contained operating results for 13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fiscal 2024, we converted pandemic related pent-up backlog into record levels of sales and gross profit. In fiscal 2025, we will be more dependent on the timing, size, and profitability profile of the orders we win to be able to generate sales and gross profit levels at similar levels. We are investing in capacity and resources to grow the business and penetrate markets. As a result, we currently expect that our order volume and operating expenses in fiscal 2025 will exceed that of fiscal 2024. While the expansion of use of digital display systems in the global market is expected, actual market increases are uncertain and a number of factors can impact a customers timing to commit to a system. We carefully evaluate the capacity and resource levels, however, there can be periods sales and expenses can be misaligned and impact our sales and profitability levels.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investments have been made in manufacturing capacity and advancement in display and control technologies. A majority of digital displays are constructed using standard surface mount display technology. Chip on board technologies are advancing for narrow pixel pitch (NPP) applications. Micro-LED technologies (also referred to as narrow pixel pitch) are being used and advanced, especially for displays installed for short viewing distances. Advancements related to digital displays use continue related to professional services, including the use of artificial intelligence and other software which improve content creation, user interfaces, digital display monitoring systems, and security. We are adopting our manufacturing, sourcing capabilities, and product development priorities for these evolving changes in market and technology trends.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we have a unique leadership position in our target markets, which are large, growing, and enjoy resilient demand driven by our customers’ desire to improve their audience experience in sports, commercial, and transportation environments. To capitalize on this position, we are focused on digital and business transformation, improving our cost structure, and further growing our markets. To accelerate these initiatives, we are projecting to spend between $8 and $10 million for transformation efforts impacting fiscal 2025 profitability.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audiovisual industry fundamentals of increased use of LED display systems across industries and our development of new technologies, services, and sales channels will drive long-term growth for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JULY 27, 2024 AND JULY 29,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backlog are not metrics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multi-million dollar projects. Management uses orders to evaluate market share and performance in the competitive environment. Management uses backlog information for capacity and resource planning. Order fulfillment timing is dependent on customer schedules, supply chain conditions, and our capacity availability. We believe order information is useful to investors because it provides an indication of our market share and future revenues.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order backlog as of July 27, 2024 was $267.2 million as compared to $323.7 million as of July 29, 2023 and $316.9 million as of April 27, 2024. The decrease in backlog, to more historical levels is a result of fulfilling orders at a greater pace as supply chain conditions stabilized and production lead times improved, utilizing our increased capacity, and order pace returning to more normalized rates.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July 27, 2024 within the next 24 months. The timing of backlog fulfillment may be impacted by project delays resulting from customer site conditions, which are outside our control.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Performance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analysis of changes in key items included in the statements of operations for the three months ended July 27, 2024 and July 29,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27, 2024</w:t>
            </w: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21"/>
                <w:szCs w:val="21"/>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29, 2023</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Dollar Change </w:t>
            </w:r>
            <w:r>
              <w:rPr>
                <w:rFonts w:ascii="Times New Roman" w:cs="Times New Roman" w:eastAsia="Times New Roman" w:hAnsi="Times New Roman"/>
                <w:sz w:val="21"/>
                <w:szCs w:val="21"/>
                <w:b w:val="1"/>
                <w:bCs w:val="1"/>
                <w:color w:val="auto"/>
                <w:vertAlign w:val="superscript"/>
              </w:rPr>
              <w:t>(1)</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Percent Change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226,088</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232,531</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166,390</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161,384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59,698</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71,147</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53"/>
        </w:trPr>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15,636</w:t>
            </w:r>
          </w:p>
        </w:tc>
        <w:tc>
          <w:tcPr>
            <w:tcW w:w="8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12,929</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General and</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11,723</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Product design and</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8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8,403</w:t>
            </w:r>
          </w:p>
        </w:tc>
        <w:tc>
          <w:tcPr>
            <w:tcW w:w="10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80" w:type="dxa"/>
            <w:vAlign w:val="bottom"/>
          </w:tcPr>
          <w:p>
            <w:pPr>
              <w:spacing w:after="0"/>
              <w:rPr>
                <w:sz w:val="14"/>
                <w:szCs w:val="14"/>
                <w:color w:val="auto"/>
              </w:rPr>
            </w:pPr>
          </w:p>
        </w:tc>
        <w:tc>
          <w:tcPr>
            <w:tcW w:w="1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36,982</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30,931</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22,716</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40,216</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53"/>
        </w:trPr>
        <w:tc>
          <w:tcPr>
            <w:tcW w:w="1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Nonoperating (expense)</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net</w:t>
            </w: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Change in fair value of</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(21,590)</w:t>
            </w:r>
          </w:p>
        </w:tc>
        <w:tc>
          <w:tcPr>
            <w:tcW w:w="80" w:type="dxa"/>
            <w:vAlign w:val="bottom"/>
          </w:tcPr>
          <w:p>
            <w:pPr>
              <w:spacing w:after="0"/>
              <w:rPr>
                <w:sz w:val="14"/>
                <w:szCs w:val="14"/>
                <w:color w:val="auto"/>
              </w:rPr>
            </w:pPr>
          </w:p>
        </w:tc>
        <w:tc>
          <w:tcPr>
            <w:tcW w:w="154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00" w:type="dxa"/>
            <w:vAlign w:val="bottom"/>
          </w:tcPr>
          <w:p>
            <w:pPr>
              <w:spacing w:after="0"/>
              <w:rPr>
                <w:sz w:val="14"/>
                <w:szCs w:val="14"/>
                <w:color w:val="auto"/>
              </w:rPr>
            </w:pPr>
          </w:p>
        </w:tc>
        <w:tc>
          <w:tcPr>
            <w:tcW w:w="15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(14,330)</w:t>
            </w:r>
          </w:p>
        </w:tc>
        <w:tc>
          <w:tcPr>
            <w:tcW w:w="80" w:type="dxa"/>
            <w:vAlign w:val="bottom"/>
          </w:tcPr>
          <w:p>
            <w:pPr>
              <w:spacing w:after="0"/>
              <w:rPr>
                <w:sz w:val="14"/>
                <w:szCs w:val="14"/>
                <w:color w:val="auto"/>
              </w:rPr>
            </w:pPr>
          </w:p>
        </w:tc>
        <w:tc>
          <w:tcPr>
            <w:tcW w:w="1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note</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Other expense and debt</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costs write-off,</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2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b w:val="1"/>
                <w:bCs w:val="1"/>
                <w:color w:val="auto"/>
              </w:rPr>
              <w:t>Income before income</w:t>
            </w: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2"/>
                <w:szCs w:val="12"/>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28,096</w:t>
            </w:r>
          </w:p>
        </w:tc>
        <w:tc>
          <w:tcPr>
            <w:tcW w:w="100" w:type="dxa"/>
            <w:vAlign w:val="bottom"/>
          </w:tcPr>
          <w:p>
            <w:pPr>
              <w:spacing w:after="0"/>
              <w:rPr>
                <w:sz w:val="12"/>
                <w:szCs w:val="12"/>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(27,876)</w:t>
            </w:r>
          </w:p>
        </w:tc>
        <w:tc>
          <w:tcPr>
            <w:tcW w:w="80" w:type="dxa"/>
            <w:vAlign w:val="bottom"/>
          </w:tcPr>
          <w:p>
            <w:pPr>
              <w:spacing w:after="0"/>
              <w:rPr>
                <w:sz w:val="12"/>
                <w:szCs w:val="12"/>
                <w:color w:val="auto"/>
              </w:rPr>
            </w:pPr>
          </w:p>
        </w:tc>
        <w:tc>
          <w:tcPr>
            <w:tcW w:w="1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214"/>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2"/>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80" w:type="dxa"/>
            <w:vAlign w:val="bottom"/>
          </w:tcPr>
          <w:p>
            <w:pPr>
              <w:spacing w:after="0"/>
              <w:rPr>
                <w:sz w:val="18"/>
                <w:szCs w:val="18"/>
                <w:color w:val="auto"/>
              </w:rPr>
            </w:pPr>
          </w:p>
        </w:tc>
        <w:tc>
          <w:tcPr>
            <w:tcW w:w="15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19,196</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(24,142)</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Diluted (loss) earnings per</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Diluted weighted average</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46,311</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46,198</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w:t>
            </w: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176,170</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158,630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sales decrease was the result of comparatively lower volumes in the Commercial, High School Park and Recreation, and International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units, partially offset by order fulfillments in the Live Events and Transportation business units. During the first quarter of fiscal 2024, the operating environment and supply chain stabilized, and we were able to capitalize on our capacity investments to fulfill the overbuilt backlog and return to more normalized lead times, which led to a record net sales level. These more normalized conditions have continued since and through the fiscal first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quarter 2025. The amount of revenue recognized associated with performance obligations satisfied in prior years during the three months ended July 27, 2024 and July 29, 2023 was immaterial.</w:t>
      </w:r>
    </w:p>
    <w:p>
      <w:pPr>
        <w:spacing w:after="0" w:line="121"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Order </w:t>
      </w:r>
      <w:r>
        <w:rPr>
          <w:rFonts w:ascii="Times New Roman" w:cs="Times New Roman" w:eastAsia="Times New Roman" w:hAnsi="Times New Roman"/>
          <w:sz w:val="18"/>
          <w:szCs w:val="18"/>
          <w:color w:val="auto"/>
        </w:rPr>
        <w:t>volume growth was driven by rebounding demand in the On-Premise, Spectacular and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Home markets in our Commercial business unit,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solid growth in the High School Parks and Recreation and Transportation business units. These higher orders offset an order decrease in the Live Events and International business units. Variability in orders comparatively is natural in these large project business areas.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percentage decrease is partially attributable to the comparative period gross profit was generated in a unique period of record sales levels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fixed manufacturing cost structure. Total warranty costs as a percent of sales the first quarter of fiscal 2025 remained similar compared to the same period one year ago of 2.1 percent.</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expenses </w:t>
      </w:r>
      <w:r>
        <w:rPr>
          <w:rFonts w:ascii="Times New Roman" w:cs="Times New Roman" w:eastAsia="Times New Roman" w:hAnsi="Times New Roman"/>
          <w:sz w:val="18"/>
          <w:szCs w:val="18"/>
          <w:color w:val="auto"/>
        </w:rPr>
        <w:t>increased because of personnel related wages and benefits expense, investments in staffing to support future growth;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and marketing, conventions and advertising.</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increased because of personnel related wages and benefits for increased staffing levels, increased professional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expenses for technology resources for our digital transformation strategies.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increased primarily due to personnel-related expenses and for increased staffing levels. Our focus has been to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features aligned with customer needs and to reduce product costs. We focused these efforts on both standard product and control offerings and in new emerging areas, including microLED products and new control capabilities.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decrease was the result of higher cash levels invested in interest-bearing investment accounts offsetting interest expense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debt levels.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results from accounting for the convertible note (the "Convertible Note") we issued to Alta Fox Opportunities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LP during fiscal 2024, under the fair value option. The fair value change was primarily caused by the increase in value of the embedded features of the Convertible Note, as our stock price has increased since April 27, 2024.</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and debt issuance costs write-off, net: </w:t>
      </w:r>
      <w:r>
        <w:rPr>
          <w:rFonts w:ascii="Times New Roman" w:cs="Times New Roman" w:eastAsia="Times New Roman" w:hAnsi="Times New Roman"/>
          <w:sz w:val="18"/>
          <w:szCs w:val="18"/>
          <w:color w:val="auto"/>
        </w:rPr>
        <w:t>During fiscal 2024, we expensed $3.4 million of debt issuance costs related to the Convertible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for the first quarter of fiscal 2025 was skewed due to the impact of the fair value adjustment to the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in proportion to the period's small pre-tax income. The effective tax rate was 31.7 percent for the first quarter of fiscal 2024. Both periods' income before taxes included the impacts of the change in the Convertible Note fair value adjustment. These changes are not deductible or taxable, which impacts the effective tax 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Performance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our reportable segment financial performance of contribution margin reconciled to GAAP operating income for the three months ended July 27, 2024 and July 29,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Three Months Ended July 27, 2024</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80" w:type="dxa"/>
            <w:vAlign w:val="bottom"/>
          </w:tcPr>
          <w:p>
            <w:pPr>
              <w:spacing w:after="0"/>
              <w:rPr>
                <w:sz w:val="8"/>
                <w:szCs w:val="8"/>
                <w:color w:val="auto"/>
              </w:rPr>
            </w:pPr>
          </w:p>
        </w:tc>
        <w:tc>
          <w:tcPr>
            <w:tcW w:w="80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6"/>
              </w:rPr>
              <w:t>Commercial</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Transportation</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International</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6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0" w:type="dxa"/>
            <w:vAlign w:val="bottom"/>
          </w:tcPr>
          <w:p>
            <w:pPr>
              <w:spacing w:after="0"/>
              <w:rPr>
                <w:sz w:val="1"/>
                <w:szCs w:val="1"/>
                <w:color w:val="auto"/>
              </w:rPr>
            </w:pPr>
          </w:p>
        </w:tc>
      </w:tr>
      <w:tr>
        <w:trPr>
          <w:trHeight w:val="135"/>
        </w:trPr>
        <w:tc>
          <w:tcPr>
            <w:tcW w:w="1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34,199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108,608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48,006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22,490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12,785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226,088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8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26,604</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82,580</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30,690</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14,741</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11,775</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166,390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73.6 %</w:t>
            </w:r>
          </w:p>
        </w:tc>
        <w:tc>
          <w:tcPr>
            <w:tcW w:w="0" w:type="dxa"/>
            <w:vAlign w:val="bottom"/>
          </w:tcPr>
          <w:p>
            <w:pPr>
              <w:spacing w:after="0"/>
              <w:rPr>
                <w:sz w:val="1"/>
                <w:szCs w:val="1"/>
                <w:color w:val="auto"/>
              </w:rPr>
            </w:pP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7,595</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26,028</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17,316</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7,749</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34.5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1,010</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59,698</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26.4</w:t>
            </w: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8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4,384</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2,888</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4,086</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1,399</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2,879</w:t>
            </w:r>
          </w:p>
        </w:tc>
        <w:tc>
          <w:tcPr>
            <w:tcW w:w="8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15,636</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3,211</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23,140</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13,230</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6,350</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28.2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(1,869)</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44,062</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19.5</w:t>
            </w:r>
          </w:p>
        </w:tc>
        <w:tc>
          <w:tcPr>
            <w:tcW w:w="0" w:type="dxa"/>
            <w:vAlign w:val="bottom"/>
          </w:tcPr>
          <w:p>
            <w:pPr>
              <w:spacing w:after="0"/>
              <w:rPr>
                <w:sz w:val="1"/>
                <w:szCs w:val="1"/>
                <w:color w:val="auto"/>
              </w:rPr>
            </w:pPr>
          </w:p>
        </w:tc>
      </w:tr>
      <w:tr>
        <w:trPr>
          <w:trHeight w:val="108"/>
        </w:trPr>
        <w:tc>
          <w:tcPr>
            <w:tcW w:w="11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11,723</w:t>
            </w:r>
          </w:p>
        </w:tc>
        <w:tc>
          <w:tcPr>
            <w:tcW w:w="100" w:type="dxa"/>
            <w:vAlign w:val="bottom"/>
          </w:tcPr>
          <w:p>
            <w:pPr>
              <w:spacing w:after="0"/>
              <w:rPr>
                <w:sz w:val="9"/>
                <w:szCs w:val="9"/>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1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9,623</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4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6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3,211</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9.4 %</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23,140</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21.3 %</w:t>
            </w:r>
          </w:p>
        </w:tc>
        <w:tc>
          <w:tcPr>
            <w:tcW w:w="10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13,230</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27.6 %</w:t>
            </w:r>
          </w:p>
        </w:tc>
        <w:tc>
          <w:tcPr>
            <w:tcW w:w="100" w:type="dxa"/>
            <w:vAlign w:val="bottom"/>
          </w:tcPr>
          <w:p>
            <w:pPr>
              <w:spacing w:after="0"/>
              <w:rPr>
                <w:sz w:val="7"/>
                <w:szCs w:val="7"/>
                <w:color w:val="auto"/>
              </w:rPr>
            </w:pPr>
          </w:p>
        </w:tc>
        <w:tc>
          <w:tcPr>
            <w:tcW w:w="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6,350</w:t>
            </w:r>
          </w:p>
        </w:tc>
        <w:tc>
          <w:tcPr>
            <w:tcW w:w="10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28.2 %</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(1,869)</w:t>
            </w:r>
          </w:p>
        </w:tc>
        <w:tc>
          <w:tcPr>
            <w:tcW w:w="8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7"/>
                <w:szCs w:val="7"/>
                <w:color w:val="auto"/>
              </w:rPr>
            </w:pPr>
          </w:p>
        </w:tc>
        <w:tc>
          <w:tcPr>
            <w:tcW w:w="1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22,716</w:t>
            </w:r>
          </w:p>
        </w:tc>
        <w:tc>
          <w:tcPr>
            <w:tcW w:w="10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42,122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50,899</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46,447</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22,759</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13,943</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176,170</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Three Months Ended July 29, 2023</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80" w:type="dxa"/>
            <w:vAlign w:val="bottom"/>
          </w:tcPr>
          <w:p>
            <w:pPr>
              <w:spacing w:after="0"/>
              <w:rPr>
                <w:sz w:val="8"/>
                <w:szCs w:val="8"/>
                <w:color w:val="auto"/>
              </w:rPr>
            </w:pPr>
          </w:p>
        </w:tc>
        <w:tc>
          <w:tcPr>
            <w:tcW w:w="80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6"/>
              </w:rPr>
              <w:t>Commercial</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Transportation</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International</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6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0" w:type="dxa"/>
            <w:vAlign w:val="bottom"/>
          </w:tcPr>
          <w:p>
            <w:pPr>
              <w:spacing w:after="0"/>
              <w:rPr>
                <w:sz w:val="1"/>
                <w:szCs w:val="1"/>
                <w:color w:val="auto"/>
              </w:rPr>
            </w:pPr>
          </w:p>
        </w:tc>
      </w:tr>
      <w:tr>
        <w:trPr>
          <w:trHeight w:val="136"/>
        </w:trPr>
        <w:tc>
          <w:tcPr>
            <w:tcW w:w="1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46,883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91,999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56,234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21,369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16,046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232,531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8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34,114</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72.8 %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64,059</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35,409</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14,280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13,522</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161,384</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69.4 %</w:t>
            </w:r>
          </w:p>
        </w:tc>
        <w:tc>
          <w:tcPr>
            <w:tcW w:w="0" w:type="dxa"/>
            <w:vAlign w:val="bottom"/>
          </w:tcPr>
          <w:p>
            <w:pPr>
              <w:spacing w:after="0"/>
              <w:rPr>
                <w:sz w:val="1"/>
                <w:szCs w:val="1"/>
                <w:color w:val="auto"/>
              </w:rPr>
            </w:pP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12,769</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27,940</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20,825</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37.0</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7,089</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2,524</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71,147</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30.6</w:t>
            </w: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8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4,048</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2,525</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3,362</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899</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2,095</w:t>
            </w:r>
          </w:p>
        </w:tc>
        <w:tc>
          <w:tcPr>
            <w:tcW w:w="8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12,929</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8,721</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25,415</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17,463</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6,190</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429</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58,218</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25.0</w:t>
            </w:r>
          </w:p>
        </w:tc>
        <w:tc>
          <w:tcPr>
            <w:tcW w:w="0" w:type="dxa"/>
            <w:vAlign w:val="bottom"/>
          </w:tcPr>
          <w:p>
            <w:pPr>
              <w:spacing w:after="0"/>
              <w:rPr>
                <w:sz w:val="1"/>
                <w:szCs w:val="1"/>
                <w:color w:val="auto"/>
              </w:rPr>
            </w:pPr>
          </w:p>
        </w:tc>
      </w:tr>
      <w:tr>
        <w:trPr>
          <w:trHeight w:val="108"/>
        </w:trPr>
        <w:tc>
          <w:tcPr>
            <w:tcW w:w="11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9,599</w:t>
            </w:r>
          </w:p>
        </w:tc>
        <w:tc>
          <w:tcPr>
            <w:tcW w:w="100" w:type="dxa"/>
            <w:vAlign w:val="bottom"/>
          </w:tcPr>
          <w:p>
            <w:pPr>
              <w:spacing w:after="0"/>
              <w:rPr>
                <w:sz w:val="9"/>
                <w:szCs w:val="9"/>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1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8,403</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4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6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8,721</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18.6 %</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25,415</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27.6 %</w:t>
            </w:r>
          </w:p>
        </w:tc>
        <w:tc>
          <w:tcPr>
            <w:tcW w:w="10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17,463</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31.1 %</w:t>
            </w:r>
          </w:p>
        </w:tc>
        <w:tc>
          <w:tcPr>
            <w:tcW w:w="100" w:type="dxa"/>
            <w:vAlign w:val="bottom"/>
          </w:tcPr>
          <w:p>
            <w:pPr>
              <w:spacing w:after="0"/>
              <w:rPr>
                <w:sz w:val="7"/>
                <w:szCs w:val="7"/>
                <w:color w:val="auto"/>
              </w:rPr>
            </w:pPr>
          </w:p>
        </w:tc>
        <w:tc>
          <w:tcPr>
            <w:tcW w:w="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6,190</w:t>
            </w:r>
          </w:p>
        </w:tc>
        <w:tc>
          <w:tcPr>
            <w:tcW w:w="10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29.0 %</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429</w:t>
            </w:r>
          </w:p>
        </w:tc>
        <w:tc>
          <w:tcPr>
            <w:tcW w:w="8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100" w:type="dxa"/>
            <w:vAlign w:val="bottom"/>
          </w:tcPr>
          <w:p>
            <w:pPr>
              <w:spacing w:after="0"/>
              <w:rPr>
                <w:sz w:val="7"/>
                <w:szCs w:val="7"/>
                <w:color w:val="auto"/>
              </w:rPr>
            </w:pPr>
          </w:p>
        </w:tc>
        <w:tc>
          <w:tcPr>
            <w:tcW w:w="1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40,216</w:t>
            </w:r>
          </w:p>
        </w:tc>
        <w:tc>
          <w:tcPr>
            <w:tcW w:w="10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17.3 %</w:t>
            </w: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32,434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52,203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35,739</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18,985</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19,269</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158,630</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Net Dollar and % Change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80" w:type="dxa"/>
            <w:vAlign w:val="bottom"/>
          </w:tcPr>
          <w:p>
            <w:pPr>
              <w:spacing w:after="0"/>
              <w:rPr>
                <w:sz w:val="8"/>
                <w:szCs w:val="8"/>
                <w:color w:val="auto"/>
              </w:rPr>
            </w:pPr>
          </w:p>
        </w:tc>
        <w:tc>
          <w:tcPr>
            <w:tcW w:w="80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Commercial</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800" w:type="dxa"/>
            <w:vAlign w:val="bottom"/>
            <w:gridSpan w:val="2"/>
            <w:vMerge w:val="continue"/>
          </w:tcPr>
          <w:p>
            <w:pPr>
              <w:spacing w:after="0"/>
              <w:rPr>
                <w:sz w:val="9"/>
                <w:szCs w:val="9"/>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Transportation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International</w:t>
            </w:r>
          </w:p>
        </w:tc>
        <w:tc>
          <w:tcPr>
            <w:tcW w:w="8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920" w:type="dxa"/>
            <w:vAlign w:val="bottom"/>
            <w:gridSpan w:val="3"/>
            <w:vMerge w:val="continue"/>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0" w:type="dxa"/>
            <w:vAlign w:val="bottom"/>
          </w:tcPr>
          <w:p>
            <w:pPr>
              <w:spacing w:after="0"/>
              <w:rPr>
                <w:sz w:val="1"/>
                <w:szCs w:val="1"/>
                <w:color w:val="auto"/>
              </w:rPr>
            </w:pPr>
          </w:p>
        </w:tc>
      </w:tr>
      <w:tr>
        <w:trPr>
          <w:trHeight w:val="135"/>
        </w:trPr>
        <w:tc>
          <w:tcPr>
            <w:tcW w:w="1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(12,684)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(27.1)%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16,609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(8,228)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w w:val="94"/>
              </w:rPr>
              <w:t>(14.6)%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(7,510)</w:t>
            </w:r>
          </w:p>
        </w:tc>
        <w:tc>
          <w:tcPr>
            <w:tcW w:w="100" w:type="dxa"/>
            <w:vAlign w:val="bottom"/>
          </w:tcPr>
          <w:p>
            <w:pPr>
              <w:spacing w:after="0"/>
              <w:rPr>
                <w:sz w:val="12"/>
                <w:szCs w:val="12"/>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18,521</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(4,719)</w:t>
            </w:r>
          </w:p>
        </w:tc>
        <w:tc>
          <w:tcPr>
            <w:tcW w:w="100" w:type="dxa"/>
            <w:vAlign w:val="bottom"/>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(1,747)</w:t>
            </w:r>
          </w:p>
        </w:tc>
        <w:tc>
          <w:tcPr>
            <w:tcW w:w="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5,006</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(5,174)</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(40.5)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(1,912)</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(3,509)</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(1,514)</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(60.0)</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(11,449)</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(16.1)</w:t>
            </w: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8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724</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784</w:t>
            </w:r>
          </w:p>
        </w:tc>
        <w:tc>
          <w:tcPr>
            <w:tcW w:w="8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2,707</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20.9</w:t>
            </w:r>
          </w:p>
        </w:tc>
        <w:tc>
          <w:tcPr>
            <w:tcW w:w="0" w:type="dxa"/>
            <w:vAlign w:val="bottom"/>
          </w:tcPr>
          <w:p>
            <w:pPr>
              <w:spacing w:after="0"/>
              <w:rPr>
                <w:sz w:val="1"/>
                <w:szCs w:val="1"/>
                <w:color w:val="auto"/>
              </w:rPr>
            </w:pP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(5,510)</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(63.2)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(2,275)</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(4,233)</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(24.2)</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(2,298)</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(535.7)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(14,156)</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(24.3)</w:t>
            </w:r>
          </w:p>
        </w:tc>
        <w:tc>
          <w:tcPr>
            <w:tcW w:w="0" w:type="dxa"/>
            <w:vAlign w:val="bottom"/>
          </w:tcPr>
          <w:p>
            <w:pPr>
              <w:spacing w:after="0"/>
              <w:rPr>
                <w:sz w:val="1"/>
                <w:szCs w:val="1"/>
                <w:color w:val="auto"/>
              </w:rPr>
            </w:pPr>
          </w:p>
        </w:tc>
      </w:tr>
      <w:tr>
        <w:trPr>
          <w:trHeight w:val="108"/>
        </w:trPr>
        <w:tc>
          <w:tcPr>
            <w:tcW w:w="11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2,124</w:t>
            </w:r>
          </w:p>
        </w:tc>
        <w:tc>
          <w:tcPr>
            <w:tcW w:w="100" w:type="dxa"/>
            <w:vAlign w:val="bottom"/>
          </w:tcPr>
          <w:p>
            <w:pPr>
              <w:spacing w:after="0"/>
              <w:rPr>
                <w:sz w:val="9"/>
                <w:szCs w:val="9"/>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22.1</w:t>
            </w: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1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1,220</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14.5</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4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16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(5,510)</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1"/>
                <w:szCs w:val="11"/>
                <w:color w:val="auto"/>
              </w:rPr>
              <w:t>(63.2)%</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(2,275)</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1"/>
                <w:szCs w:val="11"/>
                <w:color w:val="auto"/>
                <w:w w:val="99"/>
              </w:rPr>
              <w:t>(9.0)%</w:t>
            </w:r>
          </w:p>
        </w:tc>
        <w:tc>
          <w:tcPr>
            <w:tcW w:w="10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(4,233)</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1"/>
                <w:szCs w:val="11"/>
                <w:color w:val="auto"/>
                <w:w w:val="94"/>
              </w:rPr>
              <w:t>(24.2)%</w:t>
            </w:r>
          </w:p>
        </w:tc>
        <w:tc>
          <w:tcPr>
            <w:tcW w:w="100" w:type="dxa"/>
            <w:vAlign w:val="bottom"/>
          </w:tcPr>
          <w:p>
            <w:pPr>
              <w:spacing w:after="0"/>
              <w:rPr>
                <w:sz w:val="7"/>
                <w:szCs w:val="7"/>
                <w:color w:val="auto"/>
              </w:rPr>
            </w:pPr>
          </w:p>
        </w:tc>
        <w:tc>
          <w:tcPr>
            <w:tcW w:w="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(2,298)</w:t>
            </w:r>
          </w:p>
        </w:tc>
        <w:tc>
          <w:tcPr>
            <w:tcW w:w="8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(535.7)%</w:t>
            </w:r>
          </w:p>
        </w:tc>
        <w:tc>
          <w:tcPr>
            <w:tcW w:w="100" w:type="dxa"/>
            <w:vAlign w:val="bottom"/>
          </w:tcPr>
          <w:p>
            <w:pPr>
              <w:spacing w:after="0"/>
              <w:rPr>
                <w:sz w:val="7"/>
                <w:szCs w:val="7"/>
                <w:color w:val="auto"/>
              </w:rPr>
            </w:pPr>
          </w:p>
        </w:tc>
        <w:tc>
          <w:tcPr>
            <w:tcW w:w="1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(17,500)</w:t>
            </w:r>
          </w:p>
        </w:tc>
        <w:tc>
          <w:tcPr>
            <w:tcW w:w="10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9,688</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29.9 %</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(1,304)</w:t>
            </w:r>
          </w:p>
        </w:tc>
        <w:tc>
          <w:tcPr>
            <w:tcW w:w="100" w:type="dxa"/>
            <w:vAlign w:val="bottom"/>
          </w:tcPr>
          <w:p>
            <w:pPr>
              <w:spacing w:after="0"/>
              <w:rPr>
                <w:sz w:val="12"/>
                <w:szCs w:val="12"/>
                <w:color w:val="auto"/>
              </w:rPr>
            </w:pPr>
          </w:p>
        </w:tc>
        <w:tc>
          <w:tcPr>
            <w:tcW w:w="7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9"/>
              </w:rPr>
              <w:t>(2.5)%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10,708</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30.0 %</w:t>
            </w:r>
          </w:p>
        </w:tc>
        <w:tc>
          <w:tcPr>
            <w:tcW w:w="100" w:type="dxa"/>
            <w:vAlign w:val="bottom"/>
          </w:tcPr>
          <w:p>
            <w:pPr>
              <w:spacing w:after="0"/>
              <w:rPr>
                <w:sz w:val="12"/>
                <w:szCs w:val="12"/>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3,774</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19.9 %</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(5,326)</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17,540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on unrounded numbers and therefore may not recalculate using the rounded numbers provided. In addition, percentages may not add in total due to rounding.</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both sales and gross profit levels declined comparatively because of the change in operating environments over the two periods. During the first quarter of fiscal 2024, there were fewer supply chain and operational disruptions paired with our investments to increase capacity allowed for improved operational efficiency and fulfillment of the built-up backlog. We returned to delivering at normalized lead times resulting in record sales and gross profit levels for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quarter of fiscal 2024. These more normalized conditions have continued since and through the fiscal first quarter of 2025.</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On-Premise digital signage sales were similar to last year, however, we fulfilled fewer larger sized Spectacular LED video display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digital billboards, causing a decline in sales. There were fewer large sized projects in the market as compared to prior years. Gross profit as a percentage of sales declined because of the factors noted above. Selling expenses remained relatively flat in dollars; however, increased as percent of sales primarily because of personnel related wages and benefit costs for investments in staffing to support future growth. Order bookings remained strong in On-Premise digital signage. Digital billboard order bookings increased as a result in our marketing efforts to independent billboard operators.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increase in net sales was driven by fulfilling order backlog for upgrades in sports-related facilities, primarily in colleges and universities.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profit as a percentage of sales decline is partially attributable to the comparative period gross profit was generated in a unique period of record sales levels over the fixed manufacturing cost structure. Selling expenses remained relatively flat as a percent of sales and increased in dollar amounts primarily because of increases in personnel related wages and benefits. Order bookings remained relatively flat.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During fiscal 2024, we returned to normalized lead times which led to higher sales in that period as compared to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2025's more normalized levels. Gross profit as a percentage of sales declined because of the factors noted above. Selling expenses increased primarily because of personnel related wages and benefit costs for investments in staffing to support future growth. Order bookings increased as a result of the trends for schools to use video solutions which are larger dollar-sized transactions than traditional scoreboard projects.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increase in net sales was driven by fulfilling orders in backlog and continued order bookings, especially in large intelligent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system projects. Gross profit as a percentage of sales increased as a result of a change in product mix. Selling expenses increased primarily because of personnel related wages and benefit costs for investments in staffing to support future growth. Order bookings vary because of large project booking timing. During the first quarter of fiscal 2025, we booked a large transit agency project.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decrease in net sales was driven by lower backlog and lower orders. Global geopolitical events and related macroeconomic trends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down the amount of market activity for digital display systems and large-sized projects causing the decrease in orders. Gross margin decreased primarily because of underutilized factory capacity. Even with efforts to decrease selling and other operational costs, our International business unit operated at a negative $1.9 million contribution margin. Order bookings vary because of large project booking timing and have been impacted by general economic conditions.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5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July 27,</w:t>
            </w:r>
          </w:p>
        </w:tc>
        <w:tc>
          <w:tcPr>
            <w:tcW w:w="34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July 29,</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 Change</w:t>
            </w:r>
          </w:p>
        </w:tc>
      </w:tr>
      <w:tr>
        <w:trPr>
          <w:trHeight w:val="27"/>
        </w:trPr>
        <w:tc>
          <w:tcPr>
            <w:tcW w:w="5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19,481</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5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w:t>
            </w:r>
          </w:p>
        </w:tc>
      </w:tr>
      <w:tr>
        <w:trPr>
          <w:trHeight w:val="27"/>
        </w:trPr>
        <w:tc>
          <w:tcPr>
            <w:tcW w:w="5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(14,150)</w:t>
            </w: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The generation of $19.5 million of cash provided by operating activities was the result of positive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offset by the use of cash for the net growth in operating assets and liabilities. During the quarter, cash was consumed as accounts receivable grew related to seasonally higher demand, the payment of income taxes, and payments of fiscal 2024's profit sharing and variable compensation earned. These cash uses were offset by our continued focus on lowering inventory levels through purchasing management and enhancing parts planning and by managing supplier payment terms through accounts payable.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net operating assets and liabilities consisted of the following:</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86"/>
        </w:trPr>
        <w:tc>
          <w:tcPr>
            <w:tcW w:w="8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27,</w:t>
            </w:r>
          </w:p>
        </w:tc>
        <w:tc>
          <w:tcPr>
            <w:tcW w:w="28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July 29,</w:t>
            </w:r>
          </w:p>
        </w:tc>
      </w:tr>
      <w:tr>
        <w:trPr>
          <w:trHeight w:val="238"/>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During the first quarter of fiscal 2025 and fiscal 2024, purchase of property and equipment totaled $5.1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 million, respectively, and investments in affiliates were $0.9 million and $1.2 million, respectively.</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During the fiscal 2025 first quarter, financing cash included the $3.1 million received for the exercise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partially offset by payments on notes payable. Fiscal 2024 first quarter cash inflow resulted from closing on the $25.0 million Convertible Note financing and the $15.0 million mortgage financing to add liquidity to the Company. These inflows were offset by the payoff of our previous credit line of $17.8 million, expending $5.8 million of debt issuance costs, and principal payments made on the mortgage loan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$60.0 million asset-based revolving credit facility ("ABL") with a maturity date of May 11, 2026 subject to customary covenants and conditions. As of July 27, 2024, we had no borrowings against the ABL and $5.3 million used to secure letters of credit outstanding. We also have a loan of $13.5 million secured by a first priority mortgage lien on our Brookings, South Dakota real estate and $25.0 million evidenced by the Convertible Note secured by a second priority lien on the assets securing the ABL facility and a first priority lien on substantially all the other assets of the Company, excluding all real property.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27, 2024, we had $96.8 million in cash and cash equivalents and $38.6 million in borrowing capacity under our ABL. We believe cash flow from operations, existing lines of credit, and access to debt and capital markets will be sufficient to meet our current liquidity needs, and we have committed liquidity and cash reserves in excess of our anticipated funding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and cash equivalent balances consist of high-quality, short-term money market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Working capital was $230.5 million and $209.7 million as of July 27, 2024 and April 27, 2024, respectively. The changes in working capital, particularly changes in inventory, accounts payable, accounts receivable, and contract assets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liabilities, are impacted by the sports market and construction seasonality. These changes can have a significant impact on the amount of net cash provided by or used in operating activities largely due to the timing of payments for inventory and subcontractors and receipts from our customers. On multimillion-dollar orders, the time between order acceptance and project completion may extend up to or exceed 12 months depending on the amount of custom work and a customer’s delivery needs. We use cash to purchase inventory and services at the beginning of these orders and often receive down payments or progress payments on these orders to balance cash flows.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$12.3 million of retainage on long-term contracts included in receivables and contract assets as of July 27, 2024 which we expect to collect within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and Capital Uses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long-term capital allocation strategy is to first fund operations and investments in growth, maintain a reasonable liquidity and leverage ratio that reflects a prudent and compliant capital structure in light of the cyclically of business, reduce debt, and then, as allowed under any restrictive debt covenants, return excess cash over time to shareholders through dividends and share repurchases.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to spend between $8 and $10 million for these transformation efforts and our total capital expenditures to be approximately $27 million for fiscal 2025.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capital expenditures, we plan to make additional investments in our general and administration expenses to execute our broad digital transformation strategies to modernize our service systems for field service automation, to advance our enterprise performance planning capabilities, and to improve and automate quoting and sales processes.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evaluate and may make strategic investments in new technologies or in our affiliates or acquire companies aligned with our business strategy. We are committed to invest an additional $0.5 million in fiscal 2025 in our current affiliates. We may make additional investments beyond our commitments.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an aggregate of $190.0 million bonding line available through surety companies. If we were unable to complete the installation work, and our customer would call upon the bond for payment, the surety company would subrogate its loss to Daktronics. As of July 27, 2024, we had $15.7 million of bonded work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contractual obligations since the end of fiscal 2024. See our Annual Report on Form 10-K for the fiscal year ended April 27, 2024 for additional information regarding our contractual obligations and commercial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April 27, 2024. We discuss our critical accounting estimates in "Part II, Item 7. Management’s Discussion and Analysis of Financial Condition and Results of Operations" in our Annual Report on Form 10-K for the fiscal year ended April 27,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our Annual Report on Form 10-K for the fiscal year ended April 27,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other material changes in our exposure to these risks during the first three months of fiscal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Rules 13a-15(e) and 15d-15(e) under the Securities Exchange Act of 1934. As of July 27, 2024, an evaluation was performed, under the supervision and with the participation of management, including our Chief Executive Officer and Chief Financial Officer, of the effectiveness of the design and operation of our disclosure controls and procedures. Based upon that evaluation, our Chief Executive Officer and Chief Financial Officer concluded that as of July 27, 2024, our disclosure controls and procedures were effective at the reasonable assurance level to ensure information required to be disclosed in the Condensed Consolidated Financial Statements included in this Quarterly Report on Form 10-Q was recorded, processed, summarized and reported within the time period required by the SEC's rules and forms and accumulated and communicated to management, including the Chief Executive Officer and Chief Financial Officer, to allow timely decisions regarding required disclosure.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believe the Condensed Consolidated Financial Statements included in this Quarterly Report on Form 10-Q fairly represent, in all material respects, our financial condition, results of operations and cash flows for the periods presented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July 27, 2024, there have been no changes in our internal control over financial reporting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8. Commitments and Contingencies" of the Notes to our Condensed Consolidated Financial Statements included in this Form 10-Q for further information on any legal proceedings and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Part I of our Annual Report on Form 10-K for the fiscal year ended April 27, 2024.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July 27, 2024, we did not repurchase any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list of exhibits filed as part of this Report is set forth in the following Index to Exhibits.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3" w:name="page34"/>
    <w:bookmarkEnd w:id="33"/>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40" w:type="dxa"/>
            <w:vAlign w:val="bottom"/>
            <w:gridSpan w:val="3"/>
            <w:shd w:val="clear" w:color="auto" w:fill="CCEEFF"/>
          </w:tcPr>
          <w:p>
            <w:pPr>
              <w:ind w:left="20"/>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360" w:type="dxa"/>
            <w:vAlign w:val="bottom"/>
            <w:gridSpan w:val="40"/>
            <w:shd w:val="clear" w:color="auto" w:fill="CCEEFF"/>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Articles of Incorporation of the Company. (Incorporated by reference to Exhibit 3.1 of the Quarterly Report on Form</w:t>
              </w:r>
            </w:hyperlink>
          </w:p>
        </w:tc>
        <w:tc>
          <w:tcPr>
            <w:tcW w:w="0" w:type="dxa"/>
            <w:vAlign w:val="bottom"/>
          </w:tcPr>
          <w:p>
            <w:pPr>
              <w:spacing w:after="0"/>
              <w:rPr>
                <w:sz w:val="1"/>
                <w:szCs w:val="1"/>
                <w:color w:val="auto"/>
              </w:rPr>
            </w:pPr>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0140" w:type="dxa"/>
            <w:vAlign w:val="bottom"/>
            <w:tcBorders>
              <w:top w:val="single" w:sz="8" w:color="0000FF"/>
            </w:tcBorders>
            <w:gridSpan w:val="29"/>
            <w:shd w:val="clear" w:color="auto" w:fill="CCEEFF"/>
          </w:tcPr>
          <w:p>
            <w:pPr>
              <w:spacing w:after="0" w:line="136" w:lineRule="exact"/>
              <w:rPr>
                <w:rFonts w:ascii="Times New Roman" w:cs="Times New Roman" w:eastAsia="Times New Roman" w:hAnsi="Times New Roman"/>
                <w:sz w:val="15"/>
                <w:szCs w:val="15"/>
                <w:color w:val="0000FF"/>
              </w:rPr>
            </w:pPr>
            <w:hyperlink r:id="rId53">
              <w:r>
                <w:rPr>
                  <w:rFonts w:ascii="Times New Roman" w:cs="Times New Roman" w:eastAsia="Times New Roman" w:hAnsi="Times New Roman"/>
                  <w:sz w:val="15"/>
                  <w:szCs w:val="15"/>
                  <w:color w:val="0000FF"/>
                </w:rPr>
                <w:t>10-Q/A (Amendment No. 1) of Daktronics, Inc. filed on December 21, 2018).</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60" w:type="dxa"/>
            <w:vAlign w:val="bottom"/>
            <w:gridSpan w:val="40"/>
          </w:tcPr>
          <w:p>
            <w:pPr>
              <w:spacing w:after="0" w:line="202"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Amended and Restated Bylaws of the Company (Incorporated by reference to Exhibit 3.1 filed with our Current Report on Form 8-K filed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tcBorders>
              <w:top w:val="single" w:sz="8" w:color="0000EE"/>
            </w:tcBorders>
            <w:gridSpan w:val="36"/>
          </w:tcPr>
          <w:p>
            <w:pPr>
              <w:spacing w:after="0" w:line="182"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on January 30,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360" w:type="dxa"/>
            <w:vAlign w:val="bottom"/>
            <w:gridSpan w:val="40"/>
            <w:shd w:val="clear" w:color="auto" w:fill="CCEEFF"/>
          </w:tcPr>
          <w:p>
            <w:pPr>
              <w:spacing w:after="0" w:line="202"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Rights Agreement dated as of November 16, 2018 between Daktronics, Inc. and Equiniti Trust Company, as Rights Agent (Incorporated by</w:t>
              </w:r>
            </w:hyperlink>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260" w:type="dxa"/>
            <w:vAlign w:val="bottom"/>
            <w:tcBorders>
              <w:top w:val="single" w:sz="8" w:color="0000EE"/>
            </w:tcBorders>
            <w:gridSpan w:val="35"/>
            <w:shd w:val="clear" w:color="auto" w:fill="CCEEFF"/>
          </w:tcPr>
          <w:p>
            <w:pPr>
              <w:spacing w:after="0" w:line="182"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reference to Exhibit 4.1 of the Current Report on Form 8-K of Daktronics, Inc. filed on November 16, 2018, Commission File No. 000-</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23246).</w:t>
              </w:r>
            </w:hyperlink>
          </w:p>
        </w:tc>
        <w:tc>
          <w:tcPr>
            <w:tcW w:w="4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6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2460" w:type="dxa"/>
            <w:vAlign w:val="bottom"/>
            <w:tcBorders>
              <w:top w:val="single" w:sz="8" w:color="0000EE"/>
            </w:tcBorders>
            <w:shd w:val="clear" w:color="auto" w:fill="CCEEFF"/>
          </w:tcPr>
          <w:p>
            <w:pPr>
              <w:spacing w:after="0"/>
              <w:rPr>
                <w:sz w:val="17"/>
                <w:szCs w:val="17"/>
                <w:color w:val="auto"/>
              </w:rPr>
            </w:pPr>
          </w:p>
        </w:tc>
        <w:tc>
          <w:tcPr>
            <w:tcW w:w="11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60" w:type="dxa"/>
            <w:vAlign w:val="bottom"/>
            <w:gridSpan w:val="40"/>
          </w:tcPr>
          <w:p>
            <w:pPr>
              <w:spacing w:after="0" w:line="202"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First Amendment to Rights Agreement dated as of November 19, 2021 between Daktronics, Inc. and Equiniti Trust Company, as Rights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EE"/>
            </w:tcBorders>
            <w:gridSpan w:val="21"/>
          </w:tcPr>
          <w:p>
            <w:pPr>
              <w:spacing w:after="0" w:line="182"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Agent (Incorporated by reference to Exhibit 4.2 of the Current Report on Form 8-K of Daktronics, Inc. filed on November 19, 2021).</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6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w w:val="95"/>
              </w:rPr>
            </w:pPr>
            <w:hyperlink r:id="rId5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360" w:type="dxa"/>
            <w:vAlign w:val="bottom"/>
            <w:gridSpan w:val="40"/>
            <w:shd w:val="clear" w:color="auto" w:fill="CCEEFF"/>
          </w:tcPr>
          <w:p>
            <w:pPr>
              <w:spacing w:after="0" w:line="202"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Daktronics, Inc. 2020 Stock Incentive Plan ("2020 Plan") (Incorporated by reference to Exhibit A to the Company's Definitive Proxy</w:t>
              </w:r>
            </w:hyperlink>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00" w:type="dxa"/>
            <w:vAlign w:val="bottom"/>
            <w:tcBorders>
              <w:top w:val="single" w:sz="8" w:color="0000EE"/>
              <w:bottom w:val="single" w:sz="8" w:color="0000EE"/>
            </w:tcBorders>
            <w:gridSpan w:val="6"/>
            <w:shd w:val="clear" w:color="auto" w:fill="CCEEFF"/>
          </w:tcPr>
          <w:p>
            <w:pPr>
              <w:spacing w:after="0" w:line="182"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Statement on Schedule 14A filed on July 16, 2020).*</w:t>
              </w:r>
            </w:hyperlink>
          </w:p>
        </w:tc>
        <w:tc>
          <w:tcPr>
            <w:tcW w:w="6500" w:type="dxa"/>
            <w:vAlign w:val="bottom"/>
            <w:tcBorders>
              <w:top w:val="single" w:sz="8" w:color="0000EE"/>
              <w:bottom w:val="single" w:sz="8" w:color="CCEEFF"/>
            </w:tcBorders>
            <w:gridSpan w:val="31"/>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w w:val="95"/>
              </w:rPr>
            </w:pPr>
            <w:hyperlink r:id="rId6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60" w:type="dxa"/>
            <w:vAlign w:val="bottom"/>
            <w:gridSpan w:val="40"/>
          </w:tcPr>
          <w:p>
            <w:pPr>
              <w:spacing w:after="0" w:line="202"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Restricted Stock Award Agreement under the 2020 Plan (Incorporated by reference to Exhibit 10.2 filed with our Current Report on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tcBorders>
              <w:top w:val="single" w:sz="8" w:color="0000EE"/>
            </w:tcBorders>
            <w:gridSpan w:val="37"/>
          </w:tcPr>
          <w:p>
            <w:pPr>
              <w:spacing w:after="0" w:line="182"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8-K on September 3,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w w:val="95"/>
              </w:rPr>
            </w:pPr>
            <w:hyperlink r:id="rId6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360" w:type="dxa"/>
            <w:vAlign w:val="bottom"/>
            <w:gridSpan w:val="40"/>
            <w:shd w:val="clear" w:color="auto" w:fill="CCEEFF"/>
          </w:tcPr>
          <w:p>
            <w:pPr>
              <w:spacing w:after="0" w:line="202"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Non-Qualified Stock Option Agreement Terms and Conditions under the 2020 Plan (Incorporated by reference to Exhibit 10.3 filed</w:t>
              </w:r>
            </w:hyperlink>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520" w:type="dxa"/>
            <w:vAlign w:val="bottom"/>
            <w:tcBorders>
              <w:top w:val="single" w:sz="8" w:color="0000EE"/>
              <w:bottom w:val="single" w:sz="8" w:color="0000EE"/>
            </w:tcBorders>
            <w:gridSpan w:val="7"/>
            <w:shd w:val="clear" w:color="auto" w:fill="CCEEFF"/>
          </w:tcPr>
          <w:p>
            <w:pPr>
              <w:spacing w:after="0" w:line="182"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with our Current Report on Form 8-K on September 3, 2020).*</w:t>
              </w:r>
            </w:hyperlink>
          </w:p>
        </w:tc>
        <w:tc>
          <w:tcPr>
            <w:tcW w:w="5800" w:type="dxa"/>
            <w:vAlign w:val="bottom"/>
            <w:tcBorders>
              <w:top w:val="single" w:sz="8" w:color="0000EE"/>
              <w:bottom w:val="single" w:sz="8" w:color="CCEEFF"/>
            </w:tcBorders>
            <w:gridSpan w:val="31"/>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w w:val="95"/>
              </w:rPr>
            </w:pPr>
            <w:hyperlink r:id="rId6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60" w:type="dxa"/>
            <w:vAlign w:val="bottom"/>
            <w:gridSpan w:val="40"/>
          </w:tcPr>
          <w:p>
            <w:pPr>
              <w:spacing w:after="0" w:line="202"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Incentive Stock Option Terms and Conditions under the 2020 Plan (Incorporated by reference to Exhibit 10.4 filed with our Current</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tcBorders>
              <w:top w:val="single" w:sz="8" w:color="0000EE"/>
            </w:tcBorders>
            <w:gridSpan w:val="32"/>
          </w:tcPr>
          <w:p>
            <w:pPr>
              <w:spacing w:after="0" w:line="182"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Report on Form 8-K on September 3,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w w:val="95"/>
              </w:rPr>
            </w:pPr>
            <w:hyperlink r:id="rId6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360" w:type="dxa"/>
            <w:vAlign w:val="bottom"/>
            <w:gridSpan w:val="40"/>
            <w:shd w:val="clear" w:color="auto" w:fill="CCEEFF"/>
          </w:tcPr>
          <w:p>
            <w:pPr>
              <w:spacing w:after="0" w:line="202"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Restricted Stock Unit Terms and Conditions under the 2020 Plan (Incorporated by reference to Exhibit 10.5 filed with our Current</w:t>
              </w:r>
            </w:hyperlink>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80" w:type="dxa"/>
            <w:vAlign w:val="bottom"/>
            <w:tcBorders>
              <w:top w:val="single" w:sz="8" w:color="0000EE"/>
              <w:bottom w:val="single" w:sz="8" w:color="0000EE"/>
            </w:tcBorders>
            <w:gridSpan w:val="5"/>
            <w:shd w:val="clear" w:color="auto" w:fill="CCEEFF"/>
          </w:tcPr>
          <w:p>
            <w:pPr>
              <w:spacing w:after="0" w:line="182" w:lineRule="exact"/>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Report on Form 8-K on September 3, 2020).*</w:t>
              </w:r>
            </w:hyperlink>
          </w:p>
        </w:tc>
        <w:tc>
          <w:tcPr>
            <w:tcW w:w="6960" w:type="dxa"/>
            <w:vAlign w:val="bottom"/>
            <w:tcBorders>
              <w:top w:val="single" w:sz="8" w:color="0000EE"/>
              <w:bottom w:val="single" w:sz="8" w:color="CCEEFF"/>
            </w:tcBorders>
            <w:gridSpan w:val="29"/>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w w:val="95"/>
              </w:rPr>
            </w:pPr>
            <w:hyperlink r:id="rId6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60" w:type="dxa"/>
            <w:vAlign w:val="bottom"/>
            <w:gridSpan w:val="40"/>
          </w:tcPr>
          <w:p>
            <w:pPr>
              <w:spacing w:after="0" w:line="202"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Cooperation Agreement dated July 23, 2022 by and between the Company and Prairieland Holdco, LLC (Incorporated by reference to</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tcBorders>
              <w:top w:val="single" w:sz="8" w:color="0000EE"/>
            </w:tcBorders>
            <w:gridSpan w:val="33"/>
          </w:tcPr>
          <w:p>
            <w:pPr>
              <w:spacing w:after="0" w:line="182"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Exhibit 10.1 filed with our Current Report on Form 8-K on July 27, 2022).</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w w:val="95"/>
              </w:rPr>
            </w:pPr>
            <w:hyperlink r:id="rId7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360" w:type="dxa"/>
            <w:vAlign w:val="bottom"/>
            <w:gridSpan w:val="40"/>
            <w:shd w:val="clear" w:color="auto" w:fill="CCEEFF"/>
          </w:tcPr>
          <w:p>
            <w:pPr>
              <w:spacing w:after="0" w:line="20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Standstill and Voting Agreement dated as of March 19, 2023 by and among Daktronics, Inc., Alta Fox Management, LLC and Connor Haley</w:t>
              </w:r>
            </w:hyperlink>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160" w:type="dxa"/>
            <w:vAlign w:val="bottom"/>
            <w:tcBorders>
              <w:top w:val="single" w:sz="8" w:color="0000FF"/>
            </w:tcBorders>
            <w:gridSpan w:val="30"/>
            <w:shd w:val="clear" w:color="auto" w:fill="CCEEFF"/>
          </w:tcPr>
          <w:p>
            <w:pPr>
              <w:spacing w:after="0" w:line="18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(Incorporated by reference to Exhibit 10.1 filed with the Current Report on Form 8-K of Daktronics, Inc. filed on March 20,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w w:val="95"/>
              </w:rPr>
            </w:pPr>
            <w:hyperlink r:id="rId7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8</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60" w:type="dxa"/>
            <w:vAlign w:val="bottom"/>
            <w:gridSpan w:val="40"/>
          </w:tcPr>
          <w:p>
            <w:pPr>
              <w:spacing w:after="0" w:line="20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Credit Agreement dated as of May 11, 2023 by and among Daktronics, Inc. and the other Borrowers; the other Loan Parties to the Credit</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720" w:type="dxa"/>
            <w:vAlign w:val="bottom"/>
            <w:tcBorders>
              <w:top w:val="single" w:sz="8" w:color="0000FF"/>
              <w:bottom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Agreement; the Lenders party to the Credit Agreement; and JPMorgan Chase Bank, N.A., in its capacity as administrative agent for the</w:t>
              </w:r>
            </w:hyperlink>
          </w:p>
        </w:tc>
        <w:tc>
          <w:tcPr>
            <w:tcW w:w="100" w:type="dxa"/>
            <w:vAlign w:val="bottom"/>
            <w:tcBorders>
              <w:top w:val="single" w:sz="8" w:color="0000FF"/>
            </w:tcBorders>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60" w:type="dxa"/>
            <w:vAlign w:val="bottom"/>
            <w:gridSpan w:val="40"/>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Lenders (Incorporated by reference to Exhibit 10.1 filed with the Current Report on Form 8-K of Daktronics, Inc. filed on May 12, 2023).</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6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w w:val="95"/>
              </w:rPr>
            </w:pPr>
            <w:hyperlink r:id="rId7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9</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360" w:type="dxa"/>
            <w:vAlign w:val="bottom"/>
            <w:gridSpan w:val="40"/>
            <w:shd w:val="clear" w:color="auto" w:fill="CCEEFF"/>
          </w:tcPr>
          <w:p>
            <w:pPr>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Pledge and Security Agreement dated as of May 11, 2023 by and among Daktronics, Inc., Daktronics Installation, Inc., and JPMorgan Chase</w:t>
              </w:r>
            </w:hyperlink>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140" w:type="dxa"/>
            <w:vAlign w:val="bottom"/>
            <w:tcBorders>
              <w:top w:val="single" w:sz="8" w:color="0000FF"/>
              <w:bottom w:val="single" w:sz="8" w:color="0000FF"/>
            </w:tcBorders>
            <w:gridSpan w:val="29"/>
            <w:shd w:val="clear" w:color="auto" w:fill="CCEEFF"/>
          </w:tcPr>
          <w:p>
            <w:pPr>
              <w:spacing w:after="0" w:line="182"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Bank, N.A. (Incorporated by reference to Exhibit 10.2 filed with the Current Report on Form 8-K of Daktronics, Inc. filed on May 12, 2023)</w:t>
              </w:r>
            </w:hyperlink>
          </w:p>
        </w:tc>
        <w:tc>
          <w:tcPr>
            <w:tcW w:w="40" w:type="dxa"/>
            <w:vAlign w:val="bottom"/>
            <w:tcBorders>
              <w:top w:val="single" w:sz="8" w:color="CCEEFF"/>
              <w:bottom w:val="single" w:sz="8" w:color="0000FF"/>
            </w:tcBorders>
            <w:gridSpan w:val="2"/>
            <w:shd w:val="clear" w:color="auto" w:fill="CCEEFF"/>
          </w:tcPr>
          <w:p>
            <w:pPr>
              <w:jc w:val="right"/>
              <w:ind w:right="40"/>
              <w:spacing w:after="0"/>
              <w:rPr>
                <w:rFonts w:ascii="Times New Roman" w:cs="Times New Roman" w:eastAsia="Times New Roman" w:hAnsi="Times New Roman"/>
                <w:sz w:val="11"/>
                <w:szCs w:val="11"/>
                <w:color w:val="0000FF"/>
                <w:w w:val="70"/>
              </w:rPr>
            </w:pPr>
            <w:hyperlink r:id="rId72">
              <w:r>
                <w:rPr>
                  <w:rFonts w:ascii="Times New Roman" w:cs="Times New Roman" w:eastAsia="Times New Roman" w:hAnsi="Times New Roman"/>
                  <w:sz w:val="11"/>
                  <w:szCs w:val="11"/>
                  <w:color w:val="0000FF"/>
                  <w:w w:val="70"/>
                </w:rPr>
                <w:t>.</w:t>
              </w:r>
            </w:hyperlink>
          </w:p>
        </w:tc>
        <w:tc>
          <w:tcPr>
            <w:tcW w:w="120" w:type="dxa"/>
            <w:vAlign w:val="bottom"/>
            <w:tcBorders>
              <w:top w:val="single" w:sz="8" w:color="CCEEFF"/>
              <w:bottom w:val="single" w:sz="8" w:color="CCEEFF"/>
            </w:tcBorders>
            <w:gridSpan w:val="6"/>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40" w:type="dxa"/>
            <w:vAlign w:val="bottom"/>
            <w:tcBorders>
              <w:top w:val="single" w:sz="8" w:color="CCEEFF"/>
            </w:tcBorders>
            <w:gridSpan w:val="5"/>
          </w:tcPr>
          <w:p>
            <w:pPr>
              <w:ind w:left="20"/>
              <w:spacing w:after="0" w:line="20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360" w:type="dxa"/>
            <w:vAlign w:val="bottom"/>
            <w:tcBorders>
              <w:top w:val="single" w:sz="8" w:color="CCEEFF"/>
            </w:tcBorders>
            <w:gridSpan w:val="40"/>
          </w:tcPr>
          <w:p>
            <w:pPr>
              <w:spacing w:after="0" w:line="20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Securities Purchase Agreement dated as of May 11, 2023 by and between Daktronics, Inc. and Alta Fox Opportunities Fund, LP</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2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(Incorporated by reference to Exhibit 10.3 filed with the Current Report on Form 8-K of Daktronics, Inc. filed on May 12, 2023)</w:t>
              </w:r>
            </w:hyperlink>
          </w:p>
        </w:tc>
        <w:tc>
          <w:tcPr>
            <w:tcW w:w="300" w:type="dxa"/>
            <w:vAlign w:val="bottom"/>
            <w:gridSpan w:val="3"/>
          </w:tcPr>
          <w:p>
            <w:pPr>
              <w:jc w:val="right"/>
              <w:ind w:right="240"/>
              <w:spacing w:after="0" w:line="182" w:lineRule="exact"/>
              <w:rPr>
                <w:rFonts w:ascii="Times New Roman" w:cs="Times New Roman" w:eastAsia="Times New Roman" w:hAnsi="Times New Roman"/>
                <w:sz w:val="18"/>
                <w:szCs w:val="18"/>
                <w:color w:val="0000FF"/>
                <w:w w:val="87"/>
              </w:rPr>
            </w:pPr>
            <w:hyperlink r:id="rId73">
              <w:r>
                <w:rPr>
                  <w:rFonts w:ascii="Times New Roman" w:cs="Times New Roman" w:eastAsia="Times New Roman" w:hAnsi="Times New Roman"/>
                  <w:sz w:val="18"/>
                  <w:szCs w:val="18"/>
                  <w:color w:val="0000FF"/>
                  <w:w w:val="87"/>
                </w:rPr>
                <w:t>.</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40" w:type="dxa"/>
            <w:vAlign w:val="bottom"/>
            <w:tcBorders>
              <w:right w:val="single" w:sz="8" w:color="CCEEFF"/>
            </w:tcBorders>
            <w:gridSpan w:val="4"/>
            <w:shd w:val="clear" w:color="auto" w:fill="CCEEFF"/>
          </w:tcPr>
          <w:p>
            <w:pPr>
              <w:ind w:left="20"/>
              <w:spacing w:after="0" w:line="202" w:lineRule="exact"/>
              <w:rPr>
                <w:rFonts w:ascii="Times New Roman" w:cs="Times New Roman" w:eastAsia="Times New Roman" w:hAnsi="Times New Roman"/>
                <w:sz w:val="18"/>
                <w:szCs w:val="18"/>
                <w:color w:val="0000FF"/>
                <w:w w:val="93"/>
              </w:rPr>
            </w:pPr>
            <w:hyperlink r:id="rId74">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600" w:type="dxa"/>
            <w:vAlign w:val="bottom"/>
            <w:shd w:val="clear" w:color="auto" w:fill="CCEEFF"/>
          </w:tcPr>
          <w:p>
            <w:pPr>
              <w:spacing w:after="0"/>
              <w:rPr>
                <w:sz w:val="17"/>
                <w:szCs w:val="17"/>
                <w:color w:val="auto"/>
              </w:rPr>
            </w:pPr>
          </w:p>
        </w:tc>
        <w:tc>
          <w:tcPr>
            <w:tcW w:w="10360" w:type="dxa"/>
            <w:vAlign w:val="bottom"/>
            <w:gridSpan w:val="40"/>
            <w:shd w:val="clear" w:color="auto" w:fill="CCEEFF"/>
          </w:tcPr>
          <w:p>
            <w:pPr>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Senior Secured Convertible Note dated as of May 11, 2023 issued by Daktronics, Inc. to Alta Fox Opportunities Fund, LP (Incorporated by</w:t>
              </w:r>
            </w:hyperlink>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40" w:type="dxa"/>
            <w:vAlign w:val="bottom"/>
            <w:tcBorders>
              <w:top w:val="single" w:sz="8" w:color="0000FF"/>
              <w:bottom w:val="single" w:sz="8" w:color="0000FF"/>
            </w:tcBorders>
            <w:gridSpan w:val="11"/>
            <w:shd w:val="clear" w:color="auto" w:fill="CCEEFF"/>
          </w:tcPr>
          <w:p>
            <w:pPr>
              <w:spacing w:after="0" w:line="182"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reference to Exhibit 10.4 filed with the Current Report on Form 8-K of Daktronics, Inc. filed on May 12, 2023).</w:t>
              </w:r>
            </w:hyperlink>
          </w:p>
        </w:tc>
        <w:tc>
          <w:tcPr>
            <w:tcW w:w="1980" w:type="dxa"/>
            <w:vAlign w:val="bottom"/>
            <w:tcBorders>
              <w:top w:val="single" w:sz="8" w:color="0000FF"/>
              <w:bottom w:val="single" w:sz="8" w:color="CCEEFF"/>
            </w:tcBorders>
            <w:gridSpan w:val="15"/>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6"/>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gridSpan w:val="3"/>
          </w:tcPr>
          <w:p>
            <w:pPr>
              <w:spacing w:after="0" w:line="202" w:lineRule="exact"/>
              <w:rPr>
                <w:rFonts w:ascii="Times New Roman" w:cs="Times New Roman" w:eastAsia="Times New Roman" w:hAnsi="Times New Roman"/>
                <w:sz w:val="18"/>
                <w:szCs w:val="18"/>
                <w:color w:val="0000FF"/>
                <w:w w:val="93"/>
              </w:rPr>
            </w:pPr>
            <w:hyperlink r:id="rId7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12</w:t>
              </w:r>
            </w:hyperlink>
          </w:p>
        </w:tc>
        <w:tc>
          <w:tcPr>
            <w:tcW w:w="600" w:type="dxa"/>
            <w:vAlign w:val="bottom"/>
          </w:tcPr>
          <w:p>
            <w:pPr>
              <w:spacing w:after="0"/>
              <w:rPr>
                <w:sz w:val="17"/>
                <w:szCs w:val="17"/>
                <w:color w:val="auto"/>
              </w:rPr>
            </w:pPr>
          </w:p>
        </w:tc>
        <w:tc>
          <w:tcPr>
            <w:tcW w:w="10360" w:type="dxa"/>
            <w:vAlign w:val="bottom"/>
            <w:gridSpan w:val="40"/>
          </w:tcPr>
          <w:p>
            <w:pPr>
              <w:spacing w:after="0" w:line="20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Pledge and Security Agreement dated as of May 11, 2023 by and among Daktronics, Inc., Daktronics Installation, Inc., and Alta Fox</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80" w:type="dxa"/>
            <w:vAlign w:val="bottom"/>
            <w:gridSpan w:val="6"/>
            <w:shd w:val="clear" w:color="auto" w:fill="0000FF"/>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9880" w:type="dxa"/>
            <w:vAlign w:val="bottom"/>
            <w:tcBorders>
              <w:bottom w:val="single" w:sz="8" w:color="0000FF"/>
            </w:tcBorders>
            <w:gridSpan w:val="23"/>
          </w:tcPr>
          <w:p>
            <w:pPr>
              <w:spacing w:after="0" w:line="182"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Opportunities Fund, LP (Incorporated by reference to Exhibit 10.5 filed with the Current Report on Form 8-K of Daktronics, Inc. filed on</w:t>
              </w:r>
            </w:hyperlink>
          </w:p>
        </w:tc>
        <w:tc>
          <w:tcPr>
            <w:tcW w:w="46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60" w:type="dxa"/>
            <w:vAlign w:val="bottom"/>
            <w:gridSpan w:val="40"/>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May 12, 2023).</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040" w:type="dxa"/>
            <w:vAlign w:val="bottom"/>
            <w:gridSpan w:val="5"/>
            <w:shd w:val="clear" w:color="auto" w:fill="CCEEFF"/>
          </w:tcPr>
          <w:p>
            <w:pPr>
              <w:ind w:left="20"/>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360" w:type="dxa"/>
            <w:vAlign w:val="bottom"/>
            <w:gridSpan w:val="40"/>
            <w:shd w:val="clear" w:color="auto" w:fill="CCEEFF"/>
          </w:tcPr>
          <w:p>
            <w:pPr>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Registration Rights Agreement dated as of May 11, 2023 by and between Daktronics, Inc. and Alta Fox Opportunities Fund, LP</w:t>
              </w:r>
            </w:hyperlink>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right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200" w:type="dxa"/>
            <w:vAlign w:val="bottom"/>
            <w:tcBorders>
              <w:top w:val="single" w:sz="8" w:color="0000FF"/>
            </w:tcBorders>
            <w:gridSpan w:val="12"/>
            <w:shd w:val="clear" w:color="auto" w:fill="CCEEFF"/>
          </w:tcPr>
          <w:p>
            <w:pPr>
              <w:spacing w:after="0" w:line="182"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(Incorporated by reference to Exhibit 10.6 filed with the Current Report on Form 8-K of Daktronics, Inc. filed on May 12, 2023)</w:t>
              </w:r>
            </w:hyperlink>
          </w:p>
        </w:tc>
        <w:tc>
          <w:tcPr>
            <w:tcW w:w="340" w:type="dxa"/>
            <w:vAlign w:val="bottom"/>
            <w:tcBorders>
              <w:top w:val="single" w:sz="8" w:color="CCEEFF"/>
            </w:tcBorders>
            <w:gridSpan w:val="5"/>
            <w:shd w:val="clear" w:color="auto" w:fill="CCEEFF"/>
          </w:tcPr>
          <w:p>
            <w:pPr>
              <w:jc w:val="right"/>
              <w:ind w:right="260"/>
              <w:spacing w:after="0" w:line="18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420" w:type="dxa"/>
            <w:vAlign w:val="bottom"/>
            <w:tcBorders>
              <w:top w:val="single" w:sz="8" w:color="CCEEFF"/>
            </w:tcBorders>
            <w:gridSpan w:val="6"/>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gridSpan w:val="5"/>
          </w:tcPr>
          <w:p>
            <w:pPr>
              <w:ind w:left="20"/>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360" w:type="dxa"/>
            <w:vAlign w:val="bottom"/>
            <w:gridSpan w:val="40"/>
          </w:tcPr>
          <w:p>
            <w:pPr>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Intercreditor Agreement dated as of May 11, 2023 by and among Daktronics, Inc., JPMorgan Chase Bank, N.A., and Alta Fox Opportunities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Fund, LP (Incorporated by reference to Exhibit 10.7 filed with the Current Report on Form 8-K of Daktronics, Inc. filed on May 12, 2023).</w:t>
              </w:r>
            </w:hyperlink>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4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36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u w:val="single" w:color="auto"/>
                <w:color w:val="0000EE"/>
              </w:rPr>
              <w:t>Certification of the Chief Executive Officer required by Rule 13a-14(a) or Rule 15d-14(a) under the Securities Exchange Act of 1934, as</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300" w:type="dxa"/>
            <w:vAlign w:val="bottom"/>
            <w:tcBorders>
              <w:top w:val="single" w:sz="8" w:color="CCEEFF"/>
            </w:tcBorders>
            <w:gridSpan w:val="3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adopted pursuant to Section 302 of the Sarbanes-Oxley Act of 2002. (1)</w:t>
            </w:r>
            <w:r>
              <w:rPr>
                <w:rFonts w:ascii="Times New Roman" w:cs="Times New Roman" w:eastAsia="Times New Roman" w:hAnsi="Times New Roman"/>
                <w:sz w:val="21"/>
                <w:szCs w:val="21"/>
                <w:u w:val="single" w:color="auto"/>
                <w:color w:val="0000EE"/>
                <w:vertAlign w:val="superscript"/>
              </w:rPr>
              <w:t>1</w:t>
            </w:r>
          </w:p>
        </w:tc>
        <w:tc>
          <w:tcPr>
            <w:tcW w:w="4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36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or Rule 15d-14(a) under the Securities Exchange Act of 1934, as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top w:val="single" w:sz="8" w:color="0000EE"/>
            </w:tcBorders>
            <w:gridSpan w:val="31"/>
          </w:tcPr>
          <w:p>
            <w:pPr>
              <w:spacing w:after="0" w:line="163"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 (1)</w:t>
            </w: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360" w:type="dxa"/>
            <w:vAlign w:val="bottom"/>
            <w:gridSpan w:val="4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 Sarbanes-Oxley Act of 2002 (18 U.S.C. Section 1350). (1)</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6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60" w:type="dxa"/>
            <w:vAlign w:val="bottom"/>
            <w:gridSpan w:val="40"/>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 Act of 2002 (18 U.S.C. Section 1350). (1)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40" w:type="dxa"/>
            <w:vAlign w:val="bottom"/>
            <w:gridSpan w:val="17"/>
            <w:shd w:val="clear" w:color="auto" w:fill="0000EE"/>
          </w:tcPr>
          <w:p>
            <w:pPr>
              <w:spacing w:after="0" w:line="20" w:lineRule="exact"/>
              <w:rPr>
                <w:sz w:val="1"/>
                <w:szCs w:val="1"/>
                <w:color w:val="auto"/>
              </w:rPr>
            </w:pPr>
          </w:p>
        </w:tc>
        <w:tc>
          <w:tcPr>
            <w:tcW w:w="80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03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3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3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3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3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3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 w:lineRule="exact"/>
        <w:rPr>
          <w:sz w:val="20"/>
          <w:szCs w:val="20"/>
          <w:color w:val="auto"/>
        </w:rPr>
      </w:pPr>
    </w:p>
    <w:p>
      <w:pPr>
        <w:ind w:left="1040" w:hanging="101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49" w:lineRule="exact"/>
        <w:rPr>
          <w:rFonts w:ascii="Times New Roman" w:cs="Times New Roman" w:eastAsia="Times New Roman" w:hAnsi="Times New Roman"/>
          <w:sz w:val="18"/>
          <w:szCs w:val="18"/>
          <w:color w:val="auto"/>
        </w:rPr>
      </w:pPr>
    </w:p>
    <w:p>
      <w:pPr>
        <w:ind w:left="1360" w:hanging="322"/>
        <w:spacing w:after="0"/>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14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972"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972" w:orient="portrait"/>
          <w:cols w:equalWidth="0" w:num="1">
            <w:col w:w="11240"/>
          </w:cols>
          <w:pgMar w:left="320" w:top="121" w:right="339" w:bottom="0" w:gutter="0" w:footer="0" w:header="0"/>
          <w:type w:val="continuous"/>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187325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Daktronics, Inc.</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July 27, 2024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4, 2024</w:t>
      </w:r>
    </w:p>
    <w:p>
      <w:pPr>
        <w:sectPr>
          <w:pgSz w:w="11900" w:h="16838" w:orient="portrait"/>
          <w:cols w:equalWidth="0" w:num="1">
            <w:col w:w="11240"/>
          </w:cols>
          <w:pgMar w:left="320" w:top="93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July 27, 2024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4, 2024</w:t>
      </w:r>
    </w:p>
    <w:p>
      <w:pPr>
        <w:sectPr>
          <w:pgSz w:w="11900" w:h="16838" w:orient="portrait"/>
          <w:cols w:equalWidth="0" w:num="1">
            <w:col w:w="11240"/>
          </w:cols>
          <w:pgMar w:left="320" w:top="93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July 27, 2024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4, 2024</w:t>
      </w:r>
    </w:p>
    <w:p>
      <w:pPr>
        <w:sectPr>
          <w:pgSz w:w="11900" w:h="16838" w:orient="portrait"/>
          <w:cols w:equalWidth="0" w:num="1">
            <w:col w:w="11240"/>
          </w:cols>
          <w:pgMar w:left="320" w:top="93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July 27, 2024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4, 2024</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835"/>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4"/>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52" Type="http://schemas.openxmlformats.org/officeDocument/2006/relationships/hyperlink" Target="https://www.sec.gov/Archives/edgar/data/915779/000091577918000119/exhibit31.htm" TargetMode="External"/><Relationship Id="rId53" Type="http://schemas.openxmlformats.org/officeDocument/2006/relationships/hyperlink" Target="http://www.sec.gov/Archives/edgar/data/915779/000091577918000119/exhibit31.htm" TargetMode="External"/><Relationship Id="rId54" Type="http://schemas.openxmlformats.org/officeDocument/2006/relationships/hyperlink" Target="https://www.sec.gov/Archives/edgar/data/915779/000091577923000007/exhibit31.htm" TargetMode="External"/><Relationship Id="rId55" Type="http://schemas.openxmlformats.org/officeDocument/2006/relationships/hyperlink" Target="https://www.sec.gov/Archives/edgar/data/915779/000091577918000089/dakt_20181116x8-kxex41.htm" TargetMode="External"/><Relationship Id="rId56" Type="http://schemas.openxmlformats.org/officeDocument/2006/relationships/hyperlink" Target="http://www.sec.gov/Archives/edgar/data/915779/000091577918000089/dakt_20181116x8-kxex41.htm" TargetMode="External"/><Relationship Id="rId57" Type="http://schemas.openxmlformats.org/officeDocument/2006/relationships/hyperlink" Target="https://www.sec.gov/Archives/edgar/data/915779/000143774921027158/ex_309612.htm" TargetMode="External"/><Relationship Id="rId58" Type="http://schemas.openxmlformats.org/officeDocument/2006/relationships/hyperlink" Target="http://www.sec.gov/Archives/edgar/data/915779/000143774921027158/ex_309612.htm" TargetMode="External"/><Relationship Id="rId59" Type="http://schemas.openxmlformats.org/officeDocument/2006/relationships/hyperlink" Target="https://www.sec.gov/Archives/edgar/data/915779/000091577920000033/dakt-20200502_defx14a.htm" TargetMode="External"/><Relationship Id="rId60" Type="http://schemas.openxmlformats.org/officeDocument/2006/relationships/hyperlink" Target="http://www.sec.gov/Archives/edgar/data/915779/000091577920000033/dakt-20200502_defx14a.htm" TargetMode="External"/><Relationship Id="rId61" Type="http://schemas.openxmlformats.org/officeDocument/2006/relationships/hyperlink" Target="https://www.sec.gov/Archives/edgar/data/915779/000091577920000054/daktex1028-ksom2020.htm" TargetMode="External"/><Relationship Id="rId62" Type="http://schemas.openxmlformats.org/officeDocument/2006/relationships/hyperlink" Target="http://www.sec.gov/Archives/edgar/data/915779/000091577920000054/daktex1028-ksom2020.htm" TargetMode="External"/><Relationship Id="rId63" Type="http://schemas.openxmlformats.org/officeDocument/2006/relationships/hyperlink" Target="https://www.sec.gov/Archives/edgar/data/915779/000091577920000054/daktex1038-ksom2020.htm" TargetMode="External"/><Relationship Id="rId64" Type="http://schemas.openxmlformats.org/officeDocument/2006/relationships/hyperlink" Target="http://www.sec.gov/Archives/edgar/data/915779/000091577920000054/daktex1038-ksom2020.htm" TargetMode="External"/><Relationship Id="rId65" Type="http://schemas.openxmlformats.org/officeDocument/2006/relationships/hyperlink" Target="https://www.sec.gov/Archives/edgar/data/915779/000091577920000054/daktex1048-ksom2020.htm" TargetMode="External"/><Relationship Id="rId66" Type="http://schemas.openxmlformats.org/officeDocument/2006/relationships/hyperlink" Target="http://www.sec.gov/Archives/edgar/data/915779/000091577920000054/daktex1048-ksom2020.htm" TargetMode="External"/><Relationship Id="rId67" Type="http://schemas.openxmlformats.org/officeDocument/2006/relationships/hyperlink" Target="https://www.sec.gov/Archives/edgar/data/915779/000091577920000054/daktex1058-ksom2020.htm" TargetMode="External"/><Relationship Id="rId68" Type="http://schemas.openxmlformats.org/officeDocument/2006/relationships/hyperlink" Target="http://www.sec.gov/Archives/edgar/data/915779/000091577920000054/daktex1058-ksom2020.htm" TargetMode="External"/><Relationship Id="rId69" Type="http://schemas.openxmlformats.org/officeDocument/2006/relationships/hyperlink" Target="https://www.sec.gov/Archives/edgar/data/915779/000091577922000010/exhibit101_071822.htm" TargetMode="External"/><Relationship Id="rId70" Type="http://schemas.openxmlformats.org/officeDocument/2006/relationships/hyperlink" Target="https://www.sec.gov/Archives/edgar/data/915779/000091577923000022/seniorsecondliensecuredcon.htm" TargetMode="External"/><Relationship Id="rId71" Type="http://schemas.openxmlformats.org/officeDocument/2006/relationships/hyperlink" Target="https://www.sec.gov/Archives/edgar/data/915779/000091577923000029/exhibit101toformexecuted.htm" TargetMode="External"/><Relationship Id="rId72" Type="http://schemas.openxmlformats.org/officeDocument/2006/relationships/hyperlink" Target="https://www.sec.gov/Archives/edgar/data/915779/000091577923000029/exhibit102toformexecuted.htm" TargetMode="External"/><Relationship Id="rId73" Type="http://schemas.openxmlformats.org/officeDocument/2006/relationships/hyperlink" Target="https://www.sec.gov/Archives/edgar/data/915779/000091577923000029/exhibit103toform_execute.htm" TargetMode="External"/><Relationship Id="rId74" Type="http://schemas.openxmlformats.org/officeDocument/2006/relationships/hyperlink" Target="https://www.sec.gov/Archives/edgar/data/915779/000091577923000029/exhibit104toform_execute.htm" TargetMode="External"/><Relationship Id="rId75" Type="http://schemas.openxmlformats.org/officeDocument/2006/relationships/hyperlink" Target="https://www.sec.gov/Archives/edgar/data/915779/000091577923000029/exhibit105toform_execute.htm" TargetMode="External"/><Relationship Id="rId76" Type="http://schemas.openxmlformats.org/officeDocument/2006/relationships/hyperlink" Target="https://www.sec.gov/Archives/edgar/data/915779/000091577923000029/exhibit106toform_execute.htm" TargetMode="External"/><Relationship Id="rId77" Type="http://schemas.openxmlformats.org/officeDocument/2006/relationships/hyperlink" Target="https://www.sec.gov/Archives/edgar/data/915779/000091577923000029/exhibit107toform_execu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2024-09-04T15:22:03Z</dcterms:created>
  <dcterms:modified xsi:type="dcterms:W3CDTF">2024-09-04T15:22:03Z</dcterms:modified>
</cp:coreProperties>
</file>