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40" w:right="3060" w:hanging="4134"/>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October 28, 2017</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34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0760" w:type="dxa"/>
            <w:vAlign w:val="bottom"/>
            <w:gridSpan w:val="4"/>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South Dakota</w:t>
            </w:r>
          </w:p>
        </w:tc>
        <w:tc>
          <w:tcPr>
            <w:tcW w:w="6380" w:type="dxa"/>
            <w:vAlign w:val="bottom"/>
            <w:gridSpan w:val="3"/>
          </w:tcPr>
          <w:p>
            <w:pPr>
              <w:jc w:val="right"/>
              <w:ind w:right="215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3"/>
        </w:trPr>
        <w:tc>
          <w:tcPr>
            <w:tcW w:w="4380" w:type="dxa"/>
            <w:vAlign w:val="bottom"/>
          </w:tcPr>
          <w:p>
            <w:pPr>
              <w:jc w:val="center"/>
              <w:ind w:left="799"/>
              <w:spacing w:after="0"/>
              <w:rPr>
                <w:sz w:val="20"/>
                <w:szCs w:val="20"/>
                <w:color w:val="auto"/>
              </w:rPr>
            </w:pPr>
            <w:r>
              <w:rPr>
                <w:rFonts w:ascii="Arial" w:cs="Arial" w:eastAsia="Arial" w:hAnsi="Arial"/>
                <w:sz w:val="16"/>
                <w:szCs w:val="16"/>
                <w:color w:val="auto"/>
                <w:w w:val="93"/>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4"/>
              </w:rPr>
              <w:t>Incorporation or Organization)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05"/>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2"/>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0"/>
        </w:trPr>
        <w:tc>
          <w:tcPr>
            <w:tcW w:w="438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Brookings, SD</w:t>
            </w:r>
          </w:p>
        </w:tc>
        <w:tc>
          <w:tcPr>
            <w:tcW w:w="638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3"/>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(605) 692-0200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27, 2017 was 44,474,171.</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October 28, 2017</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4"/>
          </w:tcPr>
          <w:p>
            <w:pPr>
              <w:ind w:left="96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880" w:type="dxa"/>
            <w:vAlign w:val="bottom"/>
            <w:gridSpan w:val="13"/>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October 28, 2017 (unaudited) and April 29, 2017</w:t>
              </w:r>
            </w:hyperlink>
          </w:p>
        </w:tc>
        <w:tc>
          <w:tcPr>
            <w:tcW w:w="1960" w:type="dxa"/>
            <w:vAlign w:val="bottom"/>
            <w:gridSpan w:val="4"/>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October 28, 2017 and</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29, 2016 (unaudited)</w:t>
              </w:r>
            </w:hyperlink>
          </w:p>
        </w:tc>
        <w:tc>
          <w:tcPr>
            <w:tcW w:w="940" w:type="dxa"/>
            <w:vAlign w:val="bottom"/>
          </w:tcPr>
          <w:p>
            <w:pPr>
              <w:spacing w:after="0"/>
              <w:rPr>
                <w:sz w:val="17"/>
                <w:szCs w:val="17"/>
                <w:color w:val="auto"/>
              </w:rPr>
            </w:pPr>
          </w:p>
        </w:tc>
        <w:tc>
          <w:tcPr>
            <w:tcW w:w="1160" w:type="dxa"/>
            <w:vAlign w:val="bottom"/>
            <w:gridSpan w:val="3"/>
          </w:tcPr>
          <w:p>
            <w:pPr>
              <w:ind w:left="98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for the Three and Six Months Ended October</w:t>
              </w:r>
            </w:hyperlink>
          </w:p>
        </w:tc>
        <w:tc>
          <w:tcPr>
            <w:tcW w:w="9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2017 and October 29, 2016 (unaudited)</w:t>
              </w:r>
            </w:hyperlink>
          </w:p>
        </w:tc>
        <w:tc>
          <w:tcPr>
            <w:tcW w:w="1160" w:type="dxa"/>
            <w:vAlign w:val="bottom"/>
            <w:gridSpan w:val="3"/>
          </w:tcPr>
          <w:p>
            <w:pPr>
              <w:ind w:left="98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October 28, 2017 and October</w:t>
              </w:r>
            </w:hyperlink>
          </w:p>
        </w:tc>
        <w:tc>
          <w:tcPr>
            <w:tcW w:w="102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29, 2016 (unaudited)</w:t>
              </w:r>
            </w:hyperlink>
          </w:p>
        </w:tc>
        <w:tc>
          <w:tcPr>
            <w:tcW w:w="652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858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320" w:type="dxa"/>
            <w:vAlign w:val="bottom"/>
            <w:gridSpan w:val="4"/>
          </w:tcPr>
          <w:p>
            <w:pPr>
              <w:ind w:left="980"/>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58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320" w:type="dxa"/>
            <w:vAlign w:val="bottom"/>
            <w:gridSpan w:val="4"/>
          </w:tcPr>
          <w:p>
            <w:pPr>
              <w:ind w:left="98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5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320" w:type="dxa"/>
            <w:vAlign w:val="bottom"/>
            <w:gridSpan w:val="4"/>
          </w:tcPr>
          <w:p>
            <w:pPr>
              <w:ind w:left="98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8580" w:type="dxa"/>
            <w:vAlign w:val="bottom"/>
            <w:gridSpan w:val="1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Other Information</w:t>
              </w:r>
            </w:hyperlink>
          </w:p>
        </w:tc>
        <w:tc>
          <w:tcPr>
            <w:tcW w:w="1320" w:type="dxa"/>
            <w:vAlign w:val="bottom"/>
            <w:gridSpan w:val="4"/>
          </w:tcPr>
          <w:p>
            <w:pPr>
              <w:ind w:left="98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Legal Proceedings</w:t>
              </w:r>
            </w:hyperlink>
          </w:p>
        </w:tc>
        <w:tc>
          <w:tcPr>
            <w:tcW w:w="7140" w:type="dxa"/>
            <w:vAlign w:val="bottom"/>
            <w:gridSpan w:val="14"/>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7680" w:type="dxa"/>
            <w:vAlign w:val="bottom"/>
            <w:gridSpan w:val="16"/>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4220" w:type="dxa"/>
            <w:vAlign w:val="bottom"/>
            <w:gridSpan w:val="6"/>
          </w:tcPr>
          <w:p>
            <w:pPr>
              <w:spacing w:after="0"/>
              <w:rPr>
                <w:sz w:val="21"/>
                <w:szCs w:val="21"/>
                <w:color w:val="auto"/>
              </w:rPr>
            </w:pPr>
          </w:p>
        </w:tc>
        <w:tc>
          <w:tcPr>
            <w:tcW w:w="1320" w:type="dxa"/>
            <w:vAlign w:val="bottom"/>
            <w:gridSpan w:val="4"/>
          </w:tcPr>
          <w:p>
            <w:pPr>
              <w:ind w:left="9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858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1320" w:type="dxa"/>
            <w:vAlign w:val="bottom"/>
            <w:gridSpan w:val="4"/>
          </w:tcPr>
          <w:p>
            <w:pPr>
              <w:ind w:left="9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Mine Safety Disclosures</w:t>
              </w:r>
            </w:hyperlink>
          </w:p>
        </w:tc>
        <w:tc>
          <w:tcPr>
            <w:tcW w:w="6820" w:type="dxa"/>
            <w:vAlign w:val="bottom"/>
            <w:gridSpan w:val="12"/>
          </w:tcPr>
          <w:p>
            <w:pPr>
              <w:spacing w:after="0"/>
              <w:rPr>
                <w:sz w:val="21"/>
                <w:szCs w:val="21"/>
                <w:color w:val="auto"/>
              </w:rPr>
            </w:pPr>
          </w:p>
        </w:tc>
        <w:tc>
          <w:tcPr>
            <w:tcW w:w="1320" w:type="dxa"/>
            <w:vAlign w:val="bottom"/>
            <w:gridSpan w:val="4"/>
          </w:tcPr>
          <w:p>
            <w:pPr>
              <w:ind w:left="98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858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1320" w:type="dxa"/>
            <w:vAlign w:val="bottom"/>
            <w:gridSpan w:val="4"/>
          </w:tcPr>
          <w:p>
            <w:pPr>
              <w:ind w:left="98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858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1320" w:type="dxa"/>
            <w:vAlign w:val="bottom"/>
            <w:gridSpan w:val="4"/>
          </w:tcPr>
          <w:p>
            <w:pPr>
              <w:ind w:left="98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6">
              <w:r>
                <w:rPr>
                  <w:rFonts w:ascii="Arial" w:cs="Arial" w:eastAsia="Arial" w:hAnsi="Arial"/>
                  <w:sz w:val="18"/>
                  <w:szCs w:val="18"/>
                  <w:b w:val="1"/>
                  <w:bCs w:val="1"/>
                  <w:color w:val="0000FF"/>
                  <w:w w:val="83"/>
                </w:rPr>
                <w:t>Signatures</w:t>
              </w:r>
            </w:hyperlink>
          </w:p>
        </w:tc>
        <w:tc>
          <w:tcPr>
            <w:tcW w:w="8580" w:type="dxa"/>
            <w:vAlign w:val="bottom"/>
            <w:gridSpan w:val="19"/>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7">
              <w:r>
                <w:rPr>
                  <w:rFonts w:ascii="Arial" w:cs="Arial" w:eastAsia="Arial" w:hAnsi="Arial"/>
                  <w:sz w:val="18"/>
                  <w:szCs w:val="18"/>
                  <w:b w:val="1"/>
                  <w:bCs w:val="1"/>
                  <w:color w:val="0000FF"/>
                  <w:w w:val="90"/>
                </w:rPr>
                <w:t>Index to Exhibits</w:t>
              </w:r>
            </w:hyperlink>
          </w:p>
        </w:tc>
        <w:tc>
          <w:tcPr>
            <w:tcW w:w="8080" w:type="dxa"/>
            <w:vAlign w:val="bottom"/>
            <w:gridSpan w:val="18"/>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78,846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36,403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7,553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283,225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257,725</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66,863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65,935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84,189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223,941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164,549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157,192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379,197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October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25,033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10,897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130,595</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5,434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157,147</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44,671,548 and 44,372,357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October 28, 2017 and April 29, 2017,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53,862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52,530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113,967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shares at October 28, 2017 and April 29, 2017,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379,197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9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29,</w:t>
            </w:r>
          </w:p>
        </w:tc>
        <w:tc>
          <w:tcPr>
            <w:tcW w:w="20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29,</w:t>
            </w:r>
          </w:p>
        </w:tc>
      </w:t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169,309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342,037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126,705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125,684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254,787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243,763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42,604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83,375</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15,350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30,289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31,150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17,408</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17,995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14,169</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33,166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62,727</w:t>
            </w: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9,438</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12,666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21,163</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20,648</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6,401</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15,561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44,412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43,988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44,345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44,051</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44,696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44,168</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77"/>
        </w:trPr>
        <w:tc>
          <w:tcPr>
            <w:tcW w:w="4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8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459"/>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29,</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28,</w:t>
            </w: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October 29,</w:t>
            </w: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r>
      <w:tr>
        <w:trPr>
          <w:trHeight w:val="28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16,589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13,116</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6089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1" w:right="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29,</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(15,496)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15,014</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equity investment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32,839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28,526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39,726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34,251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6,934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57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57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April 29, 2017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April 29, 2017,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to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six months ended October 28, 2017 and October 29, 2016 contained operating results for 26-weeks.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amount of investments accounted for under the equity method was $3,093 and $2,678 at October 28, 2017 and April 29, 2017, respectively. The equity method requires us to report our share of losses up to our equity investment amount. Cash paid for investments in affiliates is included in the "Purchases of equity investment" line item in our consolidated statements of cash flows. Our proportional share of the respective affiliate’s earnings or losses is included in the "Other (expense) income, net" line item in our consolidated statements of operations. For the six months ended October 28, 2017, our share of the losses of our affiliates was $191.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at October 28, 2017 and April 29, 2017,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230) Classification of Certain Cash Receipts and Cash Payments, </w:t>
      </w:r>
      <w:r>
        <w:rPr>
          <w:rFonts w:ascii="Arial" w:cs="Arial" w:eastAsia="Arial" w:hAnsi="Arial"/>
          <w:sz w:val="18"/>
          <w:szCs w:val="18"/>
          <w:color w:val="auto"/>
        </w:rPr>
        <w:t>which reduces the diversity in practice in how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presented and classified in the statement of cash flows. We early adopted ASU 2016-15 during the second quarter of fiscal 2018. Adoption of ASU 2016-15 did not have a material impact on our current period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requires that the statements of cash flows explain the change during the period in the total of cash, cash equivalents, and restricted cash. Accordingly, restricted cash will be included with cash and cash equivalents when reconciling the beginning-of-period and end-of-period total amounts presented on the statements of cash flows. We early-adopted ASU 2016-18 during the second quarter of fiscal 2018 and applied its provisions retrospectively. Other than the change in presentation within the statements of cash flows, the adoption of ASU 2016-18 did not have an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Early adoption is permitted for interim or annual goodwill impairment tests performed on testing dates after January 1, 2017. We are currently evaluating the effect that adopting ASU 2017-04 will have on our consolidated results of operations, cash flows, and financial position.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is intended to improve the accounting for the income tax consequences of intra-entity transfers of assets other than inventory. Current U.S. GAAP prohibits the recognition of current and deferred income taxes for an intra-entity asset transfer until the asset has been sold to an outside party, which is an exception to the principle of comprehensive recognition of current and deferred income taxes in U.S. GAAP. This update eliminates the exception by requiring entities to recognize the income tax consequences of an intra-entity transfer of an asset other than inventory when the transfer occurs. ASU 2016-16 is effective for interim and annual periods beginning after December 15, 2017, with early adoption permitted. We are currently evaluating the effect that adopting ASU 2016-16 will have on our consolidated financial statements and related disclosures.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We are currently evaluating the effect that adopting ASU 2016-13 will have on our consolidated financial statements and related disclosures.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ASU 2016-02 requires lessors to account for leases using an approach that is substantially equivalent to existing guidance for sales-type leases, direct financing leases and operating leases. ASU 2016-02 is effective for interim and annual periods beginning after December 15, 2018, with early adoption permitted. We are currently evaluating the effect that adopting ASU 2016-02 will have on our consolidated results of operations, cash flows, and financial position.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2016-12, and 2016-20 to clarify guidance with respect to principal versus agent considerations and the identification of performance obligations and licensing, to issue guidance on certain narrow areas, and to add practical expedients. We will adopt ASU 2014-09 and related guidance during the first quarter of fiscal 2019. We have commenced a process to evaluate the impact of ASU 2014-09 on our contracts, including identifying potential differences that would result from applying the requirements of ASU 2014-09. In fiscal 2017, we made progress in reviewing our various types of revenue arrangements, and completed our preliminary assessment of all performance obligations. We have drafted accounting policies and are evaluating the disclosure requirements of ASU 2014-09 on our business processes, controls and systems. We plan to finalize our assessment during the fourth quarter of fiscal 2018 and provide training to those impacted in the organization. As a result of the review performed to date, we do not anticipate that the adoption will significantly change the timing or amount of revenue recognized, based upon our current assessment of ‘point in time’ and ‘over time’ revenue recognition. Therefore, we do not anticipate that the adoption of ASU 2014-09 will materially impact our consolidated results of operations and financial statements, other than the additional disclosure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six months ended October 28, 2017 and October 29,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28, 2017</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44,679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29, 2016</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44,098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28, 2017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44,696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29, 2016</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44,051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44,168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1,303 shares of common stock with a weighted average exercise price of $13.08 for the three months ended October 28, 2017 and 2,162 shares of common stock with a weighted average exercise price of $14.56 for the three months ended October 29, 2016 were not included in the computation of diluted (loss)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1,312 shares of common stock with a weighted average exercise price of $13.08 for the six months ended October 28, 2017 and 2,655 shares of common stock with a weighted average exercise price of $13.41 for the six months ended October 29, 2016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Share Repurchase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first and second quarter of fiscal 2018, we had no repurchases of shares of our outstanding common stock. During the first quarter of fiscal 2017, we repurchased 284 shares of common stock at a total cost of $1,825, and there were no other purchases during fiscal 2017. As of October 28, 2017, we had $38,175 of remaining capacity under our current share repurchase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segment reporting presents results through gross profit less selling costs. Gross profit is net sales less cost of goods sold. Cost of goods sold consists primarily of inventory, consumables, salaries, other employee-related costs, facilities-related costs for manufacturing locations, machinery and equipment maintenance and depreciation, site sub-contractors, warranty costs, and other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demos, and supplies.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of our Annual Report on Form 10-K for the fiscal year ended April 29, 2017. Unabsorbed manufacturing costs are allocated to the business unit benefiting most from that manufacturing location's production capabilities.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29,</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34,377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68,653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55,363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146,265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56,324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16,476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169,309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169,992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342,037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16,255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33,309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23,801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6,181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42,604</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44,308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87,250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83,375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Selling expense: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15,350</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30,289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31,150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8,948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20,648</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9,455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7,132</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15,561</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269,592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October 28,</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29,</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62,425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4,324</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66,749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October 28, 2017,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28, 2017 and April 29, 2017,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28, 2017</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6,667</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5,732</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21,818</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2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12,260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7,574</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32,721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six months ended October 28, 2017 and October 29, 2016, the reclassifications from accumulated other comprehensive loss to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October 28,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5,633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6,631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9,918</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11,869</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21,787</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contingent liability related to a prior year acquisition of ADFLOW Networks, Inc. ("ADFLOW"), on March 15, 2016. For more information related to the ADFLOW acquisition, see "Note 4. Business Combinations" of our Annual Report on Form 10-K for the fiscal year ended April 29, 2017. The fair value of such contingent consideration is estimated as of the acquisition date, and subsequently at the end of each reporting period, using forecasted cash flows. Projecting future cash flows requires us to make significant estimates and assumptions regarding future events, conditions, or revenues being achieved under the subject contingent agreement as well as the appropriate discount rate. Such valuation techniques include one or more significant inputs that are not observable. "See Note 13. Fair Value Measurement"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Sale of Non-Digital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2017,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goods sold in the International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six months ended October 28,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28,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8,190</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complete this annual analysis during our third quarter of each fiscal year, based on the goodwill amount as of the first business day of our third fiscal quarter. The result of our analysis indicated no goodwill impairment existed as of October 30, 2016, which was the first business day of our third quarter of fiscal 2017. We are currently in the process of completing this annual analysis based on the goodwill amount as of the first business day of our third quarter of fiscal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9. Inventories</w:t>
            </w: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32,899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70,436</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$2,529 and $2,610 at October 28, 2017 and April 29, 2017, respectively. Included in accounts receivable as of October 28, 2017 and April 29, 2017 was $1,454 and $1,857, respectively, of retainage on construction-type contracts, all of which is expected to be collected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twelve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$4,172 and $4,890 as of October 28, 2017 and April 29, 2017, respectively. Contract and lease receivables bearing annual interest rates of 4.8 to 10.0 percent are due in varying annual installments through 2024. The face amount of long-term receivables was $4,213 and $5,201 as of October 28, 2017 and April 29,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28, 2017 and April 29, 2017, we did not believe there was a reasonable probability that any material loss for these various claims or legal actions, including reviews, inspections or other legal proceedings, if any, would be incurred. Accordingly, no material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contractual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OOH applications built prior to fiscal 2013. The device failure causes a visual defect in the display. Over the past three years, we have deployed preventative maintenance to sites impacted and repaired the defective devices in our repair center. When certain site locations have exceeded an acceptable failure rate, we have refurbished the display to meet customers’ expectations under contractual obligations. During fiscal 2017, 2016, and 2015 we recognized warranty expense for probable and reasonably estimated costs to remediate this issue of $1,766, $9,174, and $1,168, respectively. We recognized warranty expense related to this issue of $3,439 during the six months ended October 28, 2017. This increased expense level is not the result of a new issue, but is primarily based on our decision to preserve our market leadership. We elected to expand the refurbishments for customer relationship purposes. As of October 28, 2017, we had $4,380 remaining in accrued warranty obligations for the estimate of probable future claims related to this issue. Although many of our contractual warranty arrangements are nearing expiration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six months ended October 28,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27,899</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6,958</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4,543</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31,140</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October 28, 2017, we had outstanding letters of credit and surety bonds in the amount of $8,841 and $10,333,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$1,715 and $1,614 for the six months ended October 28, 2017 and October 29, 2016,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October 28,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October 28, 2017, we were obligated under the following conditional and unconditional purchase commitments, which included $350 in conditional purchase commitments: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Due to various factors and operating in multiple state and foreign jurisdictions, our effective tax rate is subject to fluctuation. As a result of the completion of examinations by the Internal Revenue Service on prior years and the expiration of statutes of limitations, our fiscal years 2014, 2015, and 2016 are the remaining years open under statutes of limitations. Certain subsidiaries are also subject to income tax in several foreign jurisdictions which have open tax years varying by jurisdiction beginning in fiscal 2007.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28, 2017, we had $3,306 of unrecognized tax benefits which would reduce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October 28, 2017 and April 29, 2017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28, 2017</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39,699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39,726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21,594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60,334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32,623</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33,239</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32,100</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4"/>
              </w:rPr>
              <w:t>A roll forward of the Level 3 contingent liability, both short- and long-term, for the six months ended October 28, 2017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29, 2017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October 28, 2017</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14. Derivative Financial Instruments" for more information regarding our derivatives.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the fair value of a liability measured on expected future payments relating to a business acquisition if future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measures are achieved. The contingent liability was calculated by estimating the discounted present value of expected future payments for estimated performance measure attainment. To estimate future performance measure attainment, we utilized significant unobservable inputs as of October 28, 2017 and April 29, 2017. The unobservable inputs included management expectations and forecasts for business performance and an estimated discount rate based on current borrowing interest rates. To the extent that these assumptions changed or actual results differed from these estimates, the fair value of the contingent consideration liabilities could change. The contingent liability is presented in other long-term obligations in our consolidated balance sheets.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plant and equipment are measured at fair value on a nonrecurring basis and are subject to fair value adjustments in certain circumstances, such as when there is evidence of impairment.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Some of our financial instruments, such as accounts receivable, long-term receivables, prepaid expense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costs and earnings in excess of billings and billings in excess of costs, accounts payable, warranty obligations, customer deposits, deferred revenue, and other long-term obligations, are reflected in the balance sheet at carrying value, which approximates fair value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October 28, 2017 and April 29, 2017,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October 28, 2017 and April 29, 2017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October 28, 2017</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29, 2017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28, 2017, there was an asset and liability of $76 and $269, respectively, and as of April 29, 2017, there was an asset and liability of $64 and $277, respectively, representing the fair value of foreign currency exchange forward contracts, which were determined using Level 2 inputs from a third-party bank.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30, 2017, our Board of Directors declared a regular quarterly dividend of $0.07 per share on our common stock payable on December 21, 2017 to holders of record of our common stock on December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29, 2017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This discussion should be read in conjunction with the accompanying Consolidated Financial Statements and Notes to the Consolidated Financial Statements included in this Report.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4. Segment Disclosure" of the Notes to the Consolidated Financial Statements included elsewhere in this Report.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several displays, controllers, and subcontracted structure builds, each of which can occur on varied schedules per the customer's needs. Net sales and gross profit percentages also have fluctuated due to other seasonal factors, including the impact of holidays, which primarily affects our third fiscal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backlog consists of contractually binding sales agreements or purchase orders we expect to fill within the next 24 months. Orders, which we define as a receipt of an executed contract and any required deposits, are booked and included in backlog.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 Because order backlog may be subject to extended delivery schedules, orders may be canceled, and orders have varied estimated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profitability, our backlog is not necessarily indicative of future net sales or net income. Backlog can fluctuate due to large order booking timing and seasonality. Backlog is not a measure defined by GAAP, and our methodology for determining backlog may vary from the methodology used by other companies in determining their backlog amounts.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dollar revenue potential also attract competition, which generally reduces profitability.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4. Segment Disclosure" of the Notes to the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OCTOBER 28, 2017 AND OCTOBER 29,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68,653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55,363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13,290</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16,101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29,898</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169,309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169,992</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39,134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36,663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15,764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11,771</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October 28, 2017 compared to the same period one year ago was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 volumes in the on-premise niche and the timing of delivery of large projects in the spectacular niche, which were partially offset by an increase in the billboard niche shipment activity due to timing of customer demand.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orders for the three months ended October 28, 2017 compared to the same period one year ago was the net result of a large account-based order in the billboard niche, which was offset by decreases in the on-premise and spectacular niches due to a number of factors, including competitive market pricing, a delay of national account-based opportunities during the three months ended October 28, 2017 as compared to the same period last year, the natural volatility of large project timing, and limited sales coverages in certain geographies due to employee turnover.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the three months ended October 28, 2017 compared to the same period one year ago was primarily due to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the timing of the demand for upgraded or new solutions for arenas, professional sports, and colleges and universities.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October 28, 2017 compared to the same period one year ago due to an increased number of projects in professional baseball sport arenas.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The increase in net sales for the three months ended October 28, 2017 compared to the same period one year ago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shipments of scoring systems and message centers as a result of increased market activity and timing of customer demand.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Orders decreased for the three months ended October 28, 2017 compared to the same period one year ago due to variability in order timing.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October 28, 2017 compared to the same period one year ago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October 28, 2017 compared to the same period one year ago decreased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October 28, 2017 compared to the same period one year ago decreased primarily due to lower volume of</w:t>
      </w:r>
      <w:r>
        <w:rPr>
          <w:rFonts w:ascii="Arial" w:cs="Arial" w:eastAsia="Arial" w:hAnsi="Arial"/>
          <w:sz w:val="18"/>
          <w:szCs w:val="18"/>
          <w:i w:val="1"/>
          <w:iCs w:val="1"/>
          <w:color w:val="auto"/>
        </w:rPr>
        <w:t xml:space="preserve"> </w:t>
      </w:r>
      <w:r>
        <w:rPr>
          <w:rFonts w:ascii="Arial" w:cs="Arial" w:eastAsia="Arial" w:hAnsi="Arial"/>
          <w:sz w:val="18"/>
          <w:szCs w:val="18"/>
          <w:color w:val="auto"/>
        </w:rPr>
        <w:t>orders in the prior-year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increased for the three months ended October 28, 2017 compared to the same period one year ago primarily due to the volatility of large order timing.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October 28, 2017 was $155 million as compared to $142 million as of October 29, 2016 and $184 million at the end of the first quarter of fiscal 2018. Historically, our backlog varies due to the seasonality of our business, the timing of large projects, and customer delivery schedules for these orders. The backlog as of October 28, 2017 increased from October 29, 2016 in our Transportation and International business units and decreased in our Commercial, Live Events and High School Park and Recreation business units.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28, 2017</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15.3%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26.4%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16,255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23.7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11,625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35.6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32.2</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37.5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36.0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23.7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42,604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25.2%</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44,308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26.1%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goods sold. Cost of goods sold consists primarily of inventory, consumables, salaries, other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gross profit percentage for the three months ended October 28, 2017 compared to the same period one year ago was primarily due to lower sales volumes and additional warranty charges. The following describes the overall impact by business unit: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decreased for the three months ended October 28, 2017 compared to the same period one year ago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warranty expenses and lower sales volumes.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three months ended October 28, 2017 compared to the same period one year ago was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volume of sales, improved productivity and lower warranty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increase for the three months ended October 28, 2017 as compared to the same period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ago was primarily due to improved productivity as higher sales volumes were achieved on similar costs and improved contract margins.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October 28, 2017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lower warranty expenses, which were partially offset by lower margins due to increased competition.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three months ended October 28, 2017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sales volumes over a relatively fixed cost structure and higher warranty expenses offset by the sale of our non-digital division assets for a gain of $1.2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28, 2017</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3,401</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3,435</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15,891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Selling expense in our Commercial business unit for the second quarter of fiscal 2018 remained relatively flat compared to the same quarter a year ago.</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Live Events business unit increased in the second quarter of fiscal 2018 compared to the same quarter a year ago due to increases in marketing/advertising expenses and personnel expenses. Selling expense in our High School Park and Recreation business unit increased in the second quarter of fiscal 2018 compared to the same quarter a year ago due to increases in personnel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expense in our Transportation business unit decreased in the second quarter of fiscal 2018 compared to the same quarter a year ago due to lower bad debt and marketing expenses. Selling expense in our International business unit declined in the second quarter of fiscal 2018 compared to the same quarter a year ago due to lower bad debt expense and third-party commissions and a $0.2 million intangible asset impairment that had been incurred in the second quarter of fiscal 2017 that was not incurred in the second quarter of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October 28, 2017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8,948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7,126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 and administrative expenses in the second quarter of fiscal 2018 increased as compared to the same period one year ago primarily due to increases in personnel expenses and information technology software and hardware expenses, which were partially offset by a decrease in professional fees.</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varied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expenses in the second quarter of fiscal 2018 increased as compared to the same period one year ago primarily due to increased labor costs and professional services assigned to product development projects relating to our strategy to accelerate the deployment of products and solutions to our markets. To deliver value to our customers and serve the markets' expectations, we plan to increase the level of expenditures for new or enhanced customer solutions as compared to prior years throughout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0"/>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28, 2017</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second quarter of fiscal 2018 compared to the same period one year ago remained relatively flat.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second quarter of fiscal 2018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24.6 percent for the second quarter of fiscal 2018 as compared to an effective tax rate of 30.1 percent for the second quarter of fiscal 2017. The primary factors impacting our effective rate were an increase in our expected research and development tax credit during fiscal 2018 due to an increase in activity within product development as compared to fiscal 2017 and the reversal of a portion of a foreign valuation allowance to offset the non-digital asset sale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OCTOBER 28, 2017 AND OCTOBER 29,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October 29,</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146,265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115,996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30,269</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56,324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35,388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30,387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5,001</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342,037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327,138</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14,899</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69,071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81,731</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46,917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46,877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50,504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52,835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292,042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the six months ended October 28, 2017 compared to the same period one year ago decreased as a result of lower order volumes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on-premise niche and the timing of delivery of large projects in the spectacular niche.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orders for the six months ended October 28, 2017 compared to the same period one year ago was the net result of an increase in large account-based billboard niche orders, which was offset by decreases in the on-premise and spectacular niches due to a number of factors including competitive market pricing, a delay of national account-based opportunities during the six months ended October 28, 2017 as compared to the same period last year, the natural volatility of large project timing, and limited sales coverages in certain geographies due to employee turnover.</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the six months ended October 28, 2017 compared to the same period one year ago was primarily due to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the timing of the demand for upgraded or new solutions for arenas, professional sports, and colleges and universities.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six months ended October 28, 2017 compared to the same period one year ago due to an increased number of projects in college and university venues and professional sport arenas.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six months ended October 28, 2017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timing of shipments of scoring systems and message centers on similar order demand.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six months ended October 28, 2017 compared to the same period one year ago remained relatively flat.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six months ended October 28, 2017 compared to the same period one year ago was related to the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large order production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six months ended October 28, 2017 compared to the same period one year ago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decreased in our International business unit for the six months ended October 28, 2017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lower volume of orders.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decreased for the six months ended October 28, 2017 compared to the same period one year ago primarily due to the volatility of large order timing.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28, 2017</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20.1%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25.9%</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33,309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23,801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20.5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36.0</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33.2</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13,126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37.1</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10,641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35.0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18.2</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21.8</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87,250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25.5%</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83,375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25.5%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goods sold. Cost of goods sold consists primarily of inventory, consumables, salaries, other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six months ended October 28, 2017 compared to the same period one year ago was the net result of the changes described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six months ended October 28, 2017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higher warranty expenses and lower sales volumes.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six months ended October 28, 2017 compared to the same period one year ago was the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volume of sales, improved performance on large projects as compared to original estimates and improved productivity.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increase for the six months ended October 28, 2017 as compared to the same period one year ago</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was due to improved productivity to achieve higher sales volumes on similar costs and improved contract margins.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six months ended October 28, 2017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increased volume of sales, improved productivity, and lower warranty expenses, which were partially offset by lower margins due to increased competition.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six months ended October 28, 2017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sales volumes over a relatively fixed cost structure and higher warranty expenses, which were offset by the $1.2 million gain from the sale of our non-digital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500"/>
              <w:spacing w:after="0"/>
              <w:rPr>
                <w:sz w:val="20"/>
                <w:szCs w:val="20"/>
                <w:color w:val="auto"/>
              </w:rPr>
            </w:pPr>
            <w:r>
              <w:rPr>
                <w:rFonts w:ascii="Arial" w:cs="Arial" w:eastAsia="Arial" w:hAnsi="Arial"/>
                <w:sz w:val="18"/>
                <w:szCs w:val="18"/>
                <w:b w:val="1"/>
                <w:bCs w:val="1"/>
                <w:color w:val="auto"/>
              </w:rPr>
              <w:t>October 28, 2017</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Net Sales</w:t>
            </w: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6,719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5,347</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2,509</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30,289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Commercial business unit remained relatively flat in the six months ended October 28, 2017 compared to the same period one year ago.</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expense in our Live Events business unit increased in the six months ended October 28, 2017 compared to the same period one year ago primarily due to increased marketing/advertising expenses and personnel expenses. Selling expense in our High School Park and Recreation business unit increased in the six months ended October 28, 2017 compared to the same period one year ago due to increases in personnel expenses.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expense in our Transportation business unit decreased in the six months ended October 28, 2017 compared to the same period one year ago primarily due to lower bad debt expense. Selling expense in our International business unit declined in the six months ended October 28, 2017 compared to the same period one year ago due to lower bad debt expense and third-party commissions and a $0.2 million intangible asset impairment that had been incurred in the first six months of fiscal 2017 that was not incurred in the first six months of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28, 2017</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17,995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in the six months ended October 28, 2017 increased as compared to the same period one year ago primarily due to increases in personnel expenses and information technology software and hardware expenses, which were partially offset by a decrease in professional fees.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varied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expenses in the six months ended October 28, 2017 as compared to the same period one year ago increased primarily due to increased labor costs and professional services assigned to product development projects relating to our strategy to accelerate the deployment of products and solutions to our markets. To deliver value to our customers and serve the markets' expectations, we plan to increase the level of expenditures for new or enhanced customer solutions as compared to prior years throughout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28, 2017</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29,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100" w:type="dxa"/>
            <w:vAlign w:val="bottom"/>
          </w:tcPr>
          <w:p>
            <w:pPr>
              <w:spacing w:after="0"/>
              <w:rPr>
                <w:sz w:val="22"/>
                <w:szCs w:val="22"/>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32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six months ended October 28, 2017 compared to the same period one year ago decreased as a result of lower long-term receivables which bear imputed interest rates.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The change in other income and expense, net for the six months ended October 28, 2017 compared to the same period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ago was primarily due to foreign currency volatility, the losses recorded from an equity method affiliate, and an income tax penalty incurred on a late filing.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27.5 percent for the six months ended October 28, 2017 as compared to an effective tax rate of 30.5 percent for the six months ended October 29, 2016. The primary factors impacting our effective rate were an increase in our expected research and development tax credit during fiscal 2018 due to an increase in activity within product development as compared to fiscal 2017 and the reversal of a portion of a foreign valuation allowance to offset the non-digital asset sale gain.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Six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4,460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5,725</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operating activities was $9.3 million for the first six months of fiscal 2018 compared to net cash provided by operating activities of $15.0 million in the first six months of fiscal 2017. Cash flow provided by operating activities fluctuated due to a rise in accounts receivable corresponding with the increase in net sales. The $5.7 million decrease in cash from operating activities from the first six months of fiscal 2017 to the first six months of fiscal 2018 was the net result of changes in net operating assets and liabilities of $3.4 million, a $1.3 million gain on the sale of our non-digital division, a $1.2 million decrease in depreciation, amortization and impairment, and a $1.0 million decrease in the provision for doubtful accounts, adjusted by an increase of $0.2 million in equity losses of an affiliate and a $1.0 million increase in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29,</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(29,851)</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5,101</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3,176</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5,670</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(15,496)</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fluctuations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provided by investing activities: </w:t>
      </w:r>
      <w:r>
        <w:rPr>
          <w:rFonts w:ascii="Arial" w:cs="Arial" w:eastAsia="Arial" w:hAnsi="Arial"/>
          <w:sz w:val="18"/>
          <w:szCs w:val="18"/>
          <w:color w:val="auto"/>
        </w:rPr>
        <w:t>Net cash provided by investing activities totaled $4.5 million in the first six months of fiscal 2018 compared to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six months of fiscal 2017. The change in the amount of cash provided by investing activities was the result of a net increase in marketable securities of $4.1 million in the first six months of fiscal 2018 as compared to the first six months of fiscal 2017. Purchases of property and equipment totaled $7.7 million in the first six months of fiscal 2018 compared to $4.6 million in the first six months of fiscal 2017. Proceeds from the sale of property, equipment and other assets totaled $2.0 million in the first six months of fiscal 2018 compared to $0.1 million in the first six months of fiscal 2017; this was mostly related to the sale of our non-digital division.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$7.0 million for the six months ended October 28, 2017 compared to $10.3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same period one year ago. Dividends of $6.2 million, or $0.14 per share, were paid to Daktronics shareholders during the first six months of fiscal 2018, as compared to dividends of $7.5 million, or $0.17 per share, paid to Daktronics shareholders during the first six months of fiscal 2017. In the first six months of fiscal 2017, we used $1.8 million to purchase our common shares as part of the $40.0 million share repurchase plan authorized by the Board of Directors, and there have been no purchases in the six months ended October 28, 2017.</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$6.7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October 28, 2017, which we expect to collect within one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Working capital was $144.2 million and $127.1 million at October 28, 2017 and April 29, 2017, respectively. The changes in working capital, particularly changes in accounts receivable, accounts payable, inventory, and costs in excess of billings and billings in excess of costs,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U.S. GAAP. The effective interest rate was 2.7 percent at October 28, 2017. We are assessed a loan fee equal to 0.125 percent per annum on any unused portion of the loan. As of October 28, 2017, there were no advances to us under the loan portion of the line of credit, and the balance of letters of credit outstanding was approximately $6.1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(with the exception of any U.S. bank approved special cash dividend), a capital expenditure reserve of $6 million, and income tax expenses paid in cash, but excluding cash used to repurchase any Daktronics, Inc. stock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$40.0 million. The interest rate is equal to LIBOR plus 1.5 percent. We are assessed a fixed loan fee of $5 thousand per quarter. As of October 28, 2017, there were no advances outstanding under the loan agreement and approximately $2.8 million in bank guarantees under this line of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28, 2017, we were in compliance with all applicable bank loan covenants.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and/or paid since the prior fiscal year end of April 29,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20" w:type="dxa"/>
            <w:vAlign w:val="bottom"/>
          </w:tcPr>
          <w:p>
            <w:pPr>
              <w:ind w:left="24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June 13, 2017</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23, 2017</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August 31, 2017</w:t>
            </w:r>
          </w:p>
        </w:tc>
        <w:tc>
          <w:tcPr>
            <w:tcW w:w="1920" w:type="dxa"/>
            <w:vAlign w:val="bottom"/>
          </w:tcPr>
          <w:p>
            <w:pPr>
              <w:ind w:left="240"/>
              <w:spacing w:after="0"/>
              <w:rPr>
                <w:sz w:val="20"/>
                <w:szCs w:val="20"/>
                <w:color w:val="auto"/>
              </w:rPr>
            </w:pPr>
            <w:r>
              <w:rPr>
                <w:rFonts w:ascii="Arial" w:cs="Arial" w:eastAsia="Arial" w:hAnsi="Arial"/>
                <w:sz w:val="18"/>
                <w:szCs w:val="18"/>
                <w:color w:val="auto"/>
              </w:rPr>
              <w:t>September 11, 2017</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22, 2017</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30, 2017</w:t>
            </w:r>
          </w:p>
        </w:tc>
        <w:tc>
          <w:tcPr>
            <w:tcW w:w="1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11, 2017</w:t>
            </w:r>
          </w:p>
        </w:tc>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21, 2017</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7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October 28, 2017, we had $10.3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$25 million for fiscal 2018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October 28, 2017, most of our net sales were denominated in U.S. dollars, and our exposure to foreign currency exchange rate changes on net sales had not been significant. For the six months ended October 28, 2017, net sales originating outside the United States were 12.9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total net sales and, consequently, a greater portion of our business could be denominated in foreign currencies. In addition, we may fund our foreign subsidiaries’ operating cash needs in the form of loans denominated in U.S. dollars.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contracts with customers denominated in a foreign currency. The notional amount of these derivatives is $7.7 million, and all contracts mature within nine months. These contracts are marked to market each balance sheet date and are not designated as hedges. See "Note 14. Derivative Financial Instruments" of the Notes to the Consolidated Financial Statements included elsewhere in this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October 28, 2017, our outstanding marketing obligations were $0.5 million, all of which were in fixed rate obligations.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October 28, 2017, our outstanding long-term receivables were $4.2 million. Each 25 basis point increase in interest rates would have an associated immaterial annual opportunity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34290</wp:posOffset>
            </wp:positionV>
            <wp:extent cx="375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 our $39.7 million in cash balances at October 28, 2017, $28.8 million were denominated in U.S. dollars of which $3.8 million is held by our foreign subsidiaries. We have an additional $10.9 million in cash balances denominated in foreign currencies of which $10.3 million are maintained in accounts of our foreign subsidiaries. A portion of the cash held in foreign accounts is used to collateralize outstanding bank guarantees issued by our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our key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28, 2017, which is the end of the period covered by this Report. Based upon that evaluation, the Chief Executive Officer and Chief Financial Officer concluded that as of October 28, 2017,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28, 2017,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29, 2017.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28, 2017,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December 1,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6"/>
            <w:szCs w:val="16"/>
            <w:u w:val="single" w:color="auto"/>
            <w:color w:val="0000FF"/>
          </w:rPr>
          <w:t>Amended and Restated Articles of Incorporation of the Company (Incorporated by reference to Exhibit 3.1 filed with our Quarterly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10-Q on August 30, 2013).</w:t>
        </w:r>
      </w:hyperlink>
    </w:p>
    <w:p>
      <w:pPr>
        <w:spacing w:after="0" w:line="4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Exhibit 10.1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to Exhibit 10.6 filed with our Annual Report on Form 10-K filed on June 9, 2017).</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Schedule 14A filed on July 14,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r:id="rId27">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7">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8-K on September 3, 2015).</w:t>
        </w:r>
      </w:hyperlink>
    </w:p>
    <w:p>
      <w:pPr>
        <w:spacing w:after="0" w:line="49" w:lineRule="exact"/>
        <w:rPr>
          <w:sz w:val="20"/>
          <w:szCs w:val="20"/>
          <w:color w:val="auto"/>
        </w:rPr>
      </w:pPr>
    </w:p>
    <w:p>
      <w:pPr>
        <w:ind w:left="720" w:right="22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our Current 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160" w:hanging="688"/>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8">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w:anchor="page4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0">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6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40" w:hanging="685"/>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October 28, 2017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28,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12/1/2017</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28,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12/1/2017</w:t>
      </w:r>
    </w:p>
    <w:p>
      <w:pPr>
        <w:sectPr>
          <w:pgSz w:w="11900" w:h="16838" w:orient="portrait"/>
          <w:cols w:equalWidth="0" w:num="1">
            <w:col w:w="11420"/>
          </w:cols>
          <w:pgMar w:left="240" w:top="58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28, 2017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12/1/2017</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28, 2017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12/1/2017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5" Type="http://schemas.openxmlformats.org/officeDocument/2006/relationships/hyperlink" Target="http://www.sec.gov/Archives/edgar/data/915779/000091577913000093/dakt-20130427_ex31xaoi.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6000233/dakt_20161115xex101.htm" TargetMode="External"/><Relationship Id="rId19" Type="http://schemas.openxmlformats.org/officeDocument/2006/relationships/hyperlink" Target="http://www.sec.gov/Archives/edgar/data/915779/000091577916000233/dakt_20161115xex102.htm" TargetMode="External"/><Relationship Id="rId21" Type="http://schemas.openxmlformats.org/officeDocument/2006/relationships/hyperlink" Target="http://www.sec.gov/Archives/edgar/data/915779/000091577916000233/dakt_20161115xex103.htm" TargetMode="External"/><Relationship Id="rId22" Type="http://schemas.openxmlformats.org/officeDocument/2006/relationships/hyperlink" Target="http://www.sec.gov/Archives/edgar/data/915779/000091577916000233/dakt_20161115xex104.htm" TargetMode="External"/><Relationship Id="rId24" Type="http://schemas.openxmlformats.org/officeDocument/2006/relationships/hyperlink" Target="http://www.sec.gov/Archives/edgar/data/915779/000091577917000027/dakt_ex106x10-kx2017.htm" TargetMode="External"/><Relationship Id="rId25" Type="http://schemas.openxmlformats.org/officeDocument/2006/relationships/hyperlink" Target="http://www.sec.gov/Archives/edgar/data/915779/000091577915000046/dakt-20150501_defx14a.htm#s4b4ce7db85924a1dba35b799a722a4cd" TargetMode="External"/><Relationship Id="rId27"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30"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2019-12-29T02:29:50Z</dcterms:created>
  <dcterms:modified xsi:type="dcterms:W3CDTF">2019-12-29T02:29:50Z</dcterms:modified>
</cp:coreProperties>
</file>