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8" w:lineRule="exact"/>
        <w:rPr>
          <w:sz w:val="24"/>
          <w:szCs w:val="24"/>
          <w:color w:val="auto"/>
        </w:rPr>
      </w:pPr>
    </w:p>
    <w:p>
      <w:pPr>
        <w:ind w:left="4260" w:right="3060" w:hanging="4260"/>
        <w:spacing w:after="0" w:line="281" w:lineRule="auto"/>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 EXCHANGE ACT OF 1934</w:t>
      </w:r>
      <w:r>
        <w:rPr>
          <w:rFonts w:ascii="Arial" w:cs="Arial" w:eastAsia="Arial" w:hAnsi="Arial"/>
          <w:sz w:val="16"/>
          <w:szCs w:val="16"/>
          <w:color w:val="auto"/>
        </w:rPr>
        <w:t xml:space="preserve"> For the quarterly period ended July 28, 2018</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9" w:lineRule="exact"/>
        <w:rPr>
          <w:sz w:val="24"/>
          <w:szCs w:val="24"/>
          <w:color w:val="auto"/>
        </w:rPr>
      </w:pPr>
    </w:p>
    <w:p>
      <w:pPr>
        <w:jc w:val="center"/>
        <w:ind w:right="304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TRANSITION REPORT PURSUANT TO SECTION 13 OR 15(d) OF THE SECURITIES 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transition period from ___ to 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120650</wp:posOffset>
            </wp:positionV>
            <wp:extent cx="1097915"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tbl>
      <w:tblPr>
        <w:tblLayout w:type="fixed"/>
        <w:tblInd w:w="340" w:type="dxa"/>
        <w:tblCellMar>
          <w:top w:w="0" w:type="dxa"/>
          <w:left w:w="0" w:type="dxa"/>
          <w:bottom w:w="0" w:type="dxa"/>
          <w:right w:w="0" w:type="dxa"/>
        </w:tblCellMar>
      </w:tblPr>
      <w:tr>
        <w:trPr>
          <w:trHeight w:val="193"/>
        </w:trPr>
        <w:tc>
          <w:tcPr>
            <w:tcW w:w="4380" w:type="dxa"/>
            <w:vAlign w:val="bottom"/>
          </w:tcPr>
          <w:p>
            <w:pPr>
              <w:spacing w:after="0"/>
              <w:rPr>
                <w:sz w:val="16"/>
                <w:szCs w:val="16"/>
                <w:color w:val="auto"/>
              </w:rPr>
            </w:pPr>
          </w:p>
        </w:tc>
        <w:tc>
          <w:tcPr>
            <w:tcW w:w="6380" w:type="dxa"/>
            <w:vAlign w:val="bottom"/>
            <w:gridSpan w:val="3"/>
          </w:tcPr>
          <w:p>
            <w:pPr>
              <w:jc w:val="center"/>
              <w:ind w:right="4319"/>
              <w:spacing w:after="0"/>
              <w:rPr>
                <w:sz w:val="20"/>
                <w:szCs w:val="20"/>
                <w:color w:val="auto"/>
              </w:rPr>
            </w:pPr>
            <w:r>
              <w:rPr>
                <w:rFonts w:ascii="Arial" w:cs="Arial" w:eastAsia="Arial" w:hAnsi="Arial"/>
                <w:sz w:val="16"/>
                <w:szCs w:val="16"/>
                <w:b w:val="1"/>
                <w:bCs w:val="1"/>
                <w:color w:val="auto"/>
                <w:w w:val="92"/>
              </w:rPr>
              <w:t>Daktronics, Inc.</w:t>
            </w:r>
          </w:p>
        </w:tc>
      </w:tr>
      <w:tr>
        <w:trPr>
          <w:trHeight w:val="206"/>
        </w:trPr>
        <w:tc>
          <w:tcPr>
            <w:tcW w:w="10760" w:type="dxa"/>
            <w:vAlign w:val="bottom"/>
            <w:gridSpan w:val="4"/>
          </w:tcPr>
          <w:p>
            <w:pPr>
              <w:jc w:val="center"/>
              <w:spacing w:after="0"/>
              <w:rPr>
                <w:sz w:val="20"/>
                <w:szCs w:val="20"/>
                <w:color w:val="auto"/>
              </w:rPr>
            </w:pPr>
            <w:r>
              <w:rPr>
                <w:rFonts w:ascii="Arial" w:cs="Arial" w:eastAsia="Arial" w:hAnsi="Arial"/>
                <w:sz w:val="16"/>
                <w:szCs w:val="16"/>
                <w:color w:val="auto"/>
                <w:w w:val="92"/>
              </w:rPr>
              <w:t>(Exact Name of Registrant as Specified in its Charter)</w:t>
            </w:r>
          </w:p>
        </w:tc>
      </w:tr>
      <w:tr>
        <w:trPr>
          <w:trHeight w:val="540"/>
        </w:trPr>
        <w:tc>
          <w:tcPr>
            <w:tcW w:w="4380" w:type="dxa"/>
            <w:vAlign w:val="bottom"/>
          </w:tcPr>
          <w:p>
            <w:pPr>
              <w:jc w:val="center"/>
              <w:ind w:left="799"/>
              <w:spacing w:after="0"/>
              <w:rPr>
                <w:sz w:val="20"/>
                <w:szCs w:val="20"/>
                <w:color w:val="auto"/>
              </w:rPr>
            </w:pPr>
            <w:r>
              <w:rPr>
                <w:rFonts w:ascii="Arial" w:cs="Arial" w:eastAsia="Arial" w:hAnsi="Arial"/>
                <w:sz w:val="16"/>
                <w:szCs w:val="16"/>
                <w:b w:val="1"/>
                <w:bCs w:val="1"/>
                <w:color w:val="auto"/>
                <w:w w:val="91"/>
              </w:rPr>
              <w:t>South Dakota</w:t>
            </w:r>
          </w:p>
        </w:tc>
        <w:tc>
          <w:tcPr>
            <w:tcW w:w="6380" w:type="dxa"/>
            <w:vAlign w:val="bottom"/>
            <w:gridSpan w:val="3"/>
          </w:tcPr>
          <w:p>
            <w:pPr>
              <w:jc w:val="right"/>
              <w:ind w:right="2159"/>
              <w:spacing w:after="0"/>
              <w:rPr>
                <w:sz w:val="20"/>
                <w:szCs w:val="20"/>
                <w:color w:val="auto"/>
              </w:rPr>
            </w:pPr>
            <w:r>
              <w:rPr>
                <w:rFonts w:ascii="Arial" w:cs="Arial" w:eastAsia="Arial" w:hAnsi="Arial"/>
                <w:sz w:val="16"/>
                <w:szCs w:val="16"/>
                <w:b w:val="1"/>
                <w:bCs w:val="1"/>
                <w:color w:val="auto"/>
              </w:rPr>
              <w:t>46-0306862</w:t>
            </w:r>
          </w:p>
        </w:tc>
      </w:tr>
      <w:tr>
        <w:trPr>
          <w:trHeight w:val="33"/>
        </w:trPr>
        <w:tc>
          <w:tcPr>
            <w:tcW w:w="4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13"/>
        </w:trPr>
        <w:tc>
          <w:tcPr>
            <w:tcW w:w="4380" w:type="dxa"/>
            <w:vAlign w:val="bottom"/>
          </w:tcPr>
          <w:p>
            <w:pPr>
              <w:jc w:val="center"/>
              <w:ind w:left="799"/>
              <w:spacing w:after="0"/>
              <w:rPr>
                <w:sz w:val="20"/>
                <w:szCs w:val="20"/>
                <w:color w:val="auto"/>
              </w:rPr>
            </w:pPr>
            <w:r>
              <w:rPr>
                <w:rFonts w:ascii="Arial" w:cs="Arial" w:eastAsia="Arial" w:hAnsi="Arial"/>
                <w:sz w:val="16"/>
                <w:szCs w:val="16"/>
                <w:color w:val="auto"/>
                <w:w w:val="93"/>
              </w:rPr>
              <w:t>(State or Other Jurisdiction of</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No.)</w:t>
            </w:r>
          </w:p>
        </w:tc>
      </w:tr>
      <w:tr>
        <w:trPr>
          <w:trHeight w:val="206"/>
        </w:trPr>
        <w:tc>
          <w:tcPr>
            <w:tcW w:w="4380" w:type="dxa"/>
            <w:vAlign w:val="bottom"/>
          </w:tcPr>
          <w:p>
            <w:pPr>
              <w:jc w:val="center"/>
              <w:ind w:left="819"/>
              <w:spacing w:after="0"/>
              <w:rPr>
                <w:sz w:val="20"/>
                <w:szCs w:val="20"/>
                <w:color w:val="auto"/>
              </w:rPr>
            </w:pPr>
            <w:r>
              <w:rPr>
                <w:rFonts w:ascii="Arial" w:cs="Arial" w:eastAsia="Arial" w:hAnsi="Arial"/>
                <w:sz w:val="16"/>
                <w:szCs w:val="16"/>
                <w:color w:val="auto"/>
                <w:w w:val="94"/>
              </w:rPr>
              <w:t>Incorporation or Organization)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505"/>
        </w:trPr>
        <w:tc>
          <w:tcPr>
            <w:tcW w:w="4380" w:type="dxa"/>
            <w:vAlign w:val="bottom"/>
          </w:tcPr>
          <w:p>
            <w:pPr>
              <w:jc w:val="center"/>
              <w:ind w:left="799"/>
              <w:spacing w:after="0"/>
              <w:rPr>
                <w:sz w:val="20"/>
                <w:szCs w:val="20"/>
                <w:color w:val="auto"/>
              </w:rPr>
            </w:pPr>
            <w:r>
              <w:rPr>
                <w:rFonts w:ascii="Arial" w:cs="Arial" w:eastAsia="Arial" w:hAnsi="Arial"/>
                <w:sz w:val="16"/>
                <w:szCs w:val="16"/>
                <w:b w:val="1"/>
                <w:bCs w:val="1"/>
                <w:color w:val="auto"/>
                <w:w w:val="92"/>
              </w:rPr>
              <w:t>201 Daktronics Drive</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210"/>
        </w:trPr>
        <w:tc>
          <w:tcPr>
            <w:tcW w:w="4380" w:type="dxa"/>
            <w:vAlign w:val="bottom"/>
          </w:tcPr>
          <w:p>
            <w:pPr>
              <w:jc w:val="center"/>
              <w:ind w:left="819"/>
              <w:spacing w:after="0"/>
              <w:rPr>
                <w:sz w:val="20"/>
                <w:szCs w:val="20"/>
                <w:color w:val="auto"/>
              </w:rPr>
            </w:pPr>
            <w:r>
              <w:rPr>
                <w:rFonts w:ascii="Arial" w:cs="Arial" w:eastAsia="Arial" w:hAnsi="Arial"/>
                <w:sz w:val="16"/>
                <w:szCs w:val="16"/>
                <w:b w:val="1"/>
                <w:bCs w:val="1"/>
                <w:color w:val="auto"/>
                <w:w w:val="90"/>
              </w:rPr>
              <w:t>Brookings, SD</w:t>
            </w:r>
          </w:p>
        </w:tc>
        <w:tc>
          <w:tcPr>
            <w:tcW w:w="6380" w:type="dxa"/>
            <w:vAlign w:val="bottom"/>
            <w:gridSpan w:val="3"/>
          </w:tcPr>
          <w:p>
            <w:pPr>
              <w:jc w:val="right"/>
              <w:ind w:right="2359"/>
              <w:spacing w:after="0"/>
              <w:rPr>
                <w:sz w:val="20"/>
                <w:szCs w:val="20"/>
                <w:color w:val="auto"/>
              </w:rPr>
            </w:pPr>
            <w:r>
              <w:rPr>
                <w:rFonts w:ascii="Arial" w:cs="Arial" w:eastAsia="Arial" w:hAnsi="Arial"/>
                <w:sz w:val="16"/>
                <w:szCs w:val="16"/>
                <w:b w:val="1"/>
                <w:bCs w:val="1"/>
                <w:color w:val="auto"/>
              </w:rPr>
              <w:t>57006</w:t>
            </w:r>
          </w:p>
        </w:tc>
      </w:tr>
      <w:tr>
        <w:trPr>
          <w:trHeight w:val="33"/>
        </w:trPr>
        <w:tc>
          <w:tcPr>
            <w:tcW w:w="4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17"/>
        </w:trPr>
        <w:tc>
          <w:tcPr>
            <w:tcW w:w="4380" w:type="dxa"/>
            <w:vAlign w:val="bottom"/>
          </w:tcPr>
          <w:p>
            <w:pPr>
              <w:jc w:val="center"/>
              <w:ind w:left="819"/>
              <w:spacing w:after="0"/>
              <w:rPr>
                <w:sz w:val="20"/>
                <w:szCs w:val="20"/>
                <w:color w:val="auto"/>
              </w:rPr>
            </w:pPr>
            <w:r>
              <w:rPr>
                <w:rFonts w:ascii="Arial" w:cs="Arial" w:eastAsia="Arial" w:hAnsi="Arial"/>
                <w:sz w:val="16"/>
                <w:szCs w:val="16"/>
                <w:color w:val="auto"/>
                <w:w w:val="93"/>
              </w:rPr>
              <w:t>(Address of Principal Executive Offices)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2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(605) 692-0200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7" w:lineRule="exact"/>
        <w:rPr>
          <w:sz w:val="24"/>
          <w:szCs w:val="24"/>
          <w:color w:val="auto"/>
        </w:rPr>
      </w:pPr>
    </w:p>
    <w:p>
      <w:pPr>
        <w:jc w:val="both"/>
        <w:ind w:right="20"/>
        <w:spacing w:after="0" w:line="34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99"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56"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68" w:right="239" w:bottom="1440" w:gutter="0" w:footer="0" w:header="0"/>
        </w:sectPr>
      </w:pPr>
    </w:p>
    <w:p>
      <w:pPr>
        <w:spacing w:after="0" w:line="12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4340"/>
        <w:spacing w:after="0"/>
        <w:rPr>
          <w:sz w:val="20"/>
          <w:szCs w:val="20"/>
          <w:color w:val="auto"/>
        </w:rPr>
      </w:pPr>
      <w:r>
        <w:rPr>
          <w:rFonts w:ascii="Arial" w:cs="Arial" w:eastAsia="Arial" w:hAnsi="Arial"/>
          <w:sz w:val="15"/>
          <w:szCs w:val="15"/>
          <w:color w:val="auto"/>
        </w:rPr>
        <w:t>Accelerated filer x</w:t>
      </w:r>
    </w:p>
    <w:p>
      <w:pPr>
        <w:spacing w:after="0" w:line="84" w:lineRule="exact"/>
        <w:rPr>
          <w:sz w:val="24"/>
          <w:szCs w:val="24"/>
          <w:color w:val="auto"/>
        </w:rPr>
      </w:pPr>
    </w:p>
    <w:p>
      <w:pPr>
        <w:sectPr>
          <w:pgSz w:w="11900" w:h="16838" w:orient="portrait"/>
          <w:cols w:equalWidth="0" w:num="2">
            <w:col w:w="5160" w:space="720"/>
            <w:col w:w="5540"/>
          </w:cols>
          <w:pgMar w:left="240" w:top="468"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09" w:lineRule="exact"/>
        <w:rPr>
          <w:sz w:val="24"/>
          <w:szCs w:val="24"/>
          <w:color w:val="auto"/>
        </w:rPr>
      </w:pPr>
    </w:p>
    <w:p>
      <w:pPr>
        <w:sectPr>
          <w:pgSz w:w="11900" w:h="16838" w:orient="portrait"/>
          <w:cols w:equalWidth="0" w:num="2">
            <w:col w:w="5160" w:space="720"/>
            <w:col w:w="5540"/>
          </w:cols>
          <w:pgMar w:left="240" w:top="468" w:right="239" w:bottom="1440" w:gutter="0" w:footer="0" w:header="0"/>
          <w:type w:val="continuous"/>
        </w:sectPr>
      </w:pPr>
    </w:p>
    <w:p>
      <w:pPr>
        <w:ind w:left="588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20"/>
          </w:cols>
          <w:pgMar w:left="240" w:top="468" w:right="239" w:bottom="1440" w:gutter="0" w:footer="0" w:header="0"/>
          <w:type w:val="continuous"/>
        </w:sectPr>
      </w:pPr>
    </w:p>
    <w:p>
      <w:pPr>
        <w:spacing w:after="0" w:line="25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August 20, 2018 was 44,588,625.</w:t>
      </w:r>
    </w:p>
    <w:p>
      <w:pPr>
        <w:sectPr>
          <w:pgSz w:w="11900" w:h="16838" w:orient="portrait"/>
          <w:cols w:equalWidth="0" w:num="1">
            <w:col w:w="11420"/>
          </w:cols>
          <w:pgMar w:left="240" w:top="468" w:right="2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 the Quarter Ended July 28, 2018</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00" w:type="dxa"/>
            <w:vAlign w:val="bottom"/>
            <w:gridSpan w:val="4"/>
          </w:tcPr>
          <w:p>
            <w:pPr>
              <w:ind w:left="94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500" w:type="dxa"/>
            <w:vAlign w:val="bottom"/>
            <w:tcBorders>
              <w:bottom w:val="single" w:sz="8" w:color="0000FF"/>
            </w:tcBorders>
          </w:tcPr>
          <w:p>
            <w:pPr>
              <w:spacing w:after="0"/>
              <w:rPr>
                <w:rFonts w:ascii="Arial" w:cs="Arial" w:eastAsia="Arial" w:hAnsi="Arial"/>
                <w:sz w:val="18"/>
                <w:szCs w:val="18"/>
                <w:b w:val="1"/>
                <w:bCs w:val="1"/>
                <w:color w:val="0000FF"/>
                <w:w w:val="95"/>
              </w:rPr>
            </w:pPr>
            <w:hyperlink w:anchor="page3">
              <w:r>
                <w:rPr>
                  <w:rFonts w:ascii="Arial" w:cs="Arial" w:eastAsia="Arial" w:hAnsi="Arial"/>
                  <w:sz w:val="18"/>
                  <w:szCs w:val="18"/>
                  <w:b w:val="1"/>
                  <w:bCs w:val="1"/>
                  <w:color w:val="0000FF"/>
                  <w:w w:val="95"/>
                </w:rPr>
                <w:t>Part I.</w:t>
              </w:r>
            </w:hyperlink>
          </w:p>
        </w:tc>
        <w:tc>
          <w:tcPr>
            <w:tcW w:w="320" w:type="dxa"/>
            <w:vAlign w:val="bottom"/>
            <w:gridSpan w:val="3"/>
          </w:tcPr>
          <w:p>
            <w:pPr>
              <w:spacing w:after="0"/>
              <w:rPr>
                <w:sz w:val="19"/>
                <w:szCs w:val="19"/>
                <w:color w:val="auto"/>
              </w:rPr>
            </w:pPr>
          </w:p>
        </w:tc>
        <w:tc>
          <w:tcPr>
            <w:tcW w:w="1700" w:type="dxa"/>
            <w:vAlign w:val="bottom"/>
            <w:tcBorders>
              <w:bottom w:val="single" w:sz="8" w:color="0000FF"/>
            </w:tcBorders>
            <w:gridSpan w:val="7"/>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Financial Information</w:t>
              </w:r>
            </w:hyperlink>
          </w:p>
        </w:tc>
        <w:tc>
          <w:tcPr>
            <w:tcW w:w="6900" w:type="dxa"/>
            <w:vAlign w:val="bottom"/>
            <w:gridSpan w:val="12"/>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6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140" w:type="dxa"/>
            <w:vAlign w:val="bottom"/>
            <w:gridSpan w:val="3"/>
          </w:tcPr>
          <w:p>
            <w:pPr>
              <w:ind w:left="96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July 28, 2018 and April 28, 2018</w:t>
              </w:r>
            </w:hyperlink>
          </w:p>
        </w:tc>
        <w:tc>
          <w:tcPr>
            <w:tcW w:w="1140" w:type="dxa"/>
            <w:vAlign w:val="bottom"/>
            <w:gridSpan w:val="3"/>
          </w:tcPr>
          <w:p>
            <w:pPr>
              <w:ind w:left="96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2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Months Ended July 28, 2018 and</w:t>
              </w:r>
            </w:hyperlink>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July 29, 2017</w:t>
              </w:r>
            </w:hyperlink>
          </w:p>
        </w:tc>
        <w:tc>
          <w:tcPr>
            <w:tcW w:w="980" w:type="dxa"/>
            <w:vAlign w:val="bottom"/>
            <w:gridSpan w:val="2"/>
          </w:tcPr>
          <w:p>
            <w:pPr>
              <w:spacing w:after="0"/>
              <w:rPr>
                <w:sz w:val="17"/>
                <w:szCs w:val="17"/>
                <w:color w:val="auto"/>
              </w:rPr>
            </w:pPr>
          </w:p>
        </w:tc>
        <w:tc>
          <w:tcPr>
            <w:tcW w:w="1140" w:type="dxa"/>
            <w:vAlign w:val="bottom"/>
            <w:gridSpan w:val="3"/>
          </w:tcPr>
          <w:p>
            <w:pPr>
              <w:ind w:left="960"/>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2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 for the Three Months Ended July</w:t>
              </w:r>
            </w:hyperlink>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28, 2018 and July 29, 2017</w:t>
              </w:r>
            </w:hyperlink>
          </w:p>
        </w:tc>
        <w:tc>
          <w:tcPr>
            <w:tcW w:w="1040" w:type="dxa"/>
            <w:vAlign w:val="bottom"/>
            <w:gridSpan w:val="3"/>
          </w:tcPr>
          <w:p>
            <w:pPr>
              <w:spacing w:after="0"/>
              <w:rPr>
                <w:sz w:val="17"/>
                <w:szCs w:val="17"/>
                <w:color w:val="auto"/>
              </w:rPr>
            </w:pPr>
          </w:p>
        </w:tc>
        <w:tc>
          <w:tcPr>
            <w:tcW w:w="1140" w:type="dxa"/>
            <w:vAlign w:val="bottom"/>
            <w:gridSpan w:val="3"/>
          </w:tcPr>
          <w:p>
            <w:pPr>
              <w:ind w:left="960"/>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1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Three Months Ended July 28, 2018 and</w:t>
              </w:r>
            </w:hyperlink>
          </w:p>
        </w:tc>
        <w:tc>
          <w:tcPr>
            <w:tcW w:w="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2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July 29, 2017</w:t>
              </w:r>
            </w:hyperlink>
          </w:p>
        </w:tc>
        <w:tc>
          <w:tcPr>
            <w:tcW w:w="1140" w:type="dxa"/>
            <w:vAlign w:val="bottom"/>
            <w:gridSpan w:val="3"/>
          </w:tcPr>
          <w:p>
            <w:pPr>
              <w:ind w:left="960"/>
              <w:spacing w:after="0" w:line="196" w:lineRule="exact"/>
              <w:rPr>
                <w:rFonts w:ascii="Arial" w:cs="Arial" w:eastAsia="Arial" w:hAnsi="Arial"/>
                <w:sz w:val="18"/>
                <w:szCs w:val="18"/>
                <w:color w:val="0000FF"/>
              </w:rPr>
            </w:pPr>
            <w:hyperlink w:anchor="page7">
              <w:r>
                <w:rPr>
                  <w:rFonts w:ascii="Arial" w:cs="Arial" w:eastAsia="Arial" w:hAnsi="Arial"/>
                  <w:sz w:val="18"/>
                  <w:szCs w:val="18"/>
                  <w:color w:val="0000FF"/>
                </w:rPr>
                <w:t>5</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4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the Condensed Consolidated Financial Statements</w:t>
              </w:r>
            </w:hyperlink>
          </w:p>
        </w:tc>
        <w:tc>
          <w:tcPr>
            <w:tcW w:w="3780" w:type="dxa"/>
            <w:vAlign w:val="bottom"/>
            <w:gridSpan w:val="6"/>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2.</w:t>
              </w:r>
            </w:hyperlink>
          </w:p>
        </w:tc>
        <w:tc>
          <w:tcPr>
            <w:tcW w:w="8600" w:type="dxa"/>
            <w:vAlign w:val="bottom"/>
            <w:gridSpan w:val="19"/>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1300" w:type="dxa"/>
            <w:vAlign w:val="bottom"/>
            <w:gridSpan w:val="4"/>
          </w:tcPr>
          <w:p>
            <w:pPr>
              <w:ind w:left="960"/>
              <w:spacing w:after="0"/>
              <w:rPr>
                <w:rFonts w:ascii="Arial" w:cs="Arial" w:eastAsia="Arial" w:hAnsi="Arial"/>
                <w:sz w:val="18"/>
                <w:szCs w:val="18"/>
                <w:color w:val="0000FF"/>
              </w:rPr>
            </w:pPr>
            <w:hyperlink w:anchor="page22">
              <w:r>
                <w:rPr>
                  <w:rFonts w:ascii="Arial" w:cs="Arial" w:eastAsia="Arial" w:hAnsi="Arial"/>
                  <w:sz w:val="18"/>
                  <w:szCs w:val="18"/>
                  <w:color w:val="0000FF"/>
                </w:rPr>
                <w:t>20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3.</w:t>
              </w:r>
            </w:hyperlink>
          </w:p>
        </w:tc>
        <w:tc>
          <w:tcPr>
            <w:tcW w:w="8600" w:type="dxa"/>
            <w:vAlign w:val="bottom"/>
            <w:gridSpan w:val="1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Quantitative and Qualitative Disclosures About Market Risk</w:t>
              </w:r>
            </w:hyperlink>
          </w:p>
        </w:tc>
        <w:tc>
          <w:tcPr>
            <w:tcW w:w="1300" w:type="dxa"/>
            <w:vAlign w:val="bottom"/>
            <w:gridSpan w:val="4"/>
          </w:tcPr>
          <w:p>
            <w:pPr>
              <w:ind w:left="96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4.</w:t>
              </w:r>
            </w:hyperlink>
          </w:p>
        </w:tc>
        <w:tc>
          <w:tcPr>
            <w:tcW w:w="8600" w:type="dxa"/>
            <w:vAlign w:val="bottom"/>
            <w:gridSpan w:val="19"/>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Controls and Procedures</w:t>
              </w:r>
            </w:hyperlink>
          </w:p>
        </w:tc>
        <w:tc>
          <w:tcPr>
            <w:tcW w:w="1300" w:type="dxa"/>
            <w:vAlign w:val="bottom"/>
            <w:gridSpan w:val="4"/>
          </w:tcPr>
          <w:p>
            <w:pPr>
              <w:ind w:left="960"/>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Part II.</w:t>
              </w:r>
            </w:hyperlink>
          </w:p>
        </w:tc>
        <w:tc>
          <w:tcPr>
            <w:tcW w:w="8600" w:type="dxa"/>
            <w:vAlign w:val="bottom"/>
            <w:gridSpan w:val="19"/>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Other Information</w:t>
              </w:r>
            </w:hyperlink>
          </w:p>
        </w:tc>
        <w:tc>
          <w:tcPr>
            <w:tcW w:w="1300" w:type="dxa"/>
            <w:vAlign w:val="bottom"/>
            <w:gridSpan w:val="4"/>
          </w:tcPr>
          <w:p>
            <w:pPr>
              <w:ind w:left="960"/>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rFonts w:ascii="Arial" w:cs="Arial" w:eastAsia="Arial" w:hAnsi="Arial"/>
                <w:sz w:val="18"/>
                <w:szCs w:val="18"/>
                <w:color w:val="0000FF"/>
                <w:w w:val="98"/>
              </w:rPr>
            </w:pPr>
            <w:hyperlink w:anchor="page32">
              <w:r>
                <w:rPr>
                  <w:rFonts w:ascii="Arial" w:cs="Arial" w:eastAsia="Arial" w:hAnsi="Arial"/>
                  <w:sz w:val="18"/>
                  <w:szCs w:val="18"/>
                  <w:color w:val="0000FF"/>
                  <w:w w:val="98"/>
                </w:rPr>
                <w:t>Item 1.</w:t>
              </w:r>
            </w:hyperlink>
          </w:p>
        </w:tc>
        <w:tc>
          <w:tcPr>
            <w:tcW w:w="260" w:type="dxa"/>
            <w:vAlign w:val="bottom"/>
            <w:gridSpan w:val="2"/>
          </w:tcPr>
          <w:p>
            <w:pPr>
              <w:spacing w:after="0"/>
              <w:rPr>
                <w:sz w:val="21"/>
                <w:szCs w:val="21"/>
                <w:color w:val="auto"/>
              </w:rPr>
            </w:pPr>
          </w:p>
        </w:tc>
        <w:tc>
          <w:tcPr>
            <w:tcW w:w="1440" w:type="dxa"/>
            <w:vAlign w:val="bottom"/>
            <w:gridSpan w:val="5"/>
          </w:tcPr>
          <w:p>
            <w:pPr>
              <w:spacing w:after="0"/>
              <w:rPr>
                <w:rFonts w:ascii="Arial" w:cs="Arial" w:eastAsia="Arial" w:hAnsi="Arial"/>
                <w:sz w:val="18"/>
                <w:szCs w:val="18"/>
                <w:color w:val="0000FF"/>
                <w:w w:val="95"/>
              </w:rPr>
            </w:pPr>
            <w:hyperlink w:anchor="page32">
              <w:r>
                <w:rPr>
                  <w:rFonts w:ascii="Arial" w:cs="Arial" w:eastAsia="Arial" w:hAnsi="Arial"/>
                  <w:sz w:val="18"/>
                  <w:szCs w:val="18"/>
                  <w:color w:val="0000FF"/>
                  <w:w w:val="95"/>
                </w:rPr>
                <w:t>Legal Proceedings</w:t>
              </w:r>
            </w:hyperlink>
          </w:p>
        </w:tc>
        <w:tc>
          <w:tcPr>
            <w:tcW w:w="7160" w:type="dxa"/>
            <w:vAlign w:val="bottom"/>
            <w:gridSpan w:val="14"/>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w w:val="92"/>
              </w:rPr>
            </w:pPr>
            <w:hyperlink w:anchor="page32">
              <w:r>
                <w:rPr>
                  <w:rFonts w:ascii="Arial" w:cs="Arial" w:eastAsia="Arial" w:hAnsi="Arial"/>
                  <w:sz w:val="18"/>
                  <w:szCs w:val="18"/>
                  <w:color w:val="0000FF"/>
                  <w:w w:val="92"/>
                </w:rPr>
                <w:t>Item 1A.</w:t>
              </w:r>
            </w:hyperlink>
          </w:p>
        </w:tc>
        <w:tc>
          <w:tcPr>
            <w:tcW w:w="18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FF"/>
                <w:w w:val="87"/>
              </w:rPr>
            </w:pPr>
            <w:hyperlink w:anchor="page32">
              <w:r>
                <w:rPr>
                  <w:rFonts w:ascii="Arial" w:cs="Arial" w:eastAsia="Arial" w:hAnsi="Arial"/>
                  <w:sz w:val="18"/>
                  <w:szCs w:val="18"/>
                  <w:color w:val="0000FF"/>
                  <w:w w:val="87"/>
                </w:rPr>
                <w:t>Risk Factors</w:t>
              </w:r>
            </w:hyperlink>
          </w:p>
        </w:tc>
        <w:tc>
          <w:tcPr>
            <w:tcW w:w="7700" w:type="dxa"/>
            <w:vAlign w:val="bottom"/>
            <w:gridSpan w:val="16"/>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tcBorders>
              <w:bottom w:val="single" w:sz="8" w:color="0000FF"/>
            </w:tcBorders>
            <w:gridSpan w:val="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2.</w:t>
              </w:r>
            </w:hyperlink>
          </w:p>
        </w:tc>
        <w:tc>
          <w:tcPr>
            <w:tcW w:w="180" w:type="dxa"/>
            <w:vAlign w:val="bottom"/>
            <w:tcBorders>
              <w:bottom w:val="single" w:sz="8" w:color="0000FF"/>
            </w:tcBorders>
          </w:tcPr>
          <w:p>
            <w:pPr>
              <w:spacing w:after="0"/>
              <w:rPr>
                <w:sz w:val="21"/>
                <w:szCs w:val="21"/>
                <w:color w:val="auto"/>
              </w:rPr>
            </w:pPr>
          </w:p>
        </w:tc>
        <w:tc>
          <w:tcPr>
            <w:tcW w:w="436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Unregistered Sales of Equity Securities and Use of Proceeds</w:t>
              </w:r>
            </w:hyperlink>
          </w:p>
        </w:tc>
        <w:tc>
          <w:tcPr>
            <w:tcW w:w="4240" w:type="dxa"/>
            <w:vAlign w:val="bottom"/>
            <w:gridSpan w:val="7"/>
          </w:tcPr>
          <w:p>
            <w:pPr>
              <w:spacing w:after="0"/>
              <w:rPr>
                <w:sz w:val="21"/>
                <w:szCs w:val="21"/>
                <w:color w:val="auto"/>
              </w:rPr>
            </w:pPr>
          </w:p>
        </w:tc>
        <w:tc>
          <w:tcPr>
            <w:tcW w:w="1300" w:type="dxa"/>
            <w:vAlign w:val="bottom"/>
            <w:gridSpan w:val="4"/>
          </w:tcPr>
          <w:p>
            <w:pPr>
              <w:ind w:left="960"/>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3.</w:t>
              </w:r>
            </w:hyperlink>
          </w:p>
        </w:tc>
        <w:tc>
          <w:tcPr>
            <w:tcW w:w="8600" w:type="dxa"/>
            <w:vAlign w:val="bottom"/>
            <w:gridSpan w:val="19"/>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Defaults Upon Senior Securities</w:t>
              </w:r>
            </w:hyperlink>
          </w:p>
        </w:tc>
        <w:tc>
          <w:tcPr>
            <w:tcW w:w="1300" w:type="dxa"/>
            <w:vAlign w:val="bottom"/>
            <w:gridSpan w:val="4"/>
          </w:tcPr>
          <w:p>
            <w:pPr>
              <w:ind w:left="960"/>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tcBorders>
              <w:bottom w:val="single" w:sz="8" w:color="0000FF"/>
            </w:tcBorders>
            <w:gridSpan w:val="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4.</w:t>
              </w:r>
            </w:hyperlink>
          </w:p>
        </w:tc>
        <w:tc>
          <w:tcPr>
            <w:tcW w:w="176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Mine Safety Disclosures</w:t>
              </w:r>
            </w:hyperlink>
          </w:p>
        </w:tc>
        <w:tc>
          <w:tcPr>
            <w:tcW w:w="6840" w:type="dxa"/>
            <w:vAlign w:val="bottom"/>
            <w:gridSpan w:val="11"/>
          </w:tcPr>
          <w:p>
            <w:pPr>
              <w:spacing w:after="0"/>
              <w:rPr>
                <w:sz w:val="21"/>
                <w:szCs w:val="21"/>
                <w:color w:val="auto"/>
              </w:rPr>
            </w:pPr>
          </w:p>
        </w:tc>
        <w:tc>
          <w:tcPr>
            <w:tcW w:w="1300" w:type="dxa"/>
            <w:vAlign w:val="bottom"/>
            <w:gridSpan w:val="4"/>
          </w:tcPr>
          <w:p>
            <w:pPr>
              <w:ind w:left="960"/>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5.</w:t>
              </w:r>
            </w:hyperlink>
          </w:p>
        </w:tc>
        <w:tc>
          <w:tcPr>
            <w:tcW w:w="8600" w:type="dxa"/>
            <w:vAlign w:val="bottom"/>
            <w:gridSpan w:val="1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Other Information</w:t>
              </w:r>
            </w:hyperlink>
          </w:p>
        </w:tc>
        <w:tc>
          <w:tcPr>
            <w:tcW w:w="1300" w:type="dxa"/>
            <w:vAlign w:val="bottom"/>
            <w:gridSpan w:val="4"/>
          </w:tcPr>
          <w:p>
            <w:pPr>
              <w:ind w:left="960"/>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300" w:type="dxa"/>
            <w:vAlign w:val="bottom"/>
            <w:gridSpan w:val="1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6.</w:t>
              </w:r>
            </w:hyperlink>
          </w:p>
        </w:tc>
        <w:tc>
          <w:tcPr>
            <w:tcW w:w="8600" w:type="dxa"/>
            <w:vAlign w:val="bottom"/>
            <w:gridSpan w:val="1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Exhibits</w:t>
              </w:r>
            </w:hyperlink>
          </w:p>
        </w:tc>
        <w:tc>
          <w:tcPr>
            <w:tcW w:w="1300" w:type="dxa"/>
            <w:vAlign w:val="bottom"/>
            <w:gridSpan w:val="4"/>
          </w:tcPr>
          <w:p>
            <w:pPr>
              <w:ind w:left="960"/>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20" w:type="dxa"/>
            <w:vAlign w:val="bottom"/>
            <w:gridSpan w:val="1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w w:val="83"/>
              </w:rPr>
            </w:pPr>
            <w:hyperlink w:anchor="page34">
              <w:r>
                <w:rPr>
                  <w:rFonts w:ascii="Arial" w:cs="Arial" w:eastAsia="Arial" w:hAnsi="Arial"/>
                  <w:sz w:val="18"/>
                  <w:szCs w:val="18"/>
                  <w:b w:val="1"/>
                  <w:bCs w:val="1"/>
                  <w:color w:val="0000FF"/>
                  <w:w w:val="83"/>
                </w:rPr>
                <w:t>Signatures</w:t>
              </w:r>
            </w:hyperlink>
          </w:p>
        </w:tc>
        <w:tc>
          <w:tcPr>
            <w:tcW w:w="8600" w:type="dxa"/>
            <w:vAlign w:val="bottom"/>
            <w:gridSpan w:val="19"/>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320" w:type="dxa"/>
            <w:vAlign w:val="bottom"/>
            <w:gridSpan w:val="5"/>
          </w:tcPr>
          <w:p>
            <w:pPr>
              <w:spacing w:after="0"/>
              <w:rPr>
                <w:rFonts w:ascii="Arial" w:cs="Arial" w:eastAsia="Arial" w:hAnsi="Arial"/>
                <w:sz w:val="18"/>
                <w:szCs w:val="18"/>
                <w:b w:val="1"/>
                <w:bCs w:val="1"/>
                <w:color w:val="0000FF"/>
                <w:w w:val="90"/>
              </w:rPr>
            </w:pPr>
            <w:hyperlink w:anchor="page35">
              <w:r>
                <w:rPr>
                  <w:rFonts w:ascii="Arial" w:cs="Arial" w:eastAsia="Arial" w:hAnsi="Arial"/>
                  <w:sz w:val="18"/>
                  <w:szCs w:val="18"/>
                  <w:b w:val="1"/>
                  <w:bCs w:val="1"/>
                  <w:color w:val="0000FF"/>
                  <w:w w:val="90"/>
                </w:rPr>
                <w:t>Index to Exhibits</w:t>
              </w:r>
            </w:hyperlink>
          </w:p>
        </w:tc>
        <w:tc>
          <w:tcPr>
            <w:tcW w:w="8100" w:type="dxa"/>
            <w:vAlign w:val="bottom"/>
            <w:gridSpan w:val="18"/>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720"/>
          </w:cols>
          <w:pgMar w:left="280" w:top="580" w:right="89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28,</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28,</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8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29,727</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34,522</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100,362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77,387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75,335</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Contract assets</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41,283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30,968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7,712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9,029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receivables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279,348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264,133</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4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8,264</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Intangibles, net</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6,729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affiliates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5,091</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7,938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7,930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26,608</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Land</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Buildings</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67,776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67,773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Machinery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93,439</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Office furniture and equipment</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5,878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Computer software and hardware</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53,004</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Equipment held for rental</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Demonstration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7,035</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Transportation equipment</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7,675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7,632</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238,796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237,209</w:t>
            </w:r>
          </w:p>
        </w:tc>
        <w:tc>
          <w:tcPr>
            <w:tcW w:w="0" w:type="dxa"/>
            <w:vAlign w:val="bottom"/>
          </w:tcPr>
          <w:p>
            <w:pPr>
              <w:spacing w:after="0"/>
              <w:rPr>
                <w:sz w:val="1"/>
                <w:szCs w:val="1"/>
                <w:color w:val="auto"/>
              </w:rPr>
            </w:pP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171,506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169,150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68,059</w:t>
            </w:r>
          </w:p>
        </w:tc>
        <w:tc>
          <w:tcPr>
            <w:tcW w:w="0" w:type="dxa"/>
            <w:vAlign w:val="bottom"/>
          </w:tcPr>
          <w:p>
            <w:pPr>
              <w:spacing w:after="0"/>
              <w:rPr>
                <w:sz w:val="1"/>
                <w:szCs w:val="1"/>
                <w:color w:val="auto"/>
              </w:rPr>
            </w:pP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376,220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358,800</w:t>
            </w:r>
          </w:p>
        </w:tc>
        <w:tc>
          <w:tcPr>
            <w:tcW w:w="0" w:type="dxa"/>
            <w:vAlign w:val="bottom"/>
          </w:tcPr>
          <w:p>
            <w:pPr>
              <w:spacing w:after="0"/>
              <w:rPr>
                <w:sz w:val="1"/>
                <w:szCs w:val="1"/>
                <w:color w:val="auto"/>
              </w:rPr>
            </w:pPr>
          </w:p>
        </w:tc>
      </w:tr>
      <w:tr>
        <w:trPr>
          <w:trHeight w:val="271"/>
        </w:trPr>
        <w:tc>
          <w:tcPr>
            <w:tcW w:w="84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121" w:right="41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28,</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28,</w:t>
            </w:r>
          </w:p>
        </w:tc>
      </w:t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48,845</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Contract liabilities</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50,629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39,379</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27,445</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Warranty obligations</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13,468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13,891</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other long-term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660</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146,414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131,308</w:t>
            </w:r>
          </w:p>
        </w:tc>
      </w:tr>
      <w:tr>
        <w:trPr>
          <w:trHeight w:val="277"/>
        </w:trPr>
        <w:tc>
          <w:tcPr>
            <w:tcW w:w="84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warranty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16,062</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contract liabilities</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8,073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7,475</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long-term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2,285</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income tax payable</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3,440</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30,360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29,876</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161,184</w:t>
            </w:r>
          </w:p>
        </w:tc>
      </w:tr>
      <w:tr>
        <w:trPr>
          <w:trHeight w:val="277"/>
        </w:trPr>
        <w:tc>
          <w:tcPr>
            <w:tcW w:w="84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9"/>
        </w:trPr>
        <w:tc>
          <w:tcPr>
            <w:tcW w:w="8440" w:type="dxa"/>
            <w:vAlign w:val="bottom"/>
          </w:tcPr>
          <w:p>
            <w:pPr>
              <w:ind w:left="280"/>
              <w:spacing w:after="0"/>
              <w:rPr>
                <w:sz w:val="20"/>
                <w:szCs w:val="20"/>
                <w:color w:val="auto"/>
              </w:rPr>
            </w:pPr>
            <w:r>
              <w:rPr>
                <w:rFonts w:ascii="Arial" w:cs="Arial" w:eastAsia="Arial" w:hAnsi="Arial"/>
                <w:sz w:val="18"/>
                <w:szCs w:val="18"/>
                <w:color w:val="auto"/>
              </w:rPr>
              <w:t>Common Stock, no par value, authorized 115,000,000 shares; 44,893,368 and 44,779,534</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440" w:type="dxa"/>
            <w:vAlign w:val="bottom"/>
          </w:tcPr>
          <w:p>
            <w:pPr>
              <w:ind w:left="440"/>
              <w:spacing w:after="0"/>
              <w:rPr>
                <w:sz w:val="20"/>
                <w:szCs w:val="20"/>
                <w:color w:val="auto"/>
              </w:rPr>
            </w:pPr>
            <w:r>
              <w:rPr>
                <w:rFonts w:ascii="Arial" w:cs="Arial" w:eastAsia="Arial" w:hAnsi="Arial"/>
                <w:sz w:val="18"/>
                <w:szCs w:val="18"/>
                <w:color w:val="auto"/>
              </w:rPr>
              <w:t>shares issued and outstanding at July 28, 2018 and April 28, 2018, respectively</w:t>
            </w:r>
          </w:p>
        </w:tc>
        <w:tc>
          <w:tcPr>
            <w:tcW w:w="2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55,608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54,731</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40,328</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108,559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107,105</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at cost, 303,957 shares at July 28, 2018 and April 28, 2018,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(2,714)</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199,446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197,616</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376,220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358,800</w:t>
            </w:r>
          </w:p>
        </w:tc>
      </w:tr>
      <w:tr>
        <w:trPr>
          <w:trHeight w:val="271"/>
        </w:trPr>
        <w:tc>
          <w:tcPr>
            <w:tcW w:w="84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240" w:top="12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240" w:top="122" w:right="41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1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4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4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July 28,</w:t>
            </w:r>
          </w:p>
        </w:tc>
        <w:tc>
          <w:tcPr>
            <w:tcW w:w="280" w:type="dxa"/>
            <w:vAlign w:val="bottom"/>
          </w:tcPr>
          <w:p>
            <w:pPr>
              <w:spacing w:after="0"/>
              <w:rPr>
                <w:sz w:val="18"/>
                <w:szCs w:val="18"/>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July 29,</w:t>
            </w:r>
          </w:p>
        </w:tc>
      </w:tr>
      <w:tr>
        <w:trPr>
          <w:trHeight w:val="234"/>
        </w:trPr>
        <w:tc>
          <w:tcPr>
            <w:tcW w:w="4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7"/>
        </w:trPr>
        <w:tc>
          <w:tcPr>
            <w:tcW w:w="4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154,188</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172,728</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115,941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128,082</w:t>
            </w:r>
          </w:p>
        </w:tc>
      </w:tr>
      <w:tr>
        <w:trPr>
          <w:trHeight w:val="27"/>
        </w:trPr>
        <w:tc>
          <w:tcPr>
            <w:tcW w:w="4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38,247</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44,646</w:t>
            </w:r>
          </w:p>
        </w:tc>
      </w:tr>
      <w:tr>
        <w:trPr>
          <w:trHeight w:val="284"/>
        </w:trPr>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Selling</w:t>
            </w:r>
          </w:p>
        </w:tc>
        <w:tc>
          <w:tcPr>
            <w:tcW w:w="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16,378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14,939</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8,537</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8,935</w:t>
            </w: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9,292</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9,047</w:t>
            </w:r>
          </w:p>
        </w:tc>
      </w:tr>
      <w:tr>
        <w:trPr>
          <w:trHeight w:val="27"/>
        </w:trPr>
        <w:tc>
          <w:tcPr>
            <w:tcW w:w="4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49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34,207</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32,921</w:t>
            </w: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4,040</w:t>
            </w:r>
          </w:p>
        </w:tc>
        <w:tc>
          <w:tcPr>
            <w:tcW w:w="2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11,725</w:t>
            </w:r>
          </w:p>
        </w:tc>
      </w:tr>
      <w:tr>
        <w:trPr>
          <w:trHeight w:val="27"/>
        </w:trPr>
        <w:tc>
          <w:tcPr>
            <w:tcW w:w="4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7"/>
        </w:trPr>
        <w:tc>
          <w:tcPr>
            <w:tcW w:w="49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77"/>
        </w:trPr>
        <w:tc>
          <w:tcPr>
            <w:tcW w:w="49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4,044</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11,995</w:t>
            </w: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3,566</w:t>
            </w:r>
          </w:p>
        </w:tc>
      </w:tr>
      <w:tr>
        <w:trPr>
          <w:trHeight w:val="27"/>
        </w:trPr>
        <w:tc>
          <w:tcPr>
            <w:tcW w:w="4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4,574</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8,429</w:t>
            </w:r>
          </w:p>
        </w:tc>
      </w:tr>
      <w:tr>
        <w:trPr>
          <w:trHeight w:val="20"/>
        </w:trPr>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71"/>
        </w:trPr>
        <w:tc>
          <w:tcPr>
            <w:tcW w:w="4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44,638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44,244</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44,831</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44,461</w:t>
            </w:r>
          </w:p>
        </w:tc>
      </w:tr>
      <w:tr>
        <w:trPr>
          <w:trHeight w:val="284"/>
        </w:trPr>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0.19</w:t>
            </w:r>
          </w:p>
        </w:tc>
      </w:tr>
      <w:tr>
        <w:trPr>
          <w:trHeight w:val="27"/>
        </w:trPr>
        <w:tc>
          <w:tcPr>
            <w:tcW w:w="4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r>
      <w:tr>
        <w:trPr>
          <w:trHeight w:val="277"/>
        </w:trPr>
        <w:tc>
          <w:tcPr>
            <w:tcW w:w="49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r>
      <w:tr>
        <w:trPr>
          <w:trHeight w:val="284"/>
        </w:trPr>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See notes to condensed consolidated financial statements.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459"/>
        </w:trPr>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67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219"/>
          </w:cols>
          <w:pgMar w:left="240" w:top="122" w:right="1440"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5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5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29,</w:t>
            </w:r>
          </w:p>
        </w:tc>
      </w:tr>
      <w:tr>
        <w:trPr>
          <w:trHeight w:val="234"/>
        </w:trPr>
        <w:tc>
          <w:tcPr>
            <w:tcW w:w="5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July 28, 2018</w:t>
            </w: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5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4,574</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8,429</w:t>
            </w:r>
          </w:p>
        </w:tc>
      </w:tr>
      <w:tr>
        <w:trPr>
          <w:trHeight w:val="284"/>
        </w:trPr>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1,081</w:t>
            </w:r>
          </w:p>
        </w:tc>
      </w:tr>
      <w:tr>
        <w:trPr>
          <w:trHeight w:val="27"/>
        </w:trPr>
        <w:tc>
          <w:tcPr>
            <w:tcW w:w="5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on available-for-sale securities, net of tax</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color w:val="auto"/>
              </w:rPr>
              <w:t>Total other comprehensive (loss) income, net of tax</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1,074</w:t>
            </w:r>
          </w:p>
        </w:tc>
      </w:tr>
      <w:tr>
        <w:trPr>
          <w:trHeight w:val="27"/>
        </w:trPr>
        <w:tc>
          <w:tcPr>
            <w:tcW w:w="5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3,422</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9,503</w:t>
            </w: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514540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9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21" w:right="1440"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28,</w:t>
            </w:r>
          </w:p>
        </w:tc>
        <w:tc>
          <w:tcPr>
            <w:tcW w:w="240" w:type="dxa"/>
            <w:vAlign w:val="bottom"/>
          </w:tcPr>
          <w:p>
            <w:pPr>
              <w:spacing w:after="0"/>
              <w:rPr>
                <w:sz w:val="18"/>
                <w:szCs w:val="18"/>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29,</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8,429</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Gain on sale of property, equipment and other assets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Equity in loss of affiliate</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(19,944)</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(18,580)</w:t>
            </w:r>
          </w:p>
        </w:tc>
        <w:tc>
          <w:tcPr>
            <w:tcW w:w="0" w:type="dxa"/>
            <w:vAlign w:val="bottom"/>
          </w:tcPr>
          <w:p>
            <w:pPr>
              <w:spacing w:after="0"/>
              <w:rPr>
                <w:sz w:val="1"/>
                <w:szCs w:val="1"/>
                <w:color w:val="auto"/>
              </w:rPr>
            </w:pPr>
          </w:p>
        </w:tc>
      </w:tr>
      <w:tr>
        <w:trPr>
          <w:trHeight w:val="237"/>
        </w:trPr>
        <w:tc>
          <w:tcPr>
            <w:tcW w:w="8440" w:type="dxa"/>
            <w:vAlign w:val="bottom"/>
          </w:tcPr>
          <w:p>
            <w:pPr>
              <w:ind w:left="920"/>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(10,260)</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Proceeds from sales of property, equipment and other assets</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9,181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7,643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equity investment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Borrowings on notes payable</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notes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(13,814)</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(5,749)</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29,755</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32,839</w:t>
            </w:r>
          </w:p>
        </w:tc>
        <w:tc>
          <w:tcPr>
            <w:tcW w:w="0" w:type="dxa"/>
            <w:vAlign w:val="bottom"/>
          </w:tcPr>
          <w:p>
            <w:pPr>
              <w:spacing w:after="0"/>
              <w:rPr>
                <w:sz w:val="1"/>
                <w:szCs w:val="1"/>
                <w:color w:val="auto"/>
              </w:rPr>
            </w:pPr>
          </w:p>
        </w:tc>
      </w:tr>
      <w:tr>
        <w:trPr>
          <w:trHeight w:val="297"/>
        </w:trPr>
        <w:tc>
          <w:tcPr>
            <w:tcW w:w="84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End of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15,941</w:t>
            </w:r>
          </w:p>
        </w:tc>
        <w:tc>
          <w:tcPr>
            <w:tcW w:w="2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27,090</w:t>
            </w:r>
          </w:p>
        </w:tc>
        <w:tc>
          <w:tcPr>
            <w:tcW w:w="0" w:type="dxa"/>
            <w:vAlign w:val="bottom"/>
          </w:tcPr>
          <w:p>
            <w:pPr>
              <w:spacing w:after="0"/>
              <w:rPr>
                <w:sz w:val="1"/>
                <w:szCs w:val="1"/>
                <w:color w:val="auto"/>
              </w:rPr>
            </w:pPr>
          </w:p>
        </w:tc>
      </w:tr>
      <w:tr>
        <w:trPr>
          <w:trHeight w:val="163"/>
        </w:trPr>
        <w:tc>
          <w:tcPr>
            <w:tcW w:w="8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payments for:</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Interest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taxes, net of refunds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176"/>
        </w:trPr>
        <w:tc>
          <w:tcPr>
            <w:tcW w:w="8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Demonstration equipment transferred to inventory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and equipment included in 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Contributions of common stock under the ESPP</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821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Contingent consideration related to acquisition of AJT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1,316</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121" w:right="259" w:bottom="57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1" w:right="259" w:bottom="57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left="260" w:right="2540"/>
        <w:spacing w:after="0" w:line="275" w:lineRule="auto"/>
        <w:rPr>
          <w:sz w:val="20"/>
          <w:szCs w:val="20"/>
          <w:color w:val="auto"/>
        </w:rPr>
      </w:pPr>
      <w:r>
        <w:rPr>
          <w:rFonts w:ascii="Arial" w:cs="Arial" w:eastAsia="Arial" w:hAnsi="Arial"/>
          <w:sz w:val="18"/>
          <w:szCs w:val="18"/>
          <w:b w:val="1"/>
          <w:bCs w:val="1"/>
          <w:color w:val="auto"/>
        </w:rPr>
        <w:t xml:space="preserve">NOTES TO THE CONDENSED CONSOLIDATED FINANCIAL STATEMENTS </w:t>
      </w:r>
      <w:r>
        <w:rPr>
          <w:rFonts w:ascii="Arial" w:cs="Arial" w:eastAsia="Arial" w:hAnsi="Arial"/>
          <w:sz w:val="18"/>
          <w:szCs w:val="18"/>
          <w:color w:val="auto"/>
        </w:rPr>
        <w:t>(dollar amounts in thousands, except per share data) (unaudited)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Daktronics, Inc. and its subsidiaries (the “Company”, “Daktronics”, “we”, “our”, or “us”) are the world's industry leader in designing and manufacturing electronic scoreboards, programmable display systems and large screen video displays for sporting, commercial and transportation applications.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adjustments (consisting of normal recurring adjustments) necessary to fairly present our financial position, results of operations and cash flows for the periods presented. The preparation of financial statements in conformity with generally accepted accounting principles in the United States ("GAAP") requires management to make estimates and assumptions affecting the reported amounts therein. Due to the inherent uncertainty involved in making estimates, actual results in future periods may differ from those estimates.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condensed or omitted. The balance sheet at April 28, 2018, has been derived from the audited financial statements at that date, but it does not include all the information and footnotes required by GAAP for complete financial statements. These financial statements should be read in conjunction with our financial statements and notes thereto for the year ended April 28, 2018, which are contained in our Annual Report on Form 10-K previously filed with the Securities and Exchange Commission ("SEC"). The results of operations for the interim periods presented are not necessarily indicative of results that may be expected for any other interim period or for the full fiscal year.</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Certain prior year amounts in the condensed consolidated balance sheet have been reclassified to conform to the current year's presentation due to the adoption of Accounting Standards Update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Billings in excess of costs and estimated earnings, customer deposits, and deferred revenue are combined to present contract liabilities. Costs and estimated earnings in excess of billings now represent contract assets. These reclassifications had no effect on reported net income, comprehensive income, cash flows, total assets or total liabilities.</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three months ended July 28, 2018 and July 29, 2017, contained operating results for 13 weeks.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 that sum to total of the same amounts showing in the condensed consolidated statement of cash flows:</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28,</w:t>
            </w:r>
          </w:p>
        </w:tc>
        <w:tc>
          <w:tcPr>
            <w:tcW w:w="24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29,</w:t>
            </w:r>
          </w:p>
        </w:tc>
      </w:tr>
      <w:tr>
        <w:trPr>
          <w:trHeight w:val="234"/>
        </w:trPr>
        <w:tc>
          <w:tcPr>
            <w:tcW w:w="7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7"/>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15,915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26,868</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222</w:t>
            </w:r>
          </w:p>
        </w:tc>
      </w:tr>
      <w:tr>
        <w:trPr>
          <w:trHeight w:val="27"/>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Total cash, cash equivalents, and restricted cash shown in the condensed consolidated statement of cash</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flows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15,941</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27,090</w:t>
            </w:r>
          </w:p>
        </w:tc>
      </w:tr>
      <w:tr>
        <w:trPr>
          <w:trHeight w:val="20"/>
        </w:trPr>
        <w:tc>
          <w:tcPr>
            <w:tcW w:w="7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Adopted</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October 2016, the Financial Accounting Standards Board ("FASB") issued ASU 2016-16, </w:t>
      </w:r>
      <w:r>
        <w:rPr>
          <w:rFonts w:ascii="Arial" w:cs="Arial" w:eastAsia="Arial" w:hAnsi="Arial"/>
          <w:sz w:val="16"/>
          <w:szCs w:val="16"/>
          <w:i w:val="1"/>
          <w:iCs w:val="1"/>
          <w:color w:val="auto"/>
        </w:rPr>
        <w:t>Income Taxes (Topic 740) Intra-Entity Transfers of Assets Other</w:t>
      </w:r>
      <w:r>
        <w:rPr>
          <w:rFonts w:ascii="Arial" w:cs="Arial" w:eastAsia="Arial" w:hAnsi="Arial"/>
          <w:sz w:val="16"/>
          <w:szCs w:val="16"/>
          <w:color w:val="auto"/>
        </w:rPr>
        <w:t xml:space="preserve"> </w:t>
      </w:r>
      <w:r>
        <w:rPr>
          <w:rFonts w:ascii="Arial" w:cs="Arial" w:eastAsia="Arial" w:hAnsi="Arial"/>
          <w:sz w:val="16"/>
          <w:szCs w:val="16"/>
          <w:i w:val="1"/>
          <w:iCs w:val="1"/>
          <w:color w:val="auto"/>
        </w:rPr>
        <w:t>than Inventory</w:t>
      </w:r>
      <w:r>
        <w:rPr>
          <w:rFonts w:ascii="Arial" w:cs="Arial" w:eastAsia="Arial" w:hAnsi="Arial"/>
          <w:sz w:val="16"/>
          <w:szCs w:val="16"/>
          <w:color w:val="auto"/>
        </w:rPr>
        <w:t>, which is intended to improve the accounting for the income tax consequences of intra-entity transfers of assets other than inventory.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GAAP prohibits the recognition of current and deferred income taxes for an intra-entity asset transfer until the asset has been sold to an outside party, which is an exception to the principle of comprehensive recognition of current and deferred income taxes in GAAP. This update eliminates the exception by requiring entities to recognize the income tax consequences of an intra-entity transfer of an asset other than inventory when the transfer occurs. We have adopted ASU 2016-16 during the first quarter of fiscal 2019. The adoption of ASU 2016-16 did not have an impact on our condensed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Subsequently, the FASB also issued ASUs 2016-08, 2016-10, 2016-12, and 2016-20 to give further guidance to revenue recognition matters. ASU 2014-09 and related guidance supersedes revenue recognition requirements under FASB Accounting Standards Codification ("ASC") Topic 605 and related industry specific revenue recognition guidance. This new standard defines a comprehensive revenue recognition model, requiring a company to recognize revenue from the transfer of goods or services to customers in an amount that reflects the consideration that the entity expects to receive in exchange for those goods or services. It defines a five-step process to achieve this core principle and allows companies to use more judgment and make more estimates than under current guidance and requires additional disclosures about the nature, amount, timing, and uncertainty of revenue and cash flows arising from the customer contracts. It provides guidance on transition requirements.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adopted ASU 2014-09 and its related guidance under the modified retrospective method during the first quarter of fiscal 2019 by applying the guidance to all open contracts at the adoption date. We have completed our evaluation of our revenue arrangements under the new standard and have assessed that the adoption did not materially change the timing or amount of revenue recognized, primarily based upon our assessment of "point in time" and "over time" revenue recognition. No adjustment to beginning retained earnings was recorded, and we have made additional disclosures related to revenue from contracts with customers as required by the new standard upon adoption. See "Note 4. Revenue Recognition" for more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Not Yet Adopted</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Statement-Reporting Comprehensive Income (Topic 220): Reclassification of Certain Tax Effects</w:t>
      </w:r>
      <w:r>
        <w:rPr>
          <w:rFonts w:ascii="Arial" w:cs="Arial" w:eastAsia="Arial" w:hAnsi="Arial"/>
          <w:sz w:val="16"/>
          <w:szCs w:val="16"/>
          <w:color w:val="auto"/>
        </w:rPr>
        <w:t xml:space="preserve"> </w:t>
      </w:r>
      <w:r>
        <w:rPr>
          <w:rFonts w:ascii="Arial" w:cs="Arial" w:eastAsia="Arial" w:hAnsi="Arial"/>
          <w:sz w:val="16"/>
          <w:szCs w:val="16"/>
          <w:i w:val="1"/>
          <w:iCs w:val="1"/>
          <w:color w:val="auto"/>
        </w:rPr>
        <w:t>from Accumulated Other Comprehensive Income</w:t>
      </w:r>
      <w:r>
        <w:rPr>
          <w:rFonts w:ascii="Arial" w:cs="Arial" w:eastAsia="Arial" w:hAnsi="Arial"/>
          <w:sz w:val="16"/>
          <w:szCs w:val="16"/>
          <w:color w:val="auto"/>
        </w:rPr>
        <w:t>, which allows a reclassification from accumulated other comprehensive income to retained earnings for</w:t>
      </w:r>
      <w:r>
        <w:rPr>
          <w:rFonts w:ascii="Arial" w:cs="Arial" w:eastAsia="Arial" w:hAnsi="Arial"/>
          <w:sz w:val="16"/>
          <w:szCs w:val="16"/>
          <w:i w:val="1"/>
          <w:iCs w:val="1"/>
          <w:color w:val="auto"/>
        </w:rPr>
        <w:t xml:space="preserve"> </w:t>
      </w:r>
      <w:r>
        <w:rPr>
          <w:rFonts w:ascii="Arial" w:cs="Arial" w:eastAsia="Arial" w:hAnsi="Arial"/>
          <w:sz w:val="16"/>
          <w:szCs w:val="16"/>
          <w:color w:val="auto"/>
        </w:rPr>
        <w:t>stranded tax effects resulting from the newly enacted federal corporate income tax rate under the U.S. Tax Cuts and Jobs Act (the "Tax Act"). ASU 2018-02 is effective for interim and annual periods beginning after December 15, 2018, with early adoption permitted that can be made on a prospective or retrospective basis. We are currently evaluating the effect that adopting ASU 2018-02 will have on our condensed consolidated financial statements and related disclosures.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xml:space="preserve"> which simplifies the subsequent measurement of goodwill by removing the second step of the two-step impairment test. The amendment requires an entity to perform its annual or interim goodwill impairment test by comparing the fair value of a reporting unit with its carrying amount. A goodwill impairment will be the amount by which a reporting unit’s carrying value exceeds its fair value, not to exceed the carrying amount of goodwill. ASU 2017-04 is effective for interim and annual periods beginning after December 15, 2019 and will require adoption on a prospective basis. We are currently evaluating the effect that adopting ASU 2017-04 will have on our condensed consolidated financial statements and related disclosures.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which provides guidance regarding the measurement and recognition of credit impairment for certain financial assets. ASU 2016-13 is effective for interim and annual periods beginning after December 15, 2019, with early adoption permitted, and will require adoption on a modified retrospective basis. We are currently evaluating the effect that adopting ASU 2016-13 will have on our condensed consolidated financial statements and related disclosures.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sets out the principles for the recognition, measurement, presentation and disclosure of leases for both parties to a contract (that is, lessees and lessors). ASU 2016-02 requires lessees to apply a dual approach, classifying leases as either finance or operating leases based on the principle of whether or not the lease is effectively a financed purchase of the leased asset by the lessee. This classification will determine whether the lease expense is recognized based on an effective interest method or on a straight-line basis over the term of the lease. A lessee is also required to record a right-of-use asset and a lease liability for all leases with a term greater than 12 months regardless of their classification. ASU 2016-02 requires lessors to account for leases using an approach that is substantially equivalent to existing guidance for sales-type leases, direct financing leases and operating leases. In July 2018, the FASB issued ASU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and ASU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provide (i) narrow amendments to clarify how to apply certain aspects of the new lease standard, (ii) entities with an additional transition method to adopt the new standard, and (ii) lessors with a practical expedient for separating components of a contract. All ASUs are effective for interim and annual periods beginning after December 15, 2018, with early adoption permitted, and will require adoption on a modified retrospective basis. We are currently evaluating the effect that adopting these ASUs will have on our condensed consolidated financial statements and related disclosures.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 in Affiliates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Investments in affiliates over which we have significant influence are accounted for under the equity method of accounting. Investments in affiliates over which we do not have the ability to exert significant influence over the affiliate's operating and financing activities are accounted for under the cost method of accounting. We have evaluated our relationships with our affiliates and have determined that these entities are not variable interest entities.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aggregate amount of investments accounted for under the equity method was $3,939 and $3,647 at July 28, 2018 and April 28, 2018, respectively. The equity method requires us to report our share of losses up to our equity investment amount. Cash paid for investments in affiliates is included in the "Purchases of equity investment" line item in our condensed consolidated statements of cash flows. Our proportional share of the respective affiliates' earnings or losses is included in the "Other (expense) income, net" line item in our condensed consolidated statements of operations. For the three months ended July 28, 2018 and July 29, 2017, our share of the losses of our affiliates was $134 and $85, respectively.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amount of investments accounted for under the cost method was $42 at July 28, 2018 and April 28, 2018, respectively. There have not been any identified events or changes in circumstances that may have a significant adverse effect on their fair value, and it is not practical to estimate their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 ("EPS")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common stock or resulted in the issuance of common stock which share in our earnings.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net income and common share amounts used in the calculation of basic and diluted EPS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28, 2018 and July 29,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234"/>
        </w:trPr>
        <w:tc>
          <w:tcPr>
            <w:tcW w:w="6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income</w:t>
            </w:r>
          </w:p>
        </w:tc>
        <w:tc>
          <w:tcPr>
            <w:tcW w:w="1500" w:type="dxa"/>
            <w:vAlign w:val="bottom"/>
            <w:gridSpan w:val="2"/>
          </w:tcPr>
          <w:p>
            <w:pPr>
              <w:ind w:left="40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income</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July 28, 2018</w:t>
            </w: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4,574</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44,638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4,574</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44,831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July 29, 2017</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8,429</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44,244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8,429</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44,461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1,798 shares of common stock with a weighted average exercise price of $10.46 for the three months ended July 28, 2018 and 1,580 shares of common stock with a weighted average exercise price of $12.48 for the three months ended July 29, 2017 were not included in the computation of diluted earnings per share because the effects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Our accounting policies and estimates as a result of adopting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are as follows: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Net sales are reported net of estimated sales returns and discounts, include compensation from customers for shipping and handling, and exclude sales taxes.</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often contract some or all equipment and services to our customers under the terms of a bundled (performance obligation(s)) sales arrangement. Delivery of these performance obligations can be transferred over time or at a single point in time. At contract inception, we evaluate for material distinct goods and services using professional judgment. We conclude we have separate performance obligations for items capable of being distinct in the eyes of the customer and if the item is distinct within the context of the contract. For those warranties that extend beyond typical terms and include other services ("service-type warranty"), we account for them as a separate performance obligation. When separate performance obligations are identified, we allocate the consideration to the individual performance obligation based on the best evidence and method we judge as faithfully depicting the value of the performance obligation. We primarily use the cost plus a margin approach to allocate the consideration.</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estimate the arrangement's consideration to be the value we expect to be entitled to as a result of transferring the performance obligation to the customer. The sales price may include variable consideration and amounts related to subcontracted deliverables (i.e., we integrate the materials, labor and equipment into the deliverables promised to the customer). When we have a contract that has variable consideration, including discounts, claims, unpriced change orders, and liquidated damages, we estimate the amount of revenue using the expected value (i.e., the sum of the probability-weighted amount) or the most likely amount method, whichever is expected to better predict revenue. Factors considered in determining revenue associated with variable consideration include the following: (a) the contract or other evidence</w:t>
      </w:r>
    </w:p>
    <w:p>
      <w:pPr>
        <w:sectPr>
          <w:pgSz w:w="11900" w:h="16838" w:orient="portrait"/>
          <w:cols w:equalWidth="0" w:num="1">
            <w:col w:w="11420"/>
          </w:cols>
          <w:pgMar w:left="240" w:top="121"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providing legal basis, (b) additional costs caused by unforeseen circumstances, (c) evidence supporting the claim, and (d) historical evidence and patterns of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material performance obligation types include:</w:t>
      </w:r>
    </w:p>
    <w:p>
      <w:pPr>
        <w:spacing w:after="0" w:line="225" w:lineRule="exact"/>
        <w:rPr>
          <w:sz w:val="20"/>
          <w:szCs w:val="20"/>
          <w:color w:val="auto"/>
        </w:rPr>
      </w:pPr>
    </w:p>
    <w:p>
      <w:pPr>
        <w:jc w:val="both"/>
        <w:ind w:left="660" w:right="20"/>
        <w:spacing w:after="0" w:line="259" w:lineRule="auto"/>
        <w:rPr>
          <w:sz w:val="20"/>
          <w:szCs w:val="20"/>
          <w:color w:val="auto"/>
        </w:rPr>
      </w:pPr>
      <w:r>
        <w:rPr>
          <w:rFonts w:ascii="Arial" w:cs="Arial" w:eastAsia="Arial" w:hAnsi="Arial"/>
          <w:sz w:val="18"/>
          <w:szCs w:val="18"/>
          <w:i w:val="1"/>
          <w:iCs w:val="1"/>
          <w:color w:val="auto"/>
        </w:rPr>
        <w:t>Unique configuration contracts</w:t>
      </w:r>
      <w:r>
        <w:rPr>
          <w:rFonts w:ascii="Arial" w:cs="Arial" w:eastAsia="Arial" w:hAnsi="Arial"/>
          <w:sz w:val="18"/>
          <w:szCs w:val="18"/>
          <w:color w:val="auto"/>
        </w:rPr>
        <w:t>: audio-visual communication systems uniquely configured (custom) or integrated for a customer's particular location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system configuration may include all or a combination of the following: engineering services, project management services, video display(s), control solution(s), installation and integration services, scoring and messaging equipment, training, other on-site services, spare parts, software licenses, and assurance-type warranties.</w:t>
      </w:r>
    </w:p>
    <w:p>
      <w:pPr>
        <w:spacing w:after="0" w:line="187"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We account for these types of contracts as a combined single performance obligation with no segmentation between types of products and services. A single performance obligation is most appropriate in our judgment when the substantial part of our promise to customers is to integrate and incorporate individual goods and services into a combined output or system; often times the system is customized or significantly modified to the customers' desired configurations and location, and the interrelated goods and services provide utility to the customers as a package.</w:t>
      </w:r>
    </w:p>
    <w:p>
      <w:pPr>
        <w:spacing w:after="0" w:line="154"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Revenue for uniquely configured (custom) or integrated systems are recognized over time as performance obligations are satisfied due to the continuous transfer of control to the customer. This transfer of control is evidenced either by the customer directing the work in process as demonstrated by contractual termination clauses or by our right to payment for work performed to date that does not have an alternative use to us. Sales and profits are recognized over time following the cost-to-cost input method (percentage-of-completion) measured by the percentage of costs incurred to date as compared to estimated total costs for each contract. The cost-to-cost input method is the most faithful depiction of our performance because it measures the value of the contract transferred to the customer. Costs to perform include direct and indirect costs for contract design, production, integration, installation, and assurance-type warranty reserve. Direct costs include material and components; manufacturing, project management, and engineering labor; and subcontracting expenses. Indirect costs include allocated charges for such items as facilities and equipment depreciation and general overhead. Provisions of estimated losses on uncompleted contracts are made in the period when such losses are capable of being estimated. Pre-contract costs are expensed as incurred unless they are expected to be recovered.</w:t>
      </w:r>
    </w:p>
    <w:p>
      <w:pPr>
        <w:spacing w:after="0" w:line="16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We receive payments from customers based on a billing schedule as established in our contracts. Billing schedules include down payments and progress billings over time or set milestone payments specific to the project. Variability in contract assets and contract liabilities ("Net over/under billings") relates to the timing of billings and revenue recognition, which can vary significantly depending on contractual payment terms and build and installation schedules. Balances are also impacted by the seasonality of the sports markets.</w:t>
      </w:r>
    </w:p>
    <w:p>
      <w:pPr>
        <w:spacing w:after="0" w:line="187"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Contract modifications to existing contracts with customers are evaluated in accordance with the five-step revenue model. We treat contract modifications as a separate contract and new performance obligations when the additional goods or services are distinct and do not add to the unique configuration or are outside the integrated system and when the consideration reflects standalone selling prices. If the additional goods or services offered under the modification enhance the uniquely configured or integrated systems, revenue is allocated to the existing contracts' performance obligation. Modifications may cause changes in the timing of revenue recognition depending on the allocation to various performance obligations.</w:t>
      </w:r>
    </w:p>
    <w:p>
      <w:pPr>
        <w:spacing w:after="0" w:line="15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time between contract order and project completion is typically less than 12 months but may extend longer depending on the amount of custom work and customers’ delivery needs.</w:t>
      </w:r>
    </w:p>
    <w:p>
      <w:pPr>
        <w:spacing w:after="0" w:line="170"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i w:val="1"/>
          <w:iCs w:val="1"/>
          <w:color w:val="auto"/>
        </w:rPr>
        <w:t>Limited configuration (standard systems) and after-sale parts contracts</w:t>
      </w:r>
      <w:r>
        <w:rPr>
          <w:rFonts w:ascii="Arial" w:cs="Arial" w:eastAsia="Arial" w:hAnsi="Arial"/>
          <w:sz w:val="16"/>
          <w:szCs w:val="16"/>
          <w:color w:val="auto"/>
        </w:rPr>
        <w:t>: Revenue for limited configured (standard systems) or after-sale parts</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with limited or no configuration or integration are recognized as individual performance obligations. Revenue is recognized at a point in time when title or control passes, or services are performed. Customers can purchase standard display systems individually or in large quantities. For purchases made in large quantities, we account for each piece of equipment separately as a distinct performance obligation from which a customer derives benefit. For systems with bundled standard products and services, much of the promised work for the customer is performed at the same time; therefore, allocation of the transaction price does not impact revenue timing. We account for these types of contracts as a combined single performance obligation with no segmentation between types of products and services. For those agreements we perform over reporting periods, we separate material performance obligations and allocate expected consideration. Immaterial goods or services in the context of the contract are included with the display system performance obligation. Standard systems and equipment with limited configurations or integrations may include all or a combination (when immaterial) of the following performance obligations: engineering services, project management services, video display(s), control solution(s), installation and integration services, scoring, messaging and audio equipment, training, spare parts, software licenses, assurance-type warranties, and after-sale parts. When fulfilling a limited configuration order, we are typically able to redirect the video displays or scoring, messaging, or audio equipment to another customer without incurring significant economic losses. Therefore, control is transferred to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customer at a point in time. For service-type or other performance obligations, we recognize revenue over time, which is the most faithful depiction of the customer obtaining control and benefits from the work performed.</w:t>
      </w:r>
    </w:p>
    <w:p>
      <w:pPr>
        <w:spacing w:after="0" w:line="17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i w:val="1"/>
          <w:iCs w:val="1"/>
          <w:color w:val="auto"/>
        </w:rPr>
        <w:t>Services and other</w:t>
      </w:r>
      <w:r>
        <w:rPr>
          <w:rFonts w:ascii="Arial" w:cs="Arial" w:eastAsia="Arial" w:hAnsi="Arial"/>
          <w:sz w:val="18"/>
          <w:szCs w:val="18"/>
          <w:color w:val="auto"/>
        </w:rPr>
        <w:t>: Services sold on a stand-alone basis or after the initial system sale include performance obligations such as event support,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room design, on-site training, equipment service, service-type warranties, technical support, software sold as a service, and other immaterial revenue streams. Services and other are recognized as net sales when the services are performed and control is transferred to the customer at a point in time or over time for time-based "stand ready to perform" type obligations. If we have the right to consideration from a customer that directly corresponds with the value of our performance (where we bill a fixed amount for each hour of service provided), we recognize revenue related to the work completed.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from software license fees on sales, other than uniquely configured type contracts, are recognized when delivery of the product has</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Subscription-based licenses include the right for a customer to use our licenses and receive related support for a specified term and revenue is recognized pro-rata over the term of the engagement.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Shipping and handling costs</w:t>
      </w:r>
      <w:r>
        <w:rPr>
          <w:rFonts w:ascii="Arial" w:cs="Arial" w:eastAsia="Arial" w:hAnsi="Arial"/>
          <w:sz w:val="18"/>
          <w:szCs w:val="18"/>
          <w:color w:val="auto"/>
        </w:rPr>
        <w:t>: Shipping and handling costs collected from our customers in connection with our sales are recorded as revenue. We record</w:t>
      </w:r>
      <w:r>
        <w:rPr>
          <w:rFonts w:ascii="Arial" w:cs="Arial" w:eastAsia="Arial" w:hAnsi="Arial"/>
          <w:sz w:val="18"/>
          <w:szCs w:val="18"/>
          <w:i w:val="1"/>
          <w:iCs w:val="1"/>
          <w:color w:val="auto"/>
        </w:rPr>
        <w:t xml:space="preserve"> </w:t>
      </w:r>
      <w:r>
        <w:rPr>
          <w:rFonts w:ascii="Arial" w:cs="Arial" w:eastAsia="Arial" w:hAnsi="Arial"/>
          <w:sz w:val="18"/>
          <w:szCs w:val="18"/>
          <w:color w:val="auto"/>
        </w:rPr>
        <w:t>shipping and handling costs as a component of cost of sales at the time the product is shipped.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Warranty</w:t>
      </w:r>
      <w:r>
        <w:rPr>
          <w:rFonts w:ascii="Arial" w:cs="Arial" w:eastAsia="Arial" w:hAnsi="Arial"/>
          <w:sz w:val="18"/>
          <w:szCs w:val="18"/>
          <w:color w:val="auto"/>
        </w:rPr>
        <w:t>: Our warranty offerings are described in "Note 11.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accordance with ASC 606-10-50, we disaggregate revenue from contracts with customers by the type of performance obligation and the timing of revenue recognition. We determine that disaggregating revenue in these categories achieves the disclosure objective to depict how the nature, amount, timing and uncertainty of revenue and cash flows are affected by economic factors and to enable users of financial statements to understand the relationship to each reportable segment. As noted in the segment information footnote, we are organized in five business segments: Commercial, Live Events, High School Park and Recreation, Transportation, and International.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disaggregation of revenue by segments:</w:t>
      </w:r>
    </w:p>
    <w:p>
      <w:pPr>
        <w:spacing w:after="0" w:line="200" w:lineRule="exact"/>
        <w:rPr>
          <w:sz w:val="20"/>
          <w:szCs w:val="20"/>
          <w:color w:val="auto"/>
        </w:rPr>
      </w:pPr>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High School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Park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Live Events</w:t>
            </w:r>
          </w:p>
        </w:tc>
        <w:tc>
          <w:tcPr>
            <w:tcW w:w="14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Recreation</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Transportation</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w w:val="91"/>
              </w:rPr>
              <w:t>Type of performance obligation</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76,747</w:t>
            </w:r>
          </w:p>
        </w:tc>
      </w:tr>
      <w:tr>
        <w:trPr>
          <w:trHeight w:val="243"/>
        </w:trPr>
        <w:tc>
          <w:tcPr>
            <w:tcW w:w="2500" w:type="dxa"/>
            <w:vAlign w:val="bottom"/>
          </w:tcPr>
          <w:p>
            <w:pPr>
              <w:ind w:left="160"/>
              <w:spacing w:after="0"/>
              <w:rPr>
                <w:sz w:val="20"/>
                <w:szCs w:val="20"/>
                <w:color w:val="auto"/>
              </w:rPr>
            </w:pPr>
            <w:r>
              <w:rPr>
                <w:rFonts w:ascii="Arial" w:cs="Arial" w:eastAsia="Arial" w:hAnsi="Arial"/>
                <w:sz w:val="18"/>
                <w:szCs w:val="18"/>
                <w:color w:val="auto"/>
              </w:rPr>
              <w:t>Limited configuration</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23,867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5,818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18,547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7,083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10,778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66,093</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11,348</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30,569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49,472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28,120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17,157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28,870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154,188</w:t>
            </w:r>
          </w:p>
        </w:tc>
      </w:tr>
      <w:tr>
        <w:trPr>
          <w:trHeight w:val="67"/>
        </w:trPr>
        <w:tc>
          <w:tcPr>
            <w:tcW w:w="25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Timing of revenue 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9"/>
        </w:trPr>
        <w:tc>
          <w:tcPr>
            <w:tcW w:w="2500" w:type="dxa"/>
            <w:vAlign w:val="bottom"/>
          </w:tcPr>
          <w:p>
            <w:pPr>
              <w:ind w:left="160"/>
              <w:spacing w:after="0"/>
              <w:rPr>
                <w:sz w:val="20"/>
                <w:szCs w:val="20"/>
                <w:color w:val="auto"/>
              </w:rPr>
            </w:pPr>
            <w:r>
              <w:rPr>
                <w:rFonts w:ascii="Arial" w:cs="Arial" w:eastAsia="Arial" w:hAnsi="Arial"/>
                <w:sz w:val="18"/>
                <w:szCs w:val="18"/>
                <w:color w:val="auto"/>
                <w:w w:val="92"/>
              </w:rPr>
              <w:t>Goods/services transferred at a</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500" w:type="dxa"/>
            <w:vAlign w:val="bottom"/>
          </w:tcPr>
          <w:p>
            <w:pPr>
              <w:ind w:left="160"/>
              <w:spacing w:after="0"/>
              <w:rPr>
                <w:sz w:val="20"/>
                <w:szCs w:val="20"/>
                <w:color w:val="auto"/>
              </w:rPr>
            </w:pPr>
            <w:r>
              <w:rPr>
                <w:rFonts w:ascii="Arial" w:cs="Arial" w:eastAsia="Arial" w:hAnsi="Arial"/>
                <w:sz w:val="18"/>
                <w:szCs w:val="18"/>
                <w:color w:val="auto"/>
              </w:rPr>
              <w:t>point in time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24,583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6,802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16,998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7,232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11,536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67,151</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Goods/services transferred over</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87,037</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30,569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49,472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28,120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17,157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28,870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154,188</w:t>
            </w: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5. Segment Reporting" for a disaggregation of revenue by geography.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under the contract terms. Contract liabilities represent amounts billed to the clients in excess of revenue recognized to date.</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adjust the contract price for the effects of a significant financing component if we expect, at contract inception, that the period between when we transfer goods and services to a customer will exceed one year from the time the customer pays. See "Note 10. Receivables" for amounts recorded in long-term receivables.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changes in our contract assets and liabilities: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July 28, 2018</w:t>
            </w:r>
          </w:p>
        </w:tc>
        <w:tc>
          <w:tcPr>
            <w:tcW w:w="14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April 28, 2018</w:t>
            </w:r>
          </w:p>
        </w:tc>
        <w:tc>
          <w:tcPr>
            <w:tcW w:w="1460" w:type="dxa"/>
            <w:vAlign w:val="bottom"/>
            <w:gridSpan w:val="3"/>
          </w:tcPr>
          <w:p>
            <w:pPr>
              <w:ind w:left="120"/>
              <w:spacing w:after="0"/>
              <w:rPr>
                <w:sz w:val="20"/>
                <w:szCs w:val="20"/>
                <w:color w:val="auto"/>
              </w:rPr>
            </w:pPr>
            <w:r>
              <w:rPr>
                <w:rFonts w:ascii="Arial" w:cs="Arial" w:eastAsia="Arial" w:hAnsi="Arial"/>
                <w:sz w:val="18"/>
                <w:szCs w:val="18"/>
                <w:b w:val="1"/>
                <w:bCs w:val="1"/>
                <w:color w:val="auto"/>
              </w:rPr>
              <w:t>Dollar Change</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Percent Change</w:t>
            </w:r>
          </w:p>
        </w:tc>
      </w:tr>
      <w:tr>
        <w:trPr>
          <w:trHeight w:val="27"/>
        </w:trPr>
        <w:tc>
          <w:tcPr>
            <w:tcW w:w="3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Contract liabilities - current</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50,629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39,379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11,250</w:t>
            </w:r>
          </w:p>
        </w:tc>
        <w:tc>
          <w:tcPr>
            <w:tcW w:w="1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28.6</w:t>
            </w:r>
          </w:p>
        </w:tc>
      </w:tr>
      <w:tr>
        <w:trPr>
          <w:trHeight w:val="27"/>
        </w:trPr>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liabilities - noncurrent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7,475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r>
      <w:tr>
        <w:trPr>
          <w:trHeight w:val="27"/>
        </w:trPr>
        <w:tc>
          <w:tcPr>
            <w:tcW w:w="3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our contract assets and contract liabilities from April 28, 2018 to July 28, 2018 was due to the timing of billing schedules and revenue recognition, which can vary significantly depending on the contractual payment terms and the seasonality of the sports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July 28, 2018, we recognized revenue of $23,805 related to our contract liabilities as of April 28,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Remaining performance obligations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July 28, 2018, the aggregate amount of the transaction price allocated to the remaining performance obligations, which we also refer to as backlog, was $223,751. We expect approximately $190,219 of our remaining performance obligations to be recognized over the next 12 months with the remainder recognized thereafter. Remaining performance obligations related to product and service agreements are $176,819 and $46,932, respectively. Although remaining performance obligations reflects business that is considered to be legally binding, cancellations, deferrals or scope adjustments may occur. Any known project cancellations, revisions to project scope and cost, foreign currency exchange fluctuations and project deferrals are reflected in the balance as appropriate.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organized our business into five segments which meet the definition of reportable segments under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Commercial, Live Events, High School Park and Recreation, Transportation, and International. These segments are based on the customer type or geography and are the same as our business units.</w:t>
      </w:r>
    </w:p>
    <w:p>
      <w:pPr>
        <w:spacing w:after="0" w:line="18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Our Commercial business unit primarily consists of sales of our integrated video display systems, digital billboards,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Fuelight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 and dynamic messaging systems to resellers (primarily sign companies), Out-of-Home ("OOH") companies, national retailers, quick-serve restaurants, casinos, commercial building owners,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High School Park and Recreation business unit primarily consists of sales of scoring systems,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displays and video display systems to primary and secondary education facilities and resellers (primarily sign companies). Our Transportation business unit primarily consists of sales of intelligent transportation systems dynamic messaging signs for road management, mass transit, and aviation applications and other electronic signage for advertising and way-finding needs, which includes our Vanguard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 and other intelligent transportation systems dynamic message signs, to governmental transportation departments, transportation industry contractors, airlines and other transportation related customers. Our International business unit consists of sales of all product lines outside the United States and Canada. In our International business unit, we focus on product lines related to integrated scoring and video display systems for sports and commercial applications, OOH advertising products, architectural lighting, and transportation related products.</w:t>
      </w:r>
    </w:p>
    <w:p>
      <w:pPr>
        <w:spacing w:after="0" w:line="20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evaluate segment performance based on operating results through contribution margin, which is comprised of gross profit less selling expense. Gross profit is net sales less cost of sales. Cost of sales consists primarily of inventory and components, consumables, salaries, other employee-related costs, facilities-related costs for manufacturing locations, machinery and equipment maintenance and depreciation, site sub-contractors, warranty costs, enterprise resource and service management systems, inventory obsolescence and write-downs, inventory procurement and handling costs, and other manufacturing, installation, and service delivery expenses. Selling expenses consist primarily of salaries, other employee-related costs, travel and entertainment expenses, facilities-related costs for sales and service offices, bad debt expenses, third-party commissions and expenditures for marketing efforts, including the costs of collateral materials, conventions and trade shows, product demonstrations, customer relationship management systems, and supplies. Contribution margin excludes general and administration expense, product design and development expense, non-operating income and expense and income tax expense. Some expenses or services are not directly allocable to a sale or segment or the resources and related expenses are shared across business segment areas. These expenses are allocated using estimates and allocation methodologies based on some financial measures and professional judgment. Shared or unabsorbed manufacturing costs are allocated to the business unit benefiting most from that manufacturing location's production capabilities. Shared or unabsorbed costs of domestic field sales and services infrastructure, including most field administrative staff, are allocated to the Commercial, Live Events, High School Park and Recreation, and Transportation business units based on cost of sales. Shared manufacturing, buildings and utilities, and procurement costs are allocated based on payroll dollars, square footage and various other financial measures. Assets are not allocated to the segments. Depreciation and amortization are allocated to each segment based on various financial measures; however, some depreciation and amortization are corporate in nature and remain unallocated. Our segments follow the same accounting policies as those described in Note 1 of our Annual Report on Form 10-K for the fiscal year ended April 28, 2018.</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therefore, disclosure of such information is not practical.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financial information for each of our five reporting segments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28,</w:t>
            </w:r>
          </w:p>
        </w:tc>
        <w:tc>
          <w:tcPr>
            <w:tcW w:w="260" w:type="dxa"/>
            <w:vAlign w:val="bottom"/>
          </w:tcPr>
          <w:p>
            <w:pPr>
              <w:spacing w:after="0"/>
              <w:rPr>
                <w:sz w:val="18"/>
                <w:szCs w:val="18"/>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July 29,</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30,569</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32,863</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49,472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77,612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28,120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28,479</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17,157</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18,912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28,870</w:t>
            </w: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14,862</w:t>
            </w: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154,188</w:t>
            </w: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172,728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6,894</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10,233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17,054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9,502</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10,351</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5,451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6,945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6,167</w:t>
            </w: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38,247</w:t>
            </w: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44,646</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Contribution margin: (1)</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2,474</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6,985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13,737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6,552</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4,295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w:t>
            </w: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21,869</w:t>
            </w: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29,707</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8,537</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8,935</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Product design and development</w:t>
            </w: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9,292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9,047</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11,725</w:t>
            </w:r>
          </w:p>
        </w:tc>
        <w:tc>
          <w:tcPr>
            <w:tcW w:w="0" w:type="dxa"/>
            <w:vAlign w:val="bottom"/>
          </w:tcPr>
          <w:p>
            <w:pPr>
              <w:spacing w:after="0"/>
              <w:rPr>
                <w:sz w:val="1"/>
                <w:szCs w:val="1"/>
                <w:color w:val="auto"/>
              </w:rPr>
            </w:pPr>
          </w:p>
        </w:tc>
      </w:tr>
      <w:tr>
        <w:trPr>
          <w:trHeight w:val="176"/>
        </w:trPr>
        <w:tc>
          <w:tcPr>
            <w:tcW w:w="5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5120" w:type="dxa"/>
            <w:vAlign w:val="bottom"/>
          </w:tcPr>
          <w:p>
            <w:pPr>
              <w:ind w:left="50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50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4,044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11,995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0" w:type="dxa"/>
            <w:vAlign w:val="bottom"/>
          </w:tcPr>
          <w:p>
            <w:pPr>
              <w:spacing w:after="0"/>
              <w:rPr>
                <w:sz w:val="1"/>
                <w:szCs w:val="1"/>
                <w:color w:val="auto"/>
              </w:rPr>
            </w:pPr>
          </w:p>
        </w:tc>
      </w:tr>
      <w:tr>
        <w:trPr>
          <w:trHeight w:val="297"/>
        </w:trPr>
        <w:tc>
          <w:tcPr>
            <w:tcW w:w="512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4,574</w:t>
            </w:r>
          </w:p>
        </w:tc>
        <w:tc>
          <w:tcPr>
            <w:tcW w:w="2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8,429</w:t>
            </w:r>
          </w:p>
        </w:tc>
        <w:tc>
          <w:tcPr>
            <w:tcW w:w="0" w:type="dxa"/>
            <w:vAlign w:val="bottom"/>
          </w:tcPr>
          <w:p>
            <w:pPr>
              <w:spacing w:after="0"/>
              <w:rPr>
                <w:sz w:val="1"/>
                <w:szCs w:val="1"/>
                <w:color w:val="auto"/>
              </w:rPr>
            </w:pPr>
          </w:p>
        </w:tc>
      </w:tr>
      <w:tr>
        <w:trPr>
          <w:trHeight w:val="163"/>
        </w:trPr>
        <w:tc>
          <w:tcPr>
            <w:tcW w:w="5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1,172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Unallocated corporate depreciation</w:t>
            </w: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721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4,488</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spacing w:after="0"/>
        <w:rPr>
          <w:sz w:val="20"/>
          <w:szCs w:val="20"/>
          <w:color w:val="auto"/>
        </w:rPr>
      </w:pPr>
      <w:r>
        <w:rPr>
          <w:rFonts w:ascii="Arial" w:cs="Arial" w:eastAsia="Arial" w:hAnsi="Arial"/>
          <w:sz w:val="18"/>
          <w:szCs w:val="18"/>
          <w:color w:val="auto"/>
        </w:rPr>
        <w:t>(1) Contribution margin consists of gross profit less selling expense.</w:t>
      </w:r>
    </w:p>
    <w:p>
      <w:pPr>
        <w:sectPr>
          <w:pgSz w:w="11900" w:h="16838" w:orient="portrait"/>
          <w:cols w:equalWidth="0" w:num="1">
            <w:col w:w="10219"/>
          </w:cols>
          <w:pgMar w:left="240" w:top="122" w:right="1440" w:bottom="1095" w:gutter="0" w:footer="0" w:header="0"/>
        </w:sectPr>
      </w:pP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219"/>
          </w:cols>
          <w:pgMar w:left="240" w:top="122" w:right="1440" w:bottom="1095"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28,</w:t>
            </w:r>
          </w:p>
        </w:tc>
        <w:tc>
          <w:tcPr>
            <w:tcW w:w="240" w:type="dxa"/>
            <w:vAlign w:val="bottom"/>
          </w:tcPr>
          <w:p>
            <w:pPr>
              <w:spacing w:after="0"/>
              <w:rPr>
                <w:sz w:val="18"/>
                <w:szCs w:val="18"/>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29,</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155,438</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United States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32,491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17,289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172,728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376" w:lineRule="exact"/>
        <w:rPr>
          <w:sz w:val="20"/>
          <w:szCs w:val="20"/>
          <w:color w:val="auto"/>
        </w:rPr>
      </w:pPr>
    </w:p>
    <w:p>
      <w:pPr>
        <w:ind w:left="5980"/>
        <w:spacing w:after="0"/>
        <w:rPr>
          <w:sz w:val="20"/>
          <w:szCs w:val="20"/>
          <w:color w:val="auto"/>
        </w:rPr>
      </w:pPr>
      <w:r>
        <w:rPr>
          <w:rFonts w:ascii="Arial" w:cs="Arial" w:eastAsia="Arial" w:hAnsi="Arial"/>
          <w:sz w:val="16"/>
          <w:szCs w:val="16"/>
          <w:b w:val="1"/>
          <w:bCs w:val="1"/>
          <w:color w:val="auto"/>
        </w:rPr>
        <w:t>July 28,</w:t>
      </w:r>
    </w:p>
    <w:p>
      <w:pPr>
        <w:spacing w:after="0" w:line="50"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22860</wp:posOffset>
            </wp:positionV>
            <wp:extent cx="883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April 28,</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22860</wp:posOffset>
            </wp:positionV>
            <wp:extent cx="883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720" w:space="720"/>
            <w:col w:w="39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 of accumulated depreciation:</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61,206</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United States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6,934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6,853</w:t>
            </w:r>
          </w:p>
        </w:tc>
      </w:tr>
      <w:tr>
        <w:trPr>
          <w:trHeight w:val="27"/>
        </w:trPr>
        <w:tc>
          <w:tcPr>
            <w:tcW w:w="56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67,290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68,059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numerous customers worldwide for sales of our products and services, and no customers accounted for 10% or more of net sales; therefore, we are not economically dependent on a limited number of customers for the sale of our products and services except with respect to our dependence on two major digital billboard customers in our Commercial business unit.</w:t>
      </w:r>
    </w:p>
    <w:p>
      <w:pPr>
        <w:spacing w:after="0" w:line="18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have numerous raw material and component suppliers, and no supplier accounts for 10% or more of our cost of sales; however, we have a number of single-source suppliers that could limit our supply or cause delays in obtaining raw material and components needed in manufacturing.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Marketable Securities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xml:space="preserve"> Marketable securities classified as available-for-sale are reported at fair value with unrealized gains or losses, net of tax, reported in accumulated other comprehensive loss on the condensed consolidated balance sheets. As it relates to fixed income marketable securities, it is not likely we will be required to sell any of these investments before recovery of the entire amortized cost basis. In addition, as of July 28, 2018,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July 28, 2018 and April 28, 2018,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Amortized Cost</w:t>
            </w:r>
          </w:p>
        </w:tc>
        <w:tc>
          <w:tcPr>
            <w:tcW w:w="1660" w:type="dxa"/>
            <w:vAlign w:val="bottom"/>
            <w:gridSpan w:val="3"/>
          </w:tcPr>
          <w:p>
            <w:pPr>
              <w:ind w:left="40"/>
              <w:spacing w:after="0"/>
              <w:rPr>
                <w:sz w:val="20"/>
                <w:szCs w:val="20"/>
                <w:color w:val="auto"/>
              </w:rPr>
            </w:pPr>
            <w:r>
              <w:rPr>
                <w:rFonts w:ascii="Arial" w:cs="Arial" w:eastAsia="Arial" w:hAnsi="Arial"/>
                <w:sz w:val="18"/>
                <w:szCs w:val="18"/>
                <w:b w:val="1"/>
                <w:bCs w:val="1"/>
                <w:color w:val="auto"/>
              </w:rPr>
              <w:t>Unrealized 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3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July 28, 2018</w:t>
            </w: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6,189</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1,994</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15,089</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14,971</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4,213</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4,206</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27,485</w:t>
            </w:r>
          </w:p>
        </w:tc>
        <w:tc>
          <w:tcPr>
            <w:tcW w:w="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27,352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28, 2018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8,669</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999</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20,072</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19,949</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4,936</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34,676</w:t>
            </w:r>
          </w:p>
        </w:tc>
        <w:tc>
          <w:tcPr>
            <w:tcW w:w="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34,522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Realized gains or losses on investments are recorded in our condensed consolidated statements of operations as "Other (expense) income, net." Upon the sale of a security classified as available-for-sale, the security’s specific unrealized gain (loss) is reclassified out of accumulated other comprehensive loss into earnings based on the specific identification method. In the three months ended July 28, 2018 and July 29, 2017, the reclassifications from accumulated other comprehensive loss to net earnings were immaterial.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July 28, 2018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1-5 Years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 securities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995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1,986</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sponsored entities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14,971</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2,660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1,546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4,206</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12,622</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27,352</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AJT Systems, Inc. Acquisition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the net assets of AJT Systems, Inc. ("AJT"), a Florida-based company, on June 21, 2018. The results of its operations have been included in our condensed consolidated financial statements since the date of acquisition. We have not made pro forma disclosures because the results of its operations are not material to our condensed consolidated financial statements.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AJT is a developer of real-time live to air graphics rendering and video server systems for the broadcast TV industry. This acquisition will allow our organization to grow and strengthen our solution offerings to the market. This acquisition was primarily funded with cash on hand.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related to each reportable segment for the three months ended July 28, 2018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Live Events</w:t>
            </w: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Transportation</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International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28,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8,264</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July 28,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8,115</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 an analysis of goodwill on an annual basis, and it is tested for impairment more frequently if events or changes in circumstances indicate that an asset might be impaired. We perform our annual analysis during our third quarter of each fiscal year, based on the goodwill amount as of the first business day of our third fiscal quarter. The result of the analysis indicated no goodwill impairment existed for our third quarter in fiscal 2018, which began on October 29, 2017.</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conducting our impairment testing, we compare the fair value of each of our business units to the related carrying value of the allocated assets. We utilize the income approach based on discounted projected cash flows to estimate the fair value of each unit. The projected cash flows use many estimates including market conditions, expected market demand and our ability to grow or maintain market share, gross profit, and expected expenditures for capital and operating expenses. Assets shared or not directly attributed to a reportable segment's activities are allocated to the reportable segment based on sales and other measures.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Note 9. Inventories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0"/>
        </w:trPr>
        <w:tc>
          <w:tcPr>
            <w:tcW w:w="7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28,</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28,</w:t>
            </w:r>
          </w:p>
        </w:tc>
      </w:tr>
      <w:tr>
        <w:trPr>
          <w:trHeight w:val="234"/>
        </w:trPr>
        <w:tc>
          <w:tcPr>
            <w:tcW w:w="7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33,856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30,570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9,209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8,645</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35,918</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36,120</w:t>
            </w:r>
          </w:p>
        </w:tc>
      </w:tr>
      <w:tr>
        <w:trPr>
          <w:trHeight w:val="237"/>
        </w:trPr>
        <w:tc>
          <w:tcPr>
            <w:tcW w:w="77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78,983</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75,335</w:t>
            </w:r>
          </w:p>
        </w:tc>
      </w:tr>
      <w:tr>
        <w:trPr>
          <w:trHeight w:val="27"/>
        </w:trPr>
        <w:tc>
          <w:tcPr>
            <w:tcW w:w="7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Receivables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are reported net of an allowance for doubtful accounts of $2,177 and $2,151 at July 28, 2018 and April 28, 2018, respectively. Included in accounts receivable as of July 28, 2018 and April 28, 2018 was $1,190 and $964, respectively, of retainage on construction-type contracts, all of which is expected to be collected within one year.</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certain sales transactions, we have entered into sales contracts with installment payments exceeding 12 months and sales-type leases. The present value of these contracts and leases are recorded as a receivable as the revenue is recognized in accordance with GAAP,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$2,987 and $3,393 as of July 28, 2018 and April 28, 2018, respectively. Contract and lease receivables bearing annual interest rates of 4.8 to 9.0 percent are due in varying annual installments through 2024. The face amount of long-term receivables was $3,267 as of July 28, 2018 and $3,733 as of April 28,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We are a party to legal proceedings and claims which arise during the ordinary course of business. We review our legal proceedings and claims,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condensed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Arial" w:cs="Arial" w:eastAsia="Arial" w:hAnsi="Arial"/>
          <w:sz w:val="17"/>
          <w:szCs w:val="17"/>
          <w:i w:val="1"/>
          <w:iCs w:val="1"/>
          <w:color w:val="auto"/>
        </w:rPr>
        <w:t>Contingencies - Loss Contingencies</w:t>
      </w:r>
      <w:r>
        <w:rPr>
          <w:rFonts w:ascii="Arial" w:cs="Arial" w:eastAsia="Arial" w:hAnsi="Arial"/>
          <w:sz w:val="17"/>
          <w:szCs w:val="17"/>
          <w:color w:val="auto"/>
        </w:rPr>
        <w:t>. Our assessment of whether a loss is reasonably possible or probable is based on our assessment and consultation with legal counsel regarding the ultimate outcome of the matter following all appeals.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July 28, 2018 and April 28, 2018, we recorded a liability and related other receivable of $1,612 and $1,904 for a net claim from a customer against work performed by one of our subcontractors during installation which damaged our customer's property. The amount recorded is for probable and reasonably estimated cost to remediate the damage. Our subcontractor has full insurance for such matters, we have claims to a performance bond as additional collateral, and we carry insurance to cover such matters. In the opinion of management, the ultimate liability of this claim is not expected to have a material effect on our financial position, liquidity or capital resources.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July 28, 2018 and April 28, 2018, a customer was withholding $2,224 of payment claiming we did not perform to the customer's specifications. We believe we have performed to the agreed-upon written specifications, have strong contractual documentation to support our position, and a customer with wherewithal to pay. We believe that we will ultimately prevail in collections. Although our assessment of the loss is remote, a number of factors could change the outcome.</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did not believe there was a reasonable probability that any material loss for other various claims or legal actions, including reviews, inspections or other legal proceedings, if any, would be incurred. Accordingly, no material accrual or disclosure of a potential range of loss has been made related to these matters. We do not expect the ultimate liability of these unresolved legal proceedings to have a material effect on our financial position, liquidity or capital resources.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offer a standard parts coverage warranty for periods varying from one to five years for most of our products. We also offer additional types</w:t>
      </w:r>
      <w:r>
        <w:rPr>
          <w:rFonts w:ascii="Arial" w:cs="Arial" w:eastAsia="Arial" w:hAnsi="Arial"/>
          <w:sz w:val="18"/>
          <w:szCs w:val="18"/>
          <w:i w:val="1"/>
          <w:iCs w:val="1"/>
          <w:color w:val="auto"/>
        </w:rPr>
        <w:t xml:space="preserve"> </w:t>
      </w:r>
      <w:r>
        <w:rPr>
          <w:rFonts w:ascii="Arial" w:cs="Arial" w:eastAsia="Arial" w:hAnsi="Arial"/>
          <w:sz w:val="18"/>
          <w:szCs w:val="18"/>
          <w:color w:val="auto"/>
        </w:rPr>
        <w:t>of warranties to include on-site labor, routine maintenance and event support. In addition, the terms of warranties on some installations can vary from one to 10 years. The specific terms and conditions of these warranties vary primarily depending on the type of product sold. We estimate the costs which may be incurred under the contractual warranty obligations (assurance type warranty)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accruals and, to the extent we experience any changes in warranty claim activity or costs associated with servicing</w:t>
      </w:r>
    </w:p>
    <w:p>
      <w:pPr>
        <w:sectPr>
          <w:pgSz w:w="11900" w:h="16838" w:orient="portrait"/>
          <w:cols w:equalWidth="0" w:num="1">
            <w:col w:w="11420"/>
          </w:cols>
          <w:pgMar w:left="240" w:top="122"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those claims, our accrued warranty obligation is adjusted accordingly. For service-type warranty contracts, we allocate revenue to this performance obligation and recognize the revenue over time and costs as incurred.</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disclosed a warranty issue in Note 18 of our Annual Report on Form 10-K for the fiscal year ended April 28, 2018 regarding a mechanical device failure within a module for displays. During the three months ended July 28, 2018 and July 29, 2017, we recognized warranty expense for probable and reasonably estimated costs to remediate this issue of $596 and $783, respectively. As of July 28, 2018, we had $1,314 remaining in accrued warranty obligations for the estimate of probable future claims related to this issue. Although many of our contractual warranty arrangements are nearing expiration for products with this issue, we may incur additional discretionary costs to maintain customer relationships or for higher than expected failure rates. Accordingly, it is possible that the ultimate cost to resolve this matter may increase and be materially different from the amount of the current estimate and accrual.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obligation for the three months ended July 28, 2018 and July 29, 2017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July 28, 2018</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8"/>
              </w:rPr>
              <w:t>July 29, 2017</w:t>
            </w:r>
          </w:p>
        </w:tc>
      </w:tr>
      <w:tr>
        <w:trPr>
          <w:trHeight w:val="27"/>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obligations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29,953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27,899</w:t>
            </w:r>
          </w:p>
        </w:tc>
      </w:tr>
      <w:tr>
        <w:trPr>
          <w:trHeight w:val="243"/>
        </w:trPr>
        <w:tc>
          <w:tcPr>
            <w:tcW w:w="5660" w:type="dxa"/>
            <w:vAlign w:val="bottom"/>
          </w:tcPr>
          <w:p>
            <w:pPr>
              <w:ind w:left="660"/>
              <w:spacing w:after="0"/>
              <w:rPr>
                <w:sz w:val="20"/>
                <w:szCs w:val="20"/>
                <w:color w:val="auto"/>
              </w:rPr>
            </w:pPr>
            <w:r>
              <w:rPr>
                <w:rFonts w:ascii="Arial" w:cs="Arial" w:eastAsia="Arial" w:hAnsi="Arial"/>
                <w:sz w:val="18"/>
                <w:szCs w:val="18"/>
                <w:color w:val="auto"/>
              </w:rPr>
              <w:t>Warranties issued during the period</w:t>
            </w:r>
          </w:p>
        </w:tc>
        <w:tc>
          <w:tcPr>
            <w:tcW w:w="22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2,450</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4,128</w:t>
            </w:r>
          </w:p>
        </w:tc>
      </w:tr>
      <w:tr>
        <w:trPr>
          <w:trHeight w:val="27"/>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Settlements made during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(3,969)</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(3,493)</w:t>
            </w:r>
          </w:p>
        </w:tc>
      </w:tr>
      <w:tr>
        <w:trPr>
          <w:trHeight w:val="229"/>
        </w:trPr>
        <w:tc>
          <w:tcPr>
            <w:tcW w:w="5660" w:type="dxa"/>
            <w:vAlign w:val="bottom"/>
          </w:tcPr>
          <w:p>
            <w:pPr>
              <w:ind w:left="680"/>
              <w:spacing w:after="0"/>
              <w:rPr>
                <w:sz w:val="20"/>
                <w:szCs w:val="20"/>
                <w:color w:val="auto"/>
              </w:rPr>
            </w:pPr>
            <w:r>
              <w:rPr>
                <w:rFonts w:ascii="Arial" w:cs="Arial" w:eastAsia="Arial" w:hAnsi="Arial"/>
                <w:sz w:val="18"/>
                <w:szCs w:val="18"/>
                <w:color w:val="auto"/>
              </w:rPr>
              <w:t>Changes in accrued warranty obligations for pre-existing</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660" w:type="dxa"/>
            <w:vAlign w:val="bottom"/>
          </w:tcPr>
          <w:p>
            <w:pPr>
              <w:ind w:left="740"/>
              <w:spacing w:after="0"/>
              <w:rPr>
                <w:sz w:val="20"/>
                <w:szCs w:val="20"/>
                <w:color w:val="auto"/>
              </w:rPr>
            </w:pPr>
            <w:r>
              <w:rPr>
                <w:rFonts w:ascii="Arial" w:cs="Arial" w:eastAsia="Arial" w:hAnsi="Arial"/>
                <w:sz w:val="18"/>
                <w:szCs w:val="18"/>
                <w:color w:val="auto"/>
              </w:rPr>
              <w:t>warranties during the period, including expirations</w:t>
            </w:r>
          </w:p>
        </w:tc>
        <w:tc>
          <w:tcPr>
            <w:tcW w:w="22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811</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1,219</w:t>
            </w:r>
          </w:p>
        </w:tc>
      </w:tr>
      <w:tr>
        <w:trPr>
          <w:trHeight w:val="27"/>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obligations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29,245</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29,753</w:t>
            </w: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Performance guarantees: </w:t>
      </w:r>
      <w:r>
        <w:rPr>
          <w:rFonts w:ascii="Arial" w:cs="Arial" w:eastAsia="Arial" w:hAnsi="Arial"/>
          <w:sz w:val="17"/>
          <w:szCs w:val="17"/>
          <w:color w:val="auto"/>
        </w:rPr>
        <w:t>We have entered into standby letters of credit and surety bonds with financial institutions relating to the guarantee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on contracts, primarily construction type contracts. As of July 28, 2018, we had outstanding letters of credit and surety bonds in the amount of $12,703 and $14,835, respectively. Performance guarantees are issued to certain customers to guarantee the operation and installation of the equipment and our ability to complete a contract. These performance guarantees have various terms, but are generally one year.</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We lease vehicles, office space and equipment for various global sales and service locations, including manufacturing space in the United States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China. Some of these leases, including the lease for manufacturing facilities in Sioux Falls, South Dakota, include provisions for extensions or purchase. The lease for the facilities in Sioux Falls, South Dakota, can be extended for an additional five years past its current term, which ends March 31, 2022, and it contains an option to purchase the property subject to the lease from March 31, 2017 to March 31, 2022 for $9,000, which approximates fair value. If the lease is extended, the purchase option increases to $9,090 for the year ending March 31, 2023 and $9,180 for the year ending March 31, 2024. Rental expense for operating leases was $858 and $853 for the three months ended July 28, 2018 and July 29, 2017, respectively.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excluding executory costs such as management and maintenance fees, with initial or remaining terms of one year or more consisted of the following at July 28,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2,372</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1,481</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Purchase commitments: </w:t>
      </w:r>
      <w:r>
        <w:rPr>
          <w:rFonts w:ascii="Arial" w:cs="Arial" w:eastAsia="Arial" w:hAnsi="Arial"/>
          <w:sz w:val="17"/>
          <w:szCs w:val="17"/>
          <w:color w:val="auto"/>
        </w:rPr>
        <w:t>From time to time, we commit to purchase inventory, advertising, cloud-based information systems, information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and support services, and various other products and services over periods that extend beyond one year. As of July 28, 2018, we were obligated under the following conditional and unconditional purchase commitments, which included $275 in conditional purchase commitments: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3,661</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effective tax rate varies from the federal statutory rate primarily due to state and local taxes, research and development tax credit, and the base erosion anti-abuse tax. We recorded an effective tax rate benefit of 13.1 percent in the first quarter of 2019 as compared to an effective tax rate expense of 29.7 percent for the first quarter of fiscal 2018. The decrease in the effective tax rate is primarily due to projected tax credits in excess of our projected tax liability in conjunction with the decrease in the federal statutory tax rate pursuant to the U.S. Tax Cuts and Jobs Act (the "Tax Act").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U.S. federal income tax as well as income taxes of multiple state and foreign jurisdictions. Due to various factors and operating in multiple state and foreign jurisdictions, our effective tax is subject to fluctuation. As a result of the expiration of statutes of limitations, our fiscal years 2015, 2016, 2017, and 2018 are the remaining years open under statutes of limitations for federal and state income tax examinations. Certain subsidiaries are also subject to income tax in several foreign jurisdictions which have open tax years varying by jurisdiction beginning in fiscal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July 28, 2018, we had $3,336 of unrecognized tax benefits which would reduce our effective tax rate if recognized.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Pursuant to Tax Act, the SEC staff issued Staff Accounting Bulletin No. 118, </w:t>
      </w:r>
      <w:r>
        <w:rPr>
          <w:rFonts w:ascii="Arial" w:cs="Arial" w:eastAsia="Arial" w:hAnsi="Arial"/>
          <w:sz w:val="16"/>
          <w:szCs w:val="16"/>
          <w:i w:val="1"/>
          <w:iCs w:val="1"/>
          <w:color w:val="auto"/>
        </w:rPr>
        <w:t>Income Tax Accounting Implications of the Tax Act</w:t>
      </w:r>
      <w:r>
        <w:rPr>
          <w:rFonts w:ascii="Arial" w:cs="Arial" w:eastAsia="Arial" w:hAnsi="Arial"/>
          <w:sz w:val="16"/>
          <w:szCs w:val="16"/>
          <w:color w:val="auto"/>
        </w:rPr>
        <w:t xml:space="preserve"> (SAB 118), which allows us to record provisional amounts during a measurement period not to extend beyond one year from the enactment date. The accounting for the deemed repatriation tax is provisional and incomplete due to continued guidance from the U.S. tax authority and our ongoing analysis of final year-end data and tax positions. This provisional estimate was included in our condensed consolidated financial statements as of July 28, 2018 and April 28, 2018. We did not make any measurement period adjustments during the first quarter of 2019. We expect to complete the analysis within the measurement period in accordance with SAB 118. Also, we have determined that we will recognize the Global Intangible Low Taxed Income (GILTI) as a period cost if, and when, incurred. As of July 28, 2018, undistributed earnings of our foreign subsidiaries were considered to have been reinvested indefinitely.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which may be utilized when measuring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within Level 1 for the assets or liabilities, either directly or indirectly (for example, quoted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values for fixed-rate long-term receivables are estimated using a discounted cash flow analysis based on interest rates currently being offered for contracts with similar terms to customers with similar credit quality. The carrying amounts reported on our condensed consolidated balance sheets for long-term receivables approximate fair value and have been categorized as a Level 2 fair value measurement. 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on our condensed consolidated balance sheets within other long-term obligations approximates fair value and has been categorized as a Level 2 fair value measurement.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July 28, 2018 and April 28, 2018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Fair Value Measurements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July 28, 2018</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15,915</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15,915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6,189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6,189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1,986</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14,971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14,971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bonds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Derivatives - asset position</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liability position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Contingent liabilities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17,927</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25,442</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41,060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28, 2018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29,727</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29,727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8,669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8,669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19,949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19,949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bonds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Derivatives - asset position</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liability position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Contingent liabilities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30,747</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33,335</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63,082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40" w:type="dxa"/>
            <w:vAlign w:val="bottom"/>
            <w:gridSpan w:val="9"/>
          </w:tcPr>
          <w:p>
            <w:pPr>
              <w:spacing w:after="0"/>
              <w:rPr>
                <w:sz w:val="20"/>
                <w:szCs w:val="20"/>
                <w:color w:val="auto"/>
              </w:rPr>
            </w:pPr>
            <w:r>
              <w:rPr>
                <w:rFonts w:ascii="Arial" w:cs="Arial" w:eastAsia="Arial" w:hAnsi="Arial"/>
                <w:sz w:val="18"/>
                <w:szCs w:val="18"/>
                <w:color w:val="auto"/>
                <w:w w:val="94"/>
              </w:rPr>
              <w:t>A roll forward of the Level 3 contingent liabilities, both short- and long-term, for the three months ended July 28, 2018 is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liability as of April 28, 2018</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liabilities as of July 28, 2018</w:t>
            </w: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was measured using quoted market prices in active markets. The carrying amount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Certificates of deposit</w:t>
      </w:r>
      <w:r>
        <w:rPr>
          <w:rFonts w:ascii="Arial" w:cs="Arial" w:eastAsia="Arial" w:hAnsi="Arial"/>
          <w:sz w:val="18"/>
          <w:szCs w:val="18"/>
          <w:color w:val="auto"/>
        </w:rPr>
        <w:t>: Consists of time deposit accounts with original maturities of less than three years and various yields.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measured based on valuations observed in less active markets than Level 1 investments from a third-party financial institution. The carrying amount approximates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Government securities</w:t>
      </w:r>
      <w:r>
        <w:rPr>
          <w:rFonts w:ascii="Arial" w:cs="Arial" w:eastAsia="Arial" w:hAnsi="Arial"/>
          <w:sz w:val="16"/>
          <w:szCs w:val="16"/>
          <w:color w:val="auto"/>
        </w:rPr>
        <w:t>: Consists of U.S. Government treasury bills, notes, and bonds with original maturities of less than three years and various yields.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securities was measured using quoted market prices in active markets.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U.S. Government sponsored entities</w:t>
      </w:r>
      <w:r>
        <w:rPr>
          <w:rFonts w:ascii="Arial" w:cs="Arial" w:eastAsia="Arial" w:hAnsi="Arial"/>
          <w:sz w:val="18"/>
          <w:szCs w:val="18"/>
          <w:color w:val="auto"/>
        </w:rPr>
        <w:t>: Consists of Fannie Mae and Federal Home Loan Bank investment grade debt securities trading with sufficient frequency</w:t>
      </w:r>
      <w:r>
        <w:rPr>
          <w:rFonts w:ascii="Arial" w:cs="Arial" w:eastAsia="Arial" w:hAnsi="Arial"/>
          <w:sz w:val="18"/>
          <w:szCs w:val="18"/>
          <w:i w:val="1"/>
          <w:iCs w:val="1"/>
          <w:color w:val="auto"/>
        </w:rPr>
        <w:t xml:space="preserve"> </w:t>
      </w:r>
      <w:r>
        <w:rPr>
          <w:rFonts w:ascii="Arial" w:cs="Arial" w:eastAsia="Arial" w:hAnsi="Arial"/>
          <w:sz w:val="18"/>
          <w:szCs w:val="18"/>
          <w:color w:val="auto"/>
        </w:rPr>
        <w:t>and volume to enable us to obtain pricing information on an ongoing basis. The fair value of these securities</w:t>
      </w:r>
    </w:p>
    <w:p>
      <w:pPr>
        <w:sectPr>
          <w:pgSz w:w="11900" w:h="16838" w:orient="portrait"/>
          <w:cols w:equalWidth="0" w:num="1">
            <w:col w:w="11420"/>
          </w:cols>
          <w:pgMar w:left="240" w:top="121" w:right="239" w:bottom="1136"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136"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was measured based on valuations observed in less active markets than Level 1 investments. The contractual maturities of these investments vary from one month to three years.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Municipal bonds</w:t>
      </w:r>
      <w:r>
        <w:rPr>
          <w:rFonts w:ascii="Arial" w:cs="Arial" w:eastAsia="Arial" w:hAnsi="Arial"/>
          <w:sz w:val="18"/>
          <w:szCs w:val="18"/>
          <w:color w:val="auto"/>
        </w:rPr>
        <w:t>: Consists of investment grade municipal bonds trading with sufficient frequency and volume to enable us to obtain pricing information on an</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basis. The contractual maturities of these investments vary from two to three years. The fair value of these bonds was measured based on valuations observed in less active markets than Level 1 investments.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Derivatives – currency forward contracts</w:t>
      </w:r>
      <w:r>
        <w:rPr>
          <w:rFonts w:ascii="Arial" w:cs="Arial" w:eastAsia="Arial" w:hAnsi="Arial"/>
          <w:sz w:val="18"/>
          <w:szCs w:val="18"/>
          <w:color w:val="auto"/>
        </w:rPr>
        <w:t>: Consists of currency forward contracts trading with sufficient frequency and volume to enable us to obtain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fair value of these securities was measured based on a valuation from a third-party bank. See "Note 14. Derivative Financial Instruments" for more information regarding our derivatives.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Contingent liabilities</w:t>
      </w:r>
      <w:r>
        <w:rPr>
          <w:rFonts w:ascii="Arial" w:cs="Arial" w:eastAsia="Arial" w:hAnsi="Arial"/>
          <w:sz w:val="18"/>
          <w:szCs w:val="18"/>
          <w:color w:val="auto"/>
        </w:rPr>
        <w:t>: Consists of the fair value of a liability measured on an expected future payment relating to a business acquisition if future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measures are achieved. The contingent liabilities were calculated by estimating the discounted present value of expected future payments for estimated performance measure attainment. To estimate future performance measure attainment, we utilized significant unobservable inputs as of July 28, 2018 and April 28, 2018. The unobservable inputs included management expectations and forecasts for business sales and profits performance and an estimated discount rate based on current borrowing interest rates. To the extent that these assumptions changed, or actual results differed from these estimates, the fair value of the contingent consideration liabilities could change from $2,309 to $0 or increase in proportion to increased business performance from this estimate. The contingent liabilities are presented in the "Current portion of other long-term obligations" and "Other long-term obligations" line items in our condensed consolidated balance sheets.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Non-recurring measurements: </w:t>
      </w:r>
      <w:r>
        <w:rPr>
          <w:rFonts w:ascii="Arial" w:cs="Arial" w:eastAsia="Arial" w:hAnsi="Arial"/>
          <w:sz w:val="17"/>
          <w:szCs w:val="17"/>
          <w:color w:val="auto"/>
        </w:rPr>
        <w:t>The fair value measurement standard also applies to certain non-financial assets and liabilities measured at fair value on a</w:t>
      </w:r>
      <w:r>
        <w:rPr>
          <w:rFonts w:ascii="Arial" w:cs="Arial" w:eastAsia="Arial" w:hAnsi="Arial"/>
          <w:sz w:val="17"/>
          <w:szCs w:val="17"/>
          <w:i w:val="1"/>
          <w:iCs w:val="1"/>
          <w:color w:val="auto"/>
        </w:rPr>
        <w:t xml:space="preserve"> </w:t>
      </w:r>
      <w:r>
        <w:rPr>
          <w:rFonts w:ascii="Arial" w:cs="Arial" w:eastAsia="Arial" w:hAnsi="Arial"/>
          <w:sz w:val="17"/>
          <w:szCs w:val="17"/>
          <w:color w:val="auto"/>
        </w:rPr>
        <w:t>nonrecurring basis. Certain long-lived assets such as goodwill, intangible assets and property and equipment are measured at fair value on a nonrecurring basis and are subject to fair value adjustments in certain circumstances, such as when there is evidence of impairment.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Other measurements using fair value</w:t>
      </w:r>
      <w:r>
        <w:rPr>
          <w:rFonts w:ascii="Arial" w:cs="Arial" w:eastAsia="Arial" w:hAnsi="Arial"/>
          <w:sz w:val="18"/>
          <w:szCs w:val="18"/>
          <w:color w:val="auto"/>
        </w:rPr>
        <w:t>: Some of our financial instruments, such as accounts receivable, long-term receivables, prepaid expense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contract assets and liabilities, accounts payable, warranty obligations, and other long-term obligations, are reflected in the condensed consolidated balance sheets at carrying value, which approximates fair value due to their short-term nature.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Financial Instruments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on the condensed consolidated balance sheets within accounts receivable or accounts payable measured at fair value, and changes in fair values are recognized in earnings unless specific hedge accounting criteria are met for cash flow or net investment hedges. As of July 28, 2018 and April 28, 2018, we had not designated any of our derivative instruments as accounting hedges, and thus we recorded the changes in fair value in "Other (expense) income, net" in the condensed consolidated statements of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U.S. dollars at July 28, 2018 and April 28, 2018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900"/>
              <w:spacing w:after="0"/>
              <w:rPr>
                <w:sz w:val="20"/>
                <w:szCs w:val="20"/>
                <w:color w:val="auto"/>
              </w:rPr>
            </w:pPr>
            <w:r>
              <w:rPr>
                <w:rFonts w:ascii="Arial" w:cs="Arial" w:eastAsia="Arial" w:hAnsi="Arial"/>
                <w:sz w:val="18"/>
                <w:szCs w:val="18"/>
                <w:b w:val="1"/>
                <w:bCs w:val="1"/>
                <w:color w:val="auto"/>
              </w:rPr>
              <w:t>July 28, 2018</w:t>
            </w:r>
          </w:p>
        </w:tc>
        <w:tc>
          <w:tcPr>
            <w:tcW w:w="27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April 28, 2018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U.S. 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4,242</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Dollars/Canadian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2,539</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3,313</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2,165</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Dollars/British Pounds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3,536</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Dollars/Singapore Dollars</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Dollars/Euros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Dollars/Swiss Franc</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Dollars/Malaysian Ringgit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843</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3,440</w:t>
            </w:r>
          </w:p>
        </w:tc>
        <w:tc>
          <w:tcPr>
            <w:tcW w:w="2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July 28, 2018, there was an asset and liability of $145 and $69, respectively, and as of April 28, 2018, there was an asset and liability of $41 and $236, respectively, representing the fair value of foreign currency exchange forward contracts, which were determined using Level 2 inputs from a third-party bank.</w:t>
      </w:r>
    </w:p>
    <w:p>
      <w:pPr>
        <w:sectPr>
          <w:pgSz w:w="11900" w:h="16838" w:orient="portrait"/>
          <w:cols w:equalWidth="0" w:num="1">
            <w:col w:w="11420"/>
          </w:cols>
          <w:pgMar w:left="240" w:top="121"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(iii.) trends affecting our financial condition or results of operations; (iv.) our growth strategy and operating strategy; (v.) the declaration and payment of dividends; (vi.) the timing and magnitude of future contracts; (vii.) raw material shortages and lead times; (viii.) fluctuations in margins; (ix.) the seasonality of our business; (x.) the introduction of new products and technology; (xi.) the amount and frequency of warranty claims; (xii.) our ability to manage the impact that new or adjusted tariffs may have on the cost of raw materials and components and our ability to sell product internationally; and (xii.) the timing and magnitude of any acquisitions or dispositions. The words “may,” “would,” “could,” “should,” “will,” “expect,” “estimate,” “anticipate,” “believe,” “intend,” “plan”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April 28, 2018 in the section entitled “Item 1A. Risk Factors” and "Item 7. Management's Discussion and Analysis of Financial Condition and Results of Operations," and those factors discussed in detail in our other filings with the Securities and Exchange Commission.</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condensed consolidated financial statements, which have been prepared in accordance with generally accepted accounting principles in the United States ("GAAP"). This discussion should be read in conjunction with the accompanying Condensed Consolidated Financial Statements and Notes to the Condensed Consolidated Financial Statements included in this Report. The preparation of these condensed financial statements requires us to make estimates and judgments affecting the reported amounts of assets, liabilities, revenues and expenses and related disclosure of contingent assets and liabilities. On a regular basis, we evaluate our estimates, including those related to total costs on long-term construction-type contracts, costs to be incurred for product warranties and extended maintenance contracts, bad debts, excess and obsolete inventory, income taxes, share-based compensation, goodwill impairment and contingencies. Our estimates are based on historical experience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 manufacture and sell a wide range of display systems to customers throughout the world.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 Disclosures related to our business segments are provided in "Note 5. Segment Reporting" of the Notes to the Condensed Consolidated Financial Statements included elsewhere in this Report.</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net sales and profitability historically have fluctuated due to the impact of uniquely configured orders, such as display systems for professional sports facilities, colleges and universities, and spectacular projects in the commercial area, as well as the seasonality of the sports market. Uniquely configured orders can include several displays, controllers, and subcontracted structure builds, each of which can occur on varied schedules per the customer's needs. Outdoor installations sales can be impacted by outdoor weather conditions and the construction season. Our third fiscal quarter tends to be a slower quarter because it includes two holidays and generally less outdoor construction work occurs.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margins on uniquely configured orders tend to fluctuate more than limited configured orders. Uniquely configured orders involving competitive bidding and substantial subcontract work for product installation generally have lower gross margins. Although we follow the over time method of recognizing revenues for uniquely configured orders, we nevertheless have experienced fluctuations in operating results and expect our future results of operations will be subject to similar fluctuations.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remaining performance obligations ("backlog") consist of contractually binding sales agreements or purchase orders for integrated electronic display systems and related products and excludes extended service agreements and service only orders. Orders are included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backlog when we are in receipt of an executed contract and any required deposits or security. As a result, certain orders for which we have received binding letters of intent or contracts will not be included in backlog until all required contractual documents and deposits are received. Backlog can fluctuate due to large order bookings and the timing and seasonality of net sales. Because order backlog fluctuates and may be subject to extended delivery schedules, orders may be canceled, and orders have varied estimated profitability, our backlog is not necessarily indicative of future net sales or net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mission is to be the world leader at informing and entertaining audiences through dynamic audio-visual communication systems. We measure our success through estimated market share based on estimated market demand for digital displays and generating profits over the long-term. Our success is contingent on the depth and quality of our products, including related control systems, the depth of our service offerings and our technology serving these market demands. These qualities are important for our long-term success because our products have finite lifetimes, and we strive to win replacement business from existing customers.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Increases in user adoption, the acceptance of a variety of digital solutions, and the decline of digital solution pricing over the years has increased the size of the global market. With this positive demand, strong competition exists across all of our business units, which causes margin constraints. Projects with multimillion-dollar revenue potential also attract competition, which generally reduces profitability.</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organize around customer segments and geographic regions as further described in "Note 5. Segment Reporting" of the Notes to the Condensed Consolidated Financial Statements included elsewhere in this Report. Each business segment also has unique key growth drivers and challenges.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5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are the principal factors that impact our success in this business unit. We utilize a reseller network to distribute our standard products.</w:t>
      </w:r>
    </w:p>
    <w:p>
      <w:pPr>
        <w:spacing w:after="0" w:line="2"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National accounts standard display market opportunities due to customers' desire to communicate their message, advertising and content consistently across the country. Increased demand is possible from retailers, quick serve restaurants, petroleum businesses, and other nationwide organizations.</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shopping centers, cruise ships and Times Square type locations.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Dynamic messaging systems demand growth due to market adoption and marketplace expansion.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use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8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continued deployment of digital billboards as Out-of-Home ("OOH") companies continue developing new sites and replacing digital billboards which are reaching end of life. This is dependent on there being no adverse changes in the digital billboard regulatory environment restricting future deployments of billboards, as well as maintaining our current market share of the business concentrated in a few large OOH companies.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 to enhance the game-day and event experience for attendees.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product and service offerings, which remain the most integrated and comprehensive offerings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Dynamic messaging systems needs throughout a sports facility.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High School Park and Recreation Business Unit: </w:t>
      </w:r>
      <w:r>
        <w:rPr>
          <w:rFonts w:ascii="Arial" w:cs="Arial" w:eastAsia="Arial" w:hAnsi="Arial"/>
          <w:sz w:val="18"/>
          <w:szCs w:val="18"/>
          <w:color w:val="auto"/>
        </w:rPr>
        <w:t>Over the long-term, we believe growth in the High School Park and Recreation business unit will result</w:t>
      </w:r>
      <w:r>
        <w:rPr>
          <w:rFonts w:ascii="Arial" w:cs="Arial" w:eastAsia="Arial" w:hAnsi="Arial"/>
          <w:sz w:val="18"/>
          <w:szCs w:val="18"/>
          <w:i w:val="1"/>
          <w:iCs w:val="1"/>
          <w:color w:val="auto"/>
        </w:rPr>
        <w:t xml:space="preserve"> </w:t>
      </w:r>
      <w:r>
        <w:rPr>
          <w:rFonts w:ascii="Arial" w:cs="Arial" w:eastAsia="Arial" w:hAnsi="Arial"/>
          <w:sz w:val="18"/>
          <w:szCs w:val="18"/>
          <w:color w:val="auto"/>
        </w:rPr>
        <w:t>from a number of factors, including:</w:t>
      </w:r>
    </w:p>
    <w:p>
      <w:pPr>
        <w:spacing w:after="0" w:line="170"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versus traditional scoreboards.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demand for different types of displays and dynamic messaging systems, such as message centers at schools to communicate to students, parents and the broader community.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more sophisticated displays in school athletic facilities, such as large integrated video systems.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Transportation Business Unit: </w:t>
      </w:r>
      <w:r>
        <w:rPr>
          <w:rFonts w:ascii="Arial" w:cs="Arial" w:eastAsia="Arial" w:hAnsi="Arial"/>
          <w:sz w:val="17"/>
          <w:szCs w:val="17"/>
          <w:color w:val="auto"/>
        </w:rPr>
        <w:t>Over the long-term, we believe growth in the Transportation business unit will result from increasing applications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of electronic displays to manage transportation systems, including roadway, airport, parking, transit and other applications. Effective use of the United States transportation infrastructure requires intelligent transportation systems. This growth is highly dependent on government spending, primarily by state and federal governments, along with the continuing acceptance of private/public partnerships as an alternative funding source. Growth is also expected in dynamic messaging systems for advertising and way-finding use in public transport and airport terminals.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and building products more suited to individual markets. We continue to broaden our product offerings into the transportation segment in Europe and the Middle East. We also focus on sports facility, spectacular-type, and third-party advertising market opportunities and the factors listed in each of the other business units to the extent they apply outside of the United States and Canada.</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Each of our business units is impacted by adverse economic conditions in different ways and to different degrees. The effects of an adverse economy are generally less severe on our sports related business as compared to our other businesses, although in severe economic downturns, the sports business also can be seriously impacted. Our Commercial and International business units are highly dependent on economic conditions in general.</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to manufacture and the selling prices of our products have decreased over time and are expected to continue to decrease in the future. As a result, each year we must sell more product to generate the same or greater level of net sales as in previous fiscal years. This price decline has been significant as a result of increased competition across all business units.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Annual Report discloses Risk Factors we face including exposure to geopolitical, economic, and social changes. For fiscal year 2019, while we remain optimistic about long-term growth in the digital display industry, the U.S. Administrative trade actions, including tariffs and sanctions, and related reactions and responses outside the U.S. is very dynamic. This environment has created volatility, such as increases in pricing and demand of aluminum, electrical, and other components we use in the production of our products. We also expect some of the measures being contemplated by various governments will create market reactions, possibly having significant financial impact in future quarters.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JULY 28, 2018 AND JULY 29,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28,</w:t>
            </w: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29,</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1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12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Dollar Change</w:t>
            </w:r>
          </w:p>
        </w:tc>
        <w:tc>
          <w:tcPr>
            <w:tcW w:w="1480" w:type="dxa"/>
            <w:vAlign w:val="bottom"/>
          </w:tcPr>
          <w:p>
            <w:pPr>
              <w:jc w:val="right"/>
              <w:ind w:right="30"/>
              <w:spacing w:after="0" w:line="194" w:lineRule="exact"/>
              <w:rPr>
                <w:sz w:val="20"/>
                <w:szCs w:val="20"/>
                <w:color w:val="auto"/>
              </w:rPr>
            </w:pPr>
            <w:r>
              <w:rPr>
                <w:rFonts w:ascii="Arial" w:cs="Arial" w:eastAsia="Arial" w:hAnsi="Arial"/>
                <w:sz w:val="18"/>
                <w:szCs w:val="18"/>
                <w:b w:val="1"/>
                <w:bCs w:val="1"/>
                <w:color w:val="auto"/>
                <w:w w:val="97"/>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1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4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30,569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32,863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49,472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77,612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(28,140)</w:t>
            </w:r>
          </w:p>
        </w:tc>
        <w:tc>
          <w:tcPr>
            <w:tcW w:w="22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28,120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28,479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17,157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18,912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(1,755)</w:t>
            </w:r>
          </w:p>
        </w:tc>
        <w:tc>
          <w:tcPr>
            <w:tcW w:w="22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28,870</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14,862</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14,008</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154,188</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172,728</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(18,540)</w:t>
            </w:r>
          </w:p>
        </w:tc>
        <w:tc>
          <w:tcPr>
            <w:tcW w:w="2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0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35,792</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29,937</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5,855</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39,395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61,605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38,449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32,180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6,269</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21,916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12,647</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24,058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20,090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3,968</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159,610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153,081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6,529</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decrease in net sales for the three months ended July 28, 2018 compared to the same period one year ago was primarily due to the timing of</w:t>
      </w:r>
      <w:r>
        <w:rPr>
          <w:rFonts w:ascii="Arial" w:cs="Arial" w:eastAsia="Arial" w:hAnsi="Arial"/>
          <w:sz w:val="18"/>
          <w:szCs w:val="18"/>
          <w:i w:val="1"/>
          <w:iCs w:val="1"/>
          <w:color w:val="auto"/>
        </w:rPr>
        <w:t xml:space="preserve"> </w:t>
      </w:r>
      <w:r>
        <w:rPr>
          <w:rFonts w:ascii="Arial" w:cs="Arial" w:eastAsia="Arial" w:hAnsi="Arial"/>
          <w:sz w:val="18"/>
          <w:szCs w:val="18"/>
          <w:color w:val="auto"/>
        </w:rPr>
        <w:t>large custom projects in the spectacular niche and lower order volumes in the on-premise niche.</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increase in orders for the three months ended July 28, 2018 compared to the same period one year ago was the net result of volatility in order timing of large custom projects in the spectacular niche. Orders in the on-premise niche and OOH niche remained relatively flat year over year.</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decrease in net sales for the three months ended July 28, 2018 compared to the same period one year ago was primarily due to the size and</w:t>
      </w:r>
      <w:r>
        <w:rPr>
          <w:rFonts w:ascii="Arial" w:cs="Arial" w:eastAsia="Arial" w:hAnsi="Arial"/>
          <w:sz w:val="18"/>
          <w:szCs w:val="18"/>
          <w:i w:val="1"/>
          <w:iCs w:val="1"/>
          <w:color w:val="auto"/>
        </w:rPr>
        <w:t xml:space="preserve"> </w:t>
      </w:r>
      <w:r>
        <w:rPr>
          <w:rFonts w:ascii="Arial" w:cs="Arial" w:eastAsia="Arial" w:hAnsi="Arial"/>
          <w:sz w:val="18"/>
          <w:szCs w:val="18"/>
          <w:color w:val="auto"/>
        </w:rPr>
        <w:t>timing of large contracts for arenas, professional sports, and colleges and universities. During the first quarter of fiscal 2018, we recognized more than $23 million in sales on four projects, with no similar sized projects in the first quarter of fiscal 2019.</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Orders decreased for the three months ended July 28, 2018 compared to the same period one year ago due to the decreased number of projects in professional sports and college and universities venues and due to an order cancellation. During the first quarter of fiscal 2018, we were awarded seven projects each valued at over $2 million as compared to only two projects each valued at over $2 million in the first quarter of fiscal 2019.</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High School Park and Recreation: </w:t>
      </w:r>
      <w:r>
        <w:rPr>
          <w:rFonts w:ascii="Arial" w:cs="Arial" w:eastAsia="Arial" w:hAnsi="Arial"/>
          <w:sz w:val="16"/>
          <w:szCs w:val="16"/>
          <w:color w:val="auto"/>
        </w:rPr>
        <w:t>Net sales for the three months ended July 28, 2018 compared to the same period one year ago remained relatively flat.</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increased for the three months ended July 28, 2018 compared to the same period one year ago due to overall strong market demand and an increase in projects for larger video systems.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decrease in net sales for the three months ended July 28, 2018 compared to the same period one year ago was primarily due to variability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of large order production timing caused by customer project schedules.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Orders for the three months ended July 28, 2018 compared to the same period one year ago increased primarily due to variability caused by large order timing.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Net sales for the three months ended July 28, 2018 compared to the same period one year ago increased primarily due to timing of recognizing</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on transportation, spectacular and sports stadium projects.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increased for the three months ended July 28, 2018 compared to the same period one year ago primarily due to increased demand for global OOH niche customers and professional sports stadiums and the related variability of timing caused by large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Order Backlog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product order backlog as of July 28, 2018 was $177 million as compared to $184 million as of July 29, 2017 and $171 million at the end of the fourth quarter of fiscal 2018. Historically, our product order backlog varies due to the seasonality of our business, the timing of large projects, and customer delivery schedules for these orders. The product order backlog as of July 28, 2018 increased from July 29, 2017 in our Commercial, High School Park and Recreation, Transportation and International business units and decreased in our Live Event business unit.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6"/>
              </w:rPr>
              <w:t>Three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July 28, 2018</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720"/>
              <w:spacing w:after="0"/>
              <w:rPr>
                <w:sz w:val="20"/>
                <w:szCs w:val="20"/>
                <w:color w:val="auto"/>
              </w:rPr>
            </w:pPr>
            <w:r>
              <w:rPr>
                <w:rFonts w:ascii="Arial" w:cs="Arial" w:eastAsia="Arial" w:hAnsi="Arial"/>
                <w:sz w:val="18"/>
                <w:szCs w:val="18"/>
                <w:b w:val="1"/>
                <w:bCs w:val="1"/>
                <w:color w:val="auto"/>
              </w:rPr>
              <w:t>July 29, 2017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0" w:type="dxa"/>
            <w:vAlign w:val="bottom"/>
          </w:tcPr>
          <w:p>
            <w:pPr>
              <w:spacing w:after="0"/>
              <w:rPr>
                <w:sz w:val="1"/>
                <w:szCs w:val="1"/>
                <w:color w:val="auto"/>
              </w:rPr>
            </w:pP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6,894</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22.6%</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8,268</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25.2%</w:t>
            </w: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10,233</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20.7</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17,054</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9,502</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33.8</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10,351</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5,451</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31.8</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6,945</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6,167</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21.4</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38,247</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24.8%</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44,646</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gridSpan w:val="2"/>
            <w:vMerge w:val="restart"/>
          </w:tcPr>
          <w:p>
            <w:pPr>
              <w:jc w:val="right"/>
              <w:ind w:right="350"/>
              <w:spacing w:after="0"/>
              <w:rPr>
                <w:sz w:val="20"/>
                <w:szCs w:val="20"/>
                <w:color w:val="auto"/>
              </w:rPr>
            </w:pPr>
            <w:r>
              <w:rPr>
                <w:rFonts w:ascii="Arial" w:cs="Arial" w:eastAsia="Arial" w:hAnsi="Arial"/>
                <w:sz w:val="18"/>
                <w:szCs w:val="18"/>
                <w:color w:val="auto"/>
              </w:rPr>
              <w:t>23</w:t>
            </w: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is net sales less cost of sales. Cost of sales consists primarily of inventory, consumables, salaries, other employee-related costs, facilities-related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for manufacturing locations, machinery and equipment maintenance and depreciation, site sub-contractors, warranty costs, and other service delivery expenses.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our gross profit percentage for the three months ended July 28, 2018 compared to the same period one year ago was primarily due to lower sales volumes over relatively fixed infrastructure costs, partly offset by lower warranty expenses. Total warranty as a percent of sales decreased to 2.5% for the three months ended July 28, 2018 as compared to 3.0% during the three months ended July 29, 2017. The following describes the overall impact by business unit: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decrease for the three months ended July 28, 2018 compared to the same period one year ago was due to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sales mix.</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decrease for the three months ended July 28, 2018 compared to the same period one year ago was due to lower sales</w:t>
      </w:r>
      <w:r>
        <w:rPr>
          <w:rFonts w:ascii="Arial" w:cs="Arial" w:eastAsia="Arial" w:hAnsi="Arial"/>
          <w:sz w:val="18"/>
          <w:szCs w:val="18"/>
          <w:i w:val="1"/>
          <w:iCs w:val="1"/>
          <w:color w:val="auto"/>
        </w:rPr>
        <w:t xml:space="preserve"> </w:t>
      </w:r>
      <w:r>
        <w:rPr>
          <w:rFonts w:ascii="Arial" w:cs="Arial" w:eastAsia="Arial" w:hAnsi="Arial"/>
          <w:sz w:val="18"/>
          <w:szCs w:val="18"/>
          <w:color w:val="auto"/>
        </w:rPr>
        <w:t>volumes over relatively fixed infrastructure costs, partly offset by lower warranty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gross profit percent decrease for the three months ended July 28, 2018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a change in sales mix.</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decrease for the three months ended July 28, 2018 compared to the same period one year ago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sales volumes over relatively fixed infrastructure costs and a change in sales mix.</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increase for the three months ended July 28, 2018 compared to the same period one year ago was primarily the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higher sales volumes over relatively fixed infrastructure costs and lower warranty expenses.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gridSpan w:val="3"/>
          </w:tcPr>
          <w:p>
            <w:pPr>
              <w:spacing w:after="0"/>
              <w:rPr>
                <w:sz w:val="20"/>
                <w:szCs w:val="20"/>
                <w:color w:val="auto"/>
              </w:rPr>
            </w:pPr>
            <w:r>
              <w:rPr>
                <w:rFonts w:ascii="Arial" w:cs="Arial" w:eastAsia="Arial" w:hAnsi="Arial"/>
                <w:sz w:val="18"/>
                <w:szCs w:val="18"/>
                <w:b w:val="1"/>
                <w:bCs w:val="1"/>
                <w:color w:val="auto"/>
              </w:rPr>
              <w:t>Contribution Margin</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gridSpan w:val="3"/>
          </w:tcPr>
          <w:p>
            <w:pPr>
              <w:ind w:left="18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July 28, 2018</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July 29, 2017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As a Percent of</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33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16"/>
                <w:szCs w:val="16"/>
                <w:color w:val="auto"/>
              </w:rPr>
            </w:pP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10.9 %</w:t>
            </w: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6,985</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14.1</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13,737</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17.7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6,552</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23.3</w:t>
            </w:r>
          </w:p>
        </w:tc>
        <w:tc>
          <w:tcPr>
            <w:tcW w:w="16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7,747</w:t>
            </w:r>
          </w:p>
        </w:tc>
        <w:tc>
          <w:tcPr>
            <w:tcW w:w="16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27.2</w:t>
            </w: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4,295</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25.0</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5,908</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31.2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5.4</w:t>
            </w:r>
          </w:p>
        </w:tc>
        <w:tc>
          <w:tcPr>
            <w:tcW w:w="16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(224.2)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6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21,869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29,707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17.2 %</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is comprised of gross profit less selling expenses. Selling expenses consist primarily of salaries, other employee-related costs, travel and</w:t>
      </w:r>
      <w:r>
        <w:rPr>
          <w:rFonts w:ascii="Arial" w:cs="Arial" w:eastAsia="Arial" w:hAnsi="Arial"/>
          <w:sz w:val="18"/>
          <w:szCs w:val="18"/>
          <w:i w:val="1"/>
          <w:iCs w:val="1"/>
          <w:color w:val="auto"/>
        </w:rPr>
        <w:t xml:space="preserve"> </w:t>
      </w:r>
      <w:r>
        <w:rPr>
          <w:rFonts w:ascii="Arial" w:cs="Arial" w:eastAsia="Arial" w:hAnsi="Arial"/>
          <w:sz w:val="18"/>
          <w:szCs w:val="18"/>
          <w:color w:val="auto"/>
        </w:rPr>
        <w:t>entertainment expenses, facilities-related costs for sales and service offices, bad debt expenses, third-party commissions and expenditures for marketing efforts, including the costs of collateral materials, conventions and trade shows, product demonstrations, customer relationship management systems, and supplies.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Contribution margin is impacted by the previously discussed sales and gross margin for each business unit. The impact of changes in selling expenses on each business unit contribution margin is as follows: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expense in our Commercial, Live Events, High School Park and Recreation, and Transportation business units for the first quarter of fiscal 2019 remained relatively flat compared to the same quarter a year ago. Selling expense in our International business unit increased in the first quarter of fiscal 2019 compared to the same quarter a year ago due to third-party commissions and increased personnel expenses.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gridSpan w:val="3"/>
          </w:tcPr>
          <w:p>
            <w:pPr>
              <w:ind w:left="160"/>
              <w:spacing w:after="0"/>
              <w:rPr>
                <w:sz w:val="20"/>
                <w:szCs w:val="20"/>
                <w:color w:val="auto"/>
              </w:rPr>
            </w:pPr>
            <w:r>
              <w:rPr>
                <w:rFonts w:ascii="Arial" w:cs="Arial" w:eastAsia="Arial" w:hAnsi="Arial"/>
                <w:sz w:val="18"/>
                <w:szCs w:val="18"/>
                <w:b w:val="1"/>
                <w:bCs w:val="1"/>
                <w:color w:val="auto"/>
                <w:w w:val="93"/>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July 28, 2018</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July 29, 2017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6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62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9,292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9,047</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and the costs of supplies.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 the first quarter of fiscal 2019 decreased as compared to the same period one year ago primarily due to decreases in professional fees and information technology software and hardware expenses.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Product design and development expenses </w:t>
      </w:r>
      <w:r>
        <w:rPr>
          <w:rFonts w:ascii="Arial" w:cs="Arial" w:eastAsia="Arial" w:hAnsi="Arial"/>
          <w:sz w:val="17"/>
          <w:szCs w:val="17"/>
          <w:color w:val="auto"/>
        </w:rPr>
        <w:t>consist primarily of salaries, other employee-related costs, professional services, facilities costs and equipment-related costs and supplies. Product design and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 We plan to make continued investments in our software and controller capabilities throughout our various product offerings. Through all design efforts, we focus on standardizing display components and control systems for both single site and network displays.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costs for product design and development represent an allocated amount of costs based on time charges, professional services, materials costs and the overhead of our engineering departments. Generally, a significant portion of our engineering time is spent on product design and development, while the rest is allocated to large contract work and included in cost of sales.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design and development expenses in the first quarter of fiscal 2019 increased as compared to the same period one year ago primarily due to increased labor costs and professional services assigned to product design and development projects relating to our strategy to accelerate the deployment of products and solutions to our markets. To deliver value to our customers and serve the markets' expectations, we expect similar level of expenditures for new or enhanced customer solutions for the remainder of fiscal 2019 as compared to fiscal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5"/>
          </w:tcPr>
          <w:p>
            <w:pPr>
              <w:jc w:val="center"/>
              <w:ind w:left="1110"/>
              <w:spacing w:after="0"/>
              <w:rPr>
                <w:sz w:val="20"/>
                <w:szCs w:val="20"/>
                <w:color w:val="auto"/>
              </w:rPr>
            </w:pPr>
            <w:r>
              <w:rPr>
                <w:rFonts w:ascii="Arial" w:cs="Arial" w:eastAsia="Arial" w:hAnsi="Arial"/>
                <w:sz w:val="18"/>
                <w:szCs w:val="18"/>
                <w:b w:val="1"/>
                <w:bCs w:val="1"/>
                <w:color w:val="auto"/>
                <w:w w:val="90"/>
              </w:rPr>
              <w:t>Three Months Ended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4"/>
          </w:tcPr>
          <w:p>
            <w:pPr>
              <w:ind w:left="660"/>
              <w:spacing w:after="0"/>
              <w:rPr>
                <w:sz w:val="20"/>
                <w:szCs w:val="20"/>
                <w:color w:val="auto"/>
              </w:rPr>
            </w:pPr>
            <w:r>
              <w:rPr>
                <w:rFonts w:ascii="Arial" w:cs="Arial" w:eastAsia="Arial" w:hAnsi="Arial"/>
                <w:sz w:val="18"/>
                <w:szCs w:val="18"/>
                <w:b w:val="1"/>
                <w:bCs w:val="1"/>
                <w:color w:val="auto"/>
              </w:rPr>
              <w:t>July 28, 2018</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3"/>
          </w:tcPr>
          <w:p>
            <w:pPr>
              <w:ind w:left="640"/>
              <w:spacing w:after="0"/>
              <w:rPr>
                <w:sz w:val="20"/>
                <w:szCs w:val="20"/>
                <w:color w:val="auto"/>
              </w:rPr>
            </w:pPr>
            <w:r>
              <w:rPr>
                <w:rFonts w:ascii="Arial" w:cs="Arial" w:eastAsia="Arial" w:hAnsi="Arial"/>
                <w:sz w:val="18"/>
                <w:szCs w:val="18"/>
                <w:b w:val="1"/>
                <w:bCs w:val="1"/>
                <w:color w:val="auto"/>
              </w:rPr>
              <w:t>July 29, 2017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As a Percent of</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08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52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0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90"/>
              </w:rPr>
              <w:t>Change</w:t>
            </w:r>
          </w:p>
        </w:tc>
        <w:tc>
          <w:tcPr>
            <w:tcW w:w="20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60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We generate interest income through short-term cash investments, marketable securities, and product sales on an installment basis or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the rights to sell and retain advertising revenues from displays, which result in long-term receivables. Interest expense is comprised primarily of interest costs on long-term marketing obligations.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interest income, net for the first quarter of fiscal 2019 compared to the same period one year ago was primarily due to the change in investment levels caused by the volatility of working capital needs and changes in investing and financing activities.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the first quarter of fiscal 2019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foreign currency volatility and the losses recorded from an equity method affiliate.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effective tax rate benefit was 13.1 percent for the first quarter of fiscal 2019 as compared to an effective tax rate expense of 29.7 percent for the first quarter of fiscal 2018. Our effective tax rate decreased primarily as a result of the U.S. Tax Cuts and Jobs Act, which decreased the United States federal corporate tax rate from 35 percent to 21 percent, as well as the impact of projected tax credits in excess of our projected tax liability.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0" w:type="dxa"/>
            <w:vAlign w:val="bottom"/>
            <w:gridSpan w:val="4"/>
          </w:tcPr>
          <w:p>
            <w:pPr>
              <w:ind w:left="160"/>
              <w:spacing w:after="0"/>
              <w:rPr>
                <w:sz w:val="20"/>
                <w:szCs w:val="20"/>
                <w:color w:val="auto"/>
              </w:rPr>
            </w:pPr>
            <w:r>
              <w:rPr>
                <w:rFonts w:ascii="Arial" w:cs="Arial" w:eastAsia="Arial" w:hAnsi="Arial"/>
                <w:sz w:val="18"/>
                <w:szCs w:val="18"/>
                <w:b w:val="1"/>
                <w:bCs w:val="1"/>
                <w:color w:val="auto"/>
                <w:w w:val="90"/>
              </w:rPr>
              <w:t>Three Months Ended</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28,</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29,</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7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12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6"/>
                <w:szCs w:val="16"/>
                <w:color w:val="auto"/>
              </w:rPr>
            </w:pPr>
          </w:p>
        </w:tc>
        <w:tc>
          <w:tcPr>
            <w:tcW w:w="1480" w:type="dxa"/>
            <w:vAlign w:val="bottom"/>
          </w:tcPr>
          <w:p>
            <w:pPr>
              <w:jc w:val="right"/>
              <w:ind w:right="50"/>
              <w:spacing w:after="0" w:line="194" w:lineRule="exact"/>
              <w:rPr>
                <w:sz w:val="20"/>
                <w:szCs w:val="20"/>
                <w:color w:val="auto"/>
              </w:rPr>
            </w:pPr>
            <w:r>
              <w:rPr>
                <w:rFonts w:ascii="Arial" w:cs="Arial" w:eastAsia="Arial" w:hAnsi="Arial"/>
                <w:sz w:val="18"/>
                <w:szCs w:val="18"/>
                <w:b w:val="1"/>
                <w:bCs w:val="1"/>
                <w:color w:val="auto"/>
                <w:w w:val="96"/>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7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(used in) provided by:</w:t>
            </w: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72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(10,260)</w:t>
            </w: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8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3,007</w:t>
            </w:r>
          </w:p>
        </w:tc>
        <w:tc>
          <w:tcPr>
            <w:tcW w:w="22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8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(13,814)</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Operating cash flows consist primarily of net income adjusted for non-cash items including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stock-based compensation, deferred income taxes and the effect of changes in operating assets and liabilities.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was $10.3 million for the first three months of fiscal 2019 compared to net cash used in operating activities of $4.9 million in the first three months of fiscal 2018. The $5.4 million decrease in cash from operating activities from the first three months of fiscal 2018 to the first three months of fiscal 2019 was the net result of changes in net operating assets and liabilities of $1.4 million, a $0.1 million gain on the sale of property, equipment and other assets, $0.1 million in deferred income taxes, and a $3.9 million decrease in net income, adjusted by an increase of $0.1 million in other non-cash items, net.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The changes in operating assets and liabilities consisted of the following:</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28,</w:t>
            </w:r>
          </w:p>
        </w:tc>
        <w:tc>
          <w:tcPr>
            <w:tcW w:w="22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29,</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(Increase) decrease:</w:t>
            </w: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68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(23,504)</w:t>
            </w:r>
          </w:p>
        </w:tc>
        <w:tc>
          <w:tcPr>
            <w:tcW w:w="2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(22,035)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Long-term receivables</w:t>
            </w:r>
          </w:p>
        </w:tc>
        <w:tc>
          <w:tcPr>
            <w:tcW w:w="2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381</w:t>
            </w: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Contract assets</w:t>
            </w:r>
          </w:p>
        </w:tc>
        <w:tc>
          <w:tcPr>
            <w:tcW w:w="2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(10,480)</w:t>
            </w: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(9,952)</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Income tax receivables</w:t>
            </w:r>
          </w:p>
        </w:tc>
        <w:tc>
          <w:tcPr>
            <w:tcW w:w="2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(926)</w:t>
            </w: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Investment in affiliates and other assets</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Increase (decrease):</w:t>
            </w:r>
          </w:p>
        </w:tc>
        <w:tc>
          <w:tcPr>
            <w:tcW w:w="2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Current marketing obligations and other payables</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1,380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1,217</w:t>
            </w: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12,126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4,294</w:t>
            </w: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Warranty obligations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Long-term warranty obligations</w:t>
            </w:r>
          </w:p>
        </w:tc>
        <w:tc>
          <w:tcPr>
            <w:tcW w:w="2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 w:type="dxa"/>
            <w:vAlign w:val="bottom"/>
          </w:tcPr>
          <w:p>
            <w:pPr>
              <w:spacing w:after="0"/>
              <w:rPr>
                <w:sz w:val="23"/>
                <w:szCs w:val="23"/>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Long-term marketing obligations and other payables</w:t>
            </w:r>
          </w:p>
        </w:tc>
        <w:tc>
          <w:tcPr>
            <w:tcW w:w="24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(825)</w:t>
            </w:r>
          </w:p>
        </w:tc>
        <w:tc>
          <w:tcPr>
            <w:tcW w:w="200" w:type="dxa"/>
            <w:vAlign w:val="bottom"/>
            <w:tcBorders>
              <w:bottom w:val="single" w:sz="8" w:color="BFE4FF"/>
            </w:tcBorders>
            <w:shd w:val="clear" w:color="auto" w:fill="BFE4FF"/>
          </w:tcPr>
          <w:p>
            <w:pPr>
              <w:spacing w:after="0"/>
              <w:rPr>
                <w:sz w:val="23"/>
                <w:szCs w:val="23"/>
                <w:color w:val="auto"/>
              </w:rPr>
            </w:pPr>
          </w:p>
        </w:tc>
        <w:tc>
          <w:tcPr>
            <w:tcW w:w="22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(19,944)</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(18,580)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Overall, changes in operating assets and liabilities can be impacted by the timing of cash flows on large orders, which can cause significant short-term and seasonal fluctuations in inventory, accounts receivables, accounts payable, contract assets and liabilities, and various other operating assets and liabilities. Variability in contract assets and liabilities relates to the timing of billings on construction-type contracts and revenue recognition, which can vary significantly depending on contractual payment terms and build and installation schedules. Balances are also impacted by the seasonality of the sports markets.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Net cash (used in) provided by investing activities: </w:t>
      </w:r>
      <w:r>
        <w:rPr>
          <w:rFonts w:ascii="Arial" w:cs="Arial" w:eastAsia="Arial" w:hAnsi="Arial"/>
          <w:sz w:val="18"/>
          <w:szCs w:val="18"/>
          <w:color w:val="auto"/>
        </w:rPr>
        <w:t>Net cash used in investing activities totaled $0.1 million in the first three months of fiscal 2019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net cash provided by operating activities of $3.0 million in the first three months of fiscal 2018. The change in the amount of cash used in investing activities was the result of a net decrease in marketable securities of $0.4 million in the first three months of fiscal 2019 as compared to the first three months of fiscal 2018. Purchases of property and equipment totaled $4.7 million in the first three months of fiscal 2019 compared to $4.1 million in the first three months of fiscal 2018. During the first three months of fiscal 2019, we had a net cash outflow of $2.3 million for the acquisition of assets of AJT Systems, Inc.</w:t>
      </w:r>
    </w:p>
    <w:p>
      <w:pPr>
        <w:sectPr>
          <w:pgSz w:w="11900" w:h="16838" w:orient="portrait"/>
          <w:cols w:equalWidth="0" w:num="1">
            <w:col w:w="11420"/>
          </w:cols>
          <w:pgMar w:left="240" w:top="121"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Net cash used in financing activities was $3.5 million for the three months ended July 28, 2018 compared to $3.9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same period one year ago. Principal payments on long-term obligations for the three months ended July 28, 2018 was $0.5 million compared to $1.0 million during the first three months of fiscal 2018, which was mostly related to a contingent liability payment. Dividends of $3.1 million, or $0.07 per share, were paid to Daktronics shareholders during the first three months of fiscal 2019, as compared to dividends of $3.1 million, or $0.07 per share, paid to Daktronics shareholders during the first three months of fiscal 2018.</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Resources Discussion: </w:t>
      </w:r>
      <w:r>
        <w:rPr>
          <w:rFonts w:ascii="Arial" w:cs="Arial" w:eastAsia="Arial" w:hAnsi="Arial"/>
          <w:sz w:val="18"/>
          <w:szCs w:val="18"/>
          <w:color w:val="auto"/>
        </w:rPr>
        <w:t>We had $6.8 million of retainage on long-term contracts included in receivables and contract assets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July 28, 2018, which we expect to collect within one year.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Working capital was $132.9 million and $132.8 million at July 28, 2018 and April 28, 2018, respectively. The changes in working capital, particularly changes in accounts receivable, accounts payable, inventory, and contract assets and liabilities, and the seasonality of the sports market can have a significant impact on the amount of net cash provided by operating activities largely due to the timing of payments and receipts. We have historically financed working capital needs through a combination of cash flow from operations and borrowings under bank credit agreements.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used and expect to continue to use cash balances to meet our short-term working capital requirements. On large product orders, the time between order acceptance and project completion may extend up to and exceed 12 months depending on the amount of custom work and a customer’s delivery needs. We often receive down payments or progress payments on these product orders. To the extent these payments are not sufficient to fund the costs and other expenses associated with these orders, we use working capital and bank borrowings to finance these cash requirements.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15, 2016, we entered into a credit agreement and a related revolving note with a U.S. bank. The agreement and note have a maturity date of November 15, 2019. The revolving amount of the agreement and note is $35.0 million, including up to $15.0 million for commercial and standby letters of credits. The interest rate ranges from LIBOR plus 145 basis points to LIBOR plus 195 basis points depending on the ratio of our interest-bearing debt to EBITDA. EBITDA is defined as net income before deductions for interest expense, income taxes, depreciation and amortization, all as determined in accordance with GAAP. The effective interest rate was 3.5 percent at July 28, 2018. We are assessed a loan fee equal to 0.125 percent per annum on any unused portion of the loan. As of July 28, 2018, there were no advances to us under the loan portion of the line of credit, and the balance of letters of credit outstanding was approximately $11.5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3" w:lineRule="exact"/>
        <w:rPr>
          <w:sz w:val="20"/>
          <w:szCs w:val="20"/>
          <w:color w:val="auto"/>
        </w:rPr>
      </w:pPr>
    </w:p>
    <w:p>
      <w:pPr>
        <w:jc w:val="both"/>
        <w:ind w:left="66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minimum fixed charge coverage ratio of at least 2 to 1 at the end of any fiscal year. The ratio is equal to (a) EBITDA minus the sum of dividends or other distributions (unless the bank approves), share repurchases, a maintenance capital expenditure reserve in the amount of $6.0 million, and income tax to (b) all principal and interest payments with respect to indebtedness, excluding principal payments on the line of credit; and</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ratio of funded debt, excluding any marketing obligations, to EBITDA of less than 1 to 1 at the end of any fiscal quarter.</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15, 2016, we entered into an amended and restated loan agreement and a continuing and unlimited guaranty agreement with another U.S. bank which supports our credit needs outside of the United States. The loan and guaranty have a maturity date of November 15, 2019. The revolving amount of the loan is $20.0 million. We intend to use the borrowings under the agreement to support credit needs for general corporate purposes outside the United States. This credit agreement is unsecured. It contains the same covenants as the credit agreement on the line of credit and contains an inter creditor agreement whereby the debt has a cross default provision with the primary credit agreement. Total credit allowed between the two credit agreements is limited to $55.0 million. The interest rate is equal to LIBOR plus 1.5 percent. As of July 28, 2018, there were no advances outstanding under the loan agreement and approximately $1.2 million in bank guarantees under this line of credit.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July 28, 2018, we were in compliance with all applicable bank loan covenants.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utilize cash on hand to pay dividends to our investors. The following table summarizes the quarterly dividends declared and/or paid since the prior fiscal year end of April 28, 2018:</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ind w:left="40"/>
              <w:spacing w:after="0"/>
              <w:rPr>
                <w:sz w:val="20"/>
                <w:szCs w:val="20"/>
                <w:color w:val="auto"/>
              </w:rPr>
            </w:pPr>
            <w:r>
              <w:rPr>
                <w:rFonts w:ascii="Arial" w:cs="Arial" w:eastAsia="Arial" w:hAnsi="Arial"/>
                <w:sz w:val="18"/>
                <w:szCs w:val="18"/>
                <w:b w:val="1"/>
                <w:bCs w:val="1"/>
                <w:color w:val="auto"/>
              </w:rPr>
              <w:t>Date Declared</w:t>
            </w:r>
          </w:p>
        </w:tc>
        <w:tc>
          <w:tcPr>
            <w:tcW w:w="1860" w:type="dxa"/>
            <w:vAlign w:val="bottom"/>
          </w:tcPr>
          <w:p>
            <w:pPr>
              <w:ind w:left="400"/>
              <w:spacing w:after="0"/>
              <w:rPr>
                <w:sz w:val="20"/>
                <w:szCs w:val="20"/>
                <w:color w:val="auto"/>
              </w:rPr>
            </w:pPr>
            <w:r>
              <w:rPr>
                <w:rFonts w:ascii="Arial" w:cs="Arial" w:eastAsia="Arial" w:hAnsi="Arial"/>
                <w:sz w:val="18"/>
                <w:szCs w:val="18"/>
                <w:b w:val="1"/>
                <w:bCs w:val="1"/>
                <w:color w:val="auto"/>
              </w:rPr>
              <w:t>Record Date</w:t>
            </w:r>
          </w:p>
        </w:tc>
        <w:tc>
          <w:tcPr>
            <w:tcW w:w="2040" w:type="dxa"/>
            <w:vAlign w:val="bottom"/>
          </w:tcPr>
          <w:p>
            <w:pPr>
              <w:ind w:left="440"/>
              <w:spacing w:after="0"/>
              <w:rPr>
                <w:sz w:val="20"/>
                <w:szCs w:val="20"/>
                <w:color w:val="auto"/>
              </w:rPr>
            </w:pPr>
            <w:r>
              <w:rPr>
                <w:rFonts w:ascii="Arial" w:cs="Arial" w:eastAsia="Arial" w:hAnsi="Arial"/>
                <w:sz w:val="18"/>
                <w:szCs w:val="18"/>
                <w:b w:val="1"/>
                <w:bCs w:val="1"/>
                <w:color w:val="auto"/>
              </w:rPr>
              <w:t>Payment Date</w:t>
            </w:r>
          </w:p>
        </w:tc>
        <w:tc>
          <w:tcPr>
            <w:tcW w:w="218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Amount per Share</w:t>
            </w:r>
          </w:p>
        </w:tc>
      </w:tr>
      <w:tr>
        <w:trPr>
          <w:trHeight w:val="27"/>
        </w:trPr>
        <w:tc>
          <w:tcPr>
            <w:tcW w:w="1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7"/>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31, 2018</w:t>
            </w:r>
          </w:p>
        </w:tc>
        <w:tc>
          <w:tcPr>
            <w:tcW w:w="1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June 11, 2018</w:t>
            </w:r>
          </w:p>
        </w:tc>
        <w:tc>
          <w:tcPr>
            <w:tcW w:w="2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June 21, 2018</w:t>
            </w:r>
          </w:p>
        </w:tc>
        <w:tc>
          <w:tcPr>
            <w:tcW w:w="21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$0.07</w:t>
            </w:r>
          </w:p>
        </w:tc>
      </w:tr>
      <w:tr>
        <w:trPr>
          <w:trHeight w:val="27"/>
        </w:trPr>
        <w:tc>
          <w:tcPr>
            <w:tcW w:w="15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Although we expect to continue to pay dividends for the foreseeable future, the nature and amounts of dividends will be reviewed regularly and declared by the Board at its discretion.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sometimes required to obtain performance bonds for display installations, and we have a bonding line available through a surety company for an aggregate of $150.0 million in bonded work outstanding. If we were unable to complete the work and our customer would call upon the bond for payment, the surety company would subrogate its loss to Daktronics. At July 28, 2018, we had $14.8 million of bonded work outstanding against this line.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growth and profitability improvement strategies depend on investments in capital expenditures. We are projecting capital expenditures to be less than $20.0 million for fiscal 2019 for purchases of manufacturing equipment for new or enhanced product production, expanded capacity, investments in quality and reliability equipment, and continued information infrastructure investments.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working capital available from all sources will be adequate to meet the cash requirements of our operations in the foreseeable future. If our growth extends beyond current expectations, profitability does not continue, or if we make any strategic investments, we may need to increase our credit facilities or seek other means of financing. We anticipate we will be able to obtain any needed funds under commercially reasonable terms from our current lenders or other sources, although this availability cannot be guaranteed.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material change in our off-balance sheet arrangements and contractual obligations since the fiscal year ended April 28, 2018. For additional information, see our Annual Report on Form 10-K for the fiscal year ended April 28,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describe our significant accounting policies in "Note 1. Nature of Business and Summary of Significant Accounting Policies" of the Notes to Consolidated Financial Statements included in our Annual Report on Form 10-K for the fiscal year ended April 28, 2018. We discuss our critical accounting estimates in "Part II, Item 7. Management’s Discussion and Analysis of Financial Condition and Results of Operations" in our Annual Report on Form 10-K for the fiscal year ended April 28, 2018. In the first quarter of fiscal 2019, we adopted new revenue recognition guidance, as described in "Note 1. Basis of Presentation" of the Notes to the Condensed Consolidated Financial Statements included elsewhere in this Report. There have been no other significant changes in our significant accounting policies or critical accounting estimates since the end of fiscal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1. Basis of Presentation" of the Notes to the Condensed Consolidated Financial Statements included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results of operations could be affected by factors such as changes in foreign currency rates or weak economic conditions in foreign markets. We derive net sales in U.S. dollars and other currencies including Canadian dollars, Euros, Chinese renminbi, British pounds, Australian dollars, Brazilian reais or other currencies. For the three months ended July 28, 2018, 21.1 percent of net sales were derived in currencies other than U.S. dollars. We have expenses in currencies other than U.S. dollars relating to our sales, service, and manufacturing operations. The cost of raw materials derived from international sources can be impacted by fluctuations in foreign currency. We have foreign currency cash accounts to operate our global business. These accounts are also impacted by changes in foreign currency rates. As of July 28, 2018, we had $7.6 million denominated in currencies other than the U.S. dollar.</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we believe currency risk in any foreign location or specific sales or purchase transaction is significant, we utilize foreign exchange hedging contracts to manage our exposure to the currency fluctuations. The notional amount of the foreign currency agreements as of July 28, 2018 was $11.3 million, and all contracts mature within 14 months. These contracts are marked to market each balance sheet date and are not designated as hedges. See "Note 14. Derivative Financial Instruments" of the Notes to our Condensed Consolidated Financial Statements included elsewhere in this Report for further details.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Over the long term, net sales to international markets are expected to increase as a percentage of total net sales and, consequently, a greater portion of our business could be denominated in foreign currencies. As a result, operating results may become more subject to fluctuations based upon changes in the exchange rates of certain currencies in relation to the U.S. dollar. To the extent we engage in international sales denominated in U.S. dollars, an increase in the value of the U.S. dollar relative to foreign currencies could make our products less competitive in international markets. This effect is also impacted by sources of raw materials from international sources and costs of our sales, service, and manufacturing locations outside the U.S. We estimate that a 10 percent change in all foreign exchange rates would impact our reported income before taxes by approximately $1.0 million. This sensitivity analysis disregards the possibilities that rates can move in opposite directions and that losses from one geographic area may be offset by gains from another geographic area.</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continue to monitor and minimize our exposure to currency fluctuations and, when appropriate, use financial hedging techniques to minimize the effect of these fluctuations. However, exchange rate fluctuations as well as differing economic conditions, changes in political climates, and other rules and regulations could adversely affect our ability to effectively hedge exchange rate fluctuations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exposure to market rate risk for changes in interest rates relates primarily to our marketing obligations and long-term accounts receivable. As of July 28, 2018, our outstanding marketing obligations were $0.4 million, all of which were in fixed rate obligations.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 July 28, 2018, our outstanding long-term receivables were $3.0 million. Each 25 basis point increase in interest rates would have an associated immaterial annual opportunity cost.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maturities and weighted average interest rates on our financial instruments sensitive to changes in interest rates.</w:t>
      </w:r>
    </w:p>
    <w:p>
      <w:pPr>
        <w:spacing w:after="0" w:line="16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 xml:space="preserve">Fiscal Years </w:t>
      </w:r>
      <w:r>
        <w:rPr>
          <w:rFonts w:ascii="Arial" w:cs="Arial" w:eastAsia="Arial" w:hAnsi="Arial"/>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34290</wp:posOffset>
            </wp:positionV>
            <wp:extent cx="3756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ind w:left="12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Thereafter</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40"/>
              <w:spacing w:after="0"/>
              <w:rPr>
                <w:sz w:val="20"/>
                <w:szCs w:val="20"/>
                <w:color w:val="auto"/>
              </w:rPr>
            </w:pPr>
            <w:r>
              <w:rPr>
                <w:rFonts w:ascii="Arial" w:cs="Arial" w:eastAsia="Arial" w:hAnsi="Arial"/>
                <w:sz w:val="18"/>
                <w:szCs w:val="18"/>
                <w:color w:val="auto"/>
              </w:rPr>
              <w:t>Long-term receivables, including current</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ind w:left="420"/>
              <w:spacing w:after="0"/>
              <w:rPr>
                <w:sz w:val="20"/>
                <w:szCs w:val="20"/>
                <w:color w:val="auto"/>
              </w:rPr>
            </w:pPr>
            <w:r>
              <w:rPr>
                <w:rFonts w:ascii="Arial" w:cs="Arial" w:eastAsia="Arial" w:hAnsi="Arial"/>
                <w:sz w:val="18"/>
                <w:szCs w:val="18"/>
                <w:color w:val="auto"/>
                <w:w w:val="97"/>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w w:val="97"/>
              </w:rPr>
              <w:t>9.0%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Long-term marketing obligations, including</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our $15.9 million in cash balances at July 28, 2018, $8.3 million were denominated in U.S. dollars, of which $4.4 million was held by our foreign subsidiaries. At July 28, 2018, we had an additional $7.6 million in cash balances denominated in foreign currencies, of which $6.2 million were maintained in accounts of our foreign subsidiaries. A portion of the cash held in foreign accounts is used to collateralize outstanding bank guarantees issued by our foreign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Risk</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dependent on basic raw materials, sub-assemblies, components, and other supplies used in our production operations. Our financial results could be affected by changes in the availability, prices, and global tariff regulations of these materials. Some of these materials are sourced from one or a limited number of suppliers. Some of these materials are also key source materials for our competitors and for other technology companies. Some of these materials are sourced outside of the countries in which we manufacture our products and are subject to transportation delays. Any of these factors may cause a sudden increase in costs and/or limited or unavailable supplies. As a result, we may not be able to acquire key production materials on a timely basis, which could impact our ability to produce products and satisfy incoming sales orders on a timely basis. Our sourcing and materials groups work to implement strategies to monitor and mitigate these risks. Periodically, we enter into pricing agreements or purchasing contracts under which we agree to purchase a minimum amount of product in exchange for guaranteed price terms over the length of the contract, which generally does not exceed one year. Over the years, we have been impacted by the factors noted; however, we believe that we have adequate sources of supply for our key materials in the near-term.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July 28, 2018, which is the end of the period covered by this Report. Based upon that evaluation, the Chief Executive Officer and Chief Financial Officer concluded that as of July 28, 2018, our disclosure controls and procedures were effective.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July 28, 2018, there was no change in our internal control over financial reporting which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April 28, 2018.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July 28, 2018, we did not repurchase any shares of our common stock.</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required to be filed as part of this report is set forth in the Index of Exhibits, which immediately precedes such exhibits, and is incorporated herein by reference.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64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Daktronics, Inc.</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 August 24,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96" w:lineRule="exact"/>
        <w:rPr>
          <w:sz w:val="20"/>
          <w:szCs w:val="20"/>
          <w:color w:val="auto"/>
        </w:rPr>
      </w:pPr>
    </w:p>
    <w:p>
      <w:pPr>
        <w:ind w:left="40"/>
        <w:spacing w:after="0"/>
        <w:tabs>
          <w:tab w:leader="none" w:pos="700" w:val="left"/>
        </w:tabs>
        <w:rPr>
          <w:rFonts w:ascii="Arial" w:cs="Arial" w:eastAsia="Arial" w:hAnsi="Arial"/>
          <w:sz w:val="16"/>
          <w:szCs w:val="16"/>
          <w:u w:val="single" w:color="auto"/>
          <w:color w:val="0000FF"/>
        </w:rPr>
      </w:pPr>
      <w:hyperlink r:id="rId15">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15">
        <w:r>
          <w:rPr>
            <w:rFonts w:ascii="Arial" w:cs="Arial" w:eastAsia="Arial" w:hAnsi="Arial"/>
            <w:sz w:val="16"/>
            <w:szCs w:val="16"/>
            <w:u w:val="single" w:color="auto"/>
            <w:color w:val="0000FF"/>
          </w:rPr>
          <w:t>Amended and Restated Articles of Incorporation of the Company (Incorporated by reference to Exhibit 3.1 filed with our Quarterly Report on Form</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10-Q on August 30, 2013).</w:t>
        </w:r>
      </w:hyperlink>
    </w:p>
    <w:p>
      <w:pPr>
        <w:spacing w:after="0" w:line="49" w:lineRule="exact"/>
        <w:rPr>
          <w:sz w:val="20"/>
          <w:szCs w:val="20"/>
          <w:color w:val="auto"/>
        </w:rPr>
      </w:pPr>
    </w:p>
    <w:p>
      <w:pPr>
        <w:ind w:left="40"/>
        <w:spacing w:after="0"/>
        <w:tabs>
          <w:tab w:leader="none" w:pos="700" w:val="left"/>
        </w:tabs>
        <w:rPr>
          <w:rFonts w:ascii="Arial" w:cs="Arial" w:eastAsia="Arial" w:hAnsi="Arial"/>
          <w:sz w:val="16"/>
          <w:szCs w:val="16"/>
          <w:u w:val="single" w:color="auto"/>
          <w:color w:val="0000FF"/>
        </w:rPr>
      </w:pPr>
      <w:hyperlink r:id="rId16">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16">
        <w:r>
          <w:rPr>
            <w:rFonts w:ascii="Arial" w:cs="Arial" w:eastAsia="Arial" w:hAnsi="Arial"/>
            <w:sz w:val="16"/>
            <w:szCs w:val="16"/>
            <w:u w:val="single" w:color="auto"/>
            <w:color w:val="0000FF"/>
          </w:rPr>
          <w:t>Amended and Restated Bylaws of the Company (Incorporated by reference to Exhibit 3.4 filed with our Annual Report on Form 10-K on June 12,</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18">
        <w:r>
          <w:rPr>
            <w:rFonts w:ascii="Arial" w:cs="Arial" w:eastAsia="Arial" w:hAnsi="Arial"/>
            <w:sz w:val="18"/>
            <w:szCs w:val="18"/>
            <w:u w:val="single" w:color="auto"/>
            <w:color w:val="0000FF"/>
          </w:rPr>
          <w:t>Credit Agreement dated November 15, 2016 by and between the Company and U.S. Bank National Association (Incorporated by reference to</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Exhibit 10.1 filed with our Current Report on Form 8-K filed on November 16, 2016).</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19">
        <w:r>
          <w:rPr>
            <w:rFonts w:ascii="Arial" w:cs="Arial" w:eastAsia="Arial" w:hAnsi="Arial"/>
            <w:sz w:val="18"/>
            <w:szCs w:val="18"/>
            <w:u w:val="single" w:color="auto"/>
            <w:color w:val="0000FF"/>
          </w:rPr>
          <w:t>Revolving Note dated November 15, 2016 issued by the Company to U.S. Bank National Association (Incorporated by reference to Exhibit 10.2</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filed with our Current Report on Form 8-K filed on November 16,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21">
        <w:r>
          <w:rPr>
            <w:rFonts w:ascii="Arial" w:cs="Arial" w:eastAsia="Arial" w:hAnsi="Arial"/>
            <w:sz w:val="18"/>
            <w:szCs w:val="18"/>
            <w:u w:val="single" w:color="auto"/>
            <w:color w:val="0000FF"/>
          </w:rPr>
          <w:t>Amended and Restated Loan Agreement dated November 15, 2016 by and between the Company and Bank of America, N.A. (Incorporated by</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reference to Exhibit 10.3 filed with our Current Report on Form 8-K filed on November 16, 2016).</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22">
        <w:r>
          <w:rPr>
            <w:rFonts w:ascii="Arial" w:cs="Arial" w:eastAsia="Arial" w:hAnsi="Arial"/>
            <w:sz w:val="18"/>
            <w:szCs w:val="18"/>
            <w:u w:val="single" w:color="auto"/>
            <w:color w:val="0000FF"/>
          </w:rPr>
          <w:t>Continuing and Unconditional Guaranty dated November 15, 2016 by and between the Company and Bank of America, N.A. (Incorporated by</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reference to Exhibit 10.4 filed with our Current Report on Form 8-K filed on November 16,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24">
        <w:r>
          <w:rPr>
            <w:rFonts w:ascii="Arial" w:cs="Arial" w:eastAsia="Arial" w:hAnsi="Arial"/>
            <w:sz w:val="18"/>
            <w:szCs w:val="18"/>
            <w:u w:val="single" w:color="auto"/>
            <w:color w:val="0000FF"/>
          </w:rPr>
          <w:t>Amended and Restated Loan Agreement dated May 5, 2017 by and between the Company and Bank of America, N.A. (Incorporated by reference</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to Exhibit 10.6 filed with our Annual Report on Form 10-K filed on June 9, 2017).</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25">
        <w:r>
          <w:rPr>
            <w:rFonts w:ascii="Arial" w:cs="Arial" w:eastAsia="Arial" w:hAnsi="Arial"/>
            <w:sz w:val="18"/>
            <w:szCs w:val="18"/>
            <w:u w:val="single" w:color="auto"/>
            <w:color w:val="0000FF"/>
          </w:rPr>
          <w:t>Daktronics, Inc. 2015 Stock Incentive Plan ("2015 Plan"). (Incorporated by reference to Exhibit A to the Company's Definitive Proxy Statement on</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Schedule 14A filed on July 14,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40"/>
        <w:spacing w:after="0"/>
        <w:tabs>
          <w:tab w:leader="none" w:pos="700" w:val="left"/>
        </w:tabs>
        <w:rPr>
          <w:rFonts w:ascii="Arial" w:cs="Arial" w:eastAsia="Arial" w:hAnsi="Arial"/>
          <w:sz w:val="16"/>
          <w:szCs w:val="16"/>
          <w:u w:val="single" w:color="auto"/>
          <w:color w:val="0000FF"/>
        </w:rPr>
      </w:pPr>
      <w:hyperlink r:id="rId27">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ab/>
      </w:r>
      <w:hyperlink r:id="rId27">
        <w:r>
          <w:rPr>
            <w:rFonts w:ascii="Arial" w:cs="Arial" w:eastAsia="Arial" w:hAnsi="Arial"/>
            <w:sz w:val="16"/>
            <w:szCs w:val="16"/>
            <w:u w:val="single" w:color="auto"/>
            <w:color w:val="0000FF"/>
          </w:rPr>
          <w:t>Form of Restricted Stock Award Agreement under the 2015 Plan (Incorporated by reference to Exhibit 10.2 filed with our Current Report on Form</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8-K on September 3, 2015).</w:t>
        </w:r>
      </w:hyperlink>
    </w:p>
    <w:p>
      <w:pPr>
        <w:spacing w:after="0" w:line="49" w:lineRule="exact"/>
        <w:rPr>
          <w:sz w:val="20"/>
          <w:szCs w:val="20"/>
          <w:color w:val="auto"/>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28">
        <w:r>
          <w:rPr>
            <w:rFonts w:ascii="Arial" w:cs="Arial" w:eastAsia="Arial" w:hAnsi="Arial"/>
            <w:sz w:val="18"/>
            <w:szCs w:val="18"/>
            <w:u w:val="single" w:color="auto"/>
            <w:color w:val="0000FF"/>
          </w:rPr>
          <w:t>Form of Non-Qualified Stock Option Agreement Terms and Conditions under the 2015 Plan (Incorporated by reference to Exhibit 10.3 filed with</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our Current Report on Form 8-K on September 3,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ab/>
      </w:r>
      <w:hyperlink r:id="rId30">
        <w:r>
          <w:rPr>
            <w:rFonts w:ascii="Arial" w:cs="Arial" w:eastAsia="Arial" w:hAnsi="Arial"/>
            <w:sz w:val="18"/>
            <w:szCs w:val="18"/>
            <w:u w:val="single" w:color="auto"/>
            <w:color w:val="0000FF"/>
          </w:rPr>
          <w:t>Form of Incentive Stock Option Terms and Conditions under the 2015 Plan (Incorporated by reference to Exhibit 10.4 filed with our Current Report</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on Form 8-K on September 3, 2015).</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10.10</w:t>
        </w:r>
      </w:hyperlink>
      <w:r>
        <w:rPr>
          <w:rFonts w:ascii="Arial" w:cs="Arial" w:eastAsia="Arial" w:hAnsi="Arial"/>
          <w:sz w:val="18"/>
          <w:szCs w:val="18"/>
          <w:u w:val="single" w:color="auto"/>
          <w:color w:val="0000FF"/>
        </w:rPr>
        <w:tab/>
      </w:r>
      <w:hyperlink r:id="rId31">
        <w:r>
          <w:rPr>
            <w:rFonts w:ascii="Arial" w:cs="Arial" w:eastAsia="Arial" w:hAnsi="Arial"/>
            <w:sz w:val="18"/>
            <w:szCs w:val="18"/>
            <w:u w:val="single" w:color="auto"/>
            <w:color w:val="0000FF"/>
          </w:rPr>
          <w:t>Form of Restricted Stock Unit Terms and Conditions under the 2015 Plan (Incorporated by reference to Exhibit 10.5 filed with our Current Report</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on Form 8-K on September 3,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36">
        <w:r>
          <w:rPr>
            <w:rFonts w:ascii="Arial" w:cs="Arial" w:eastAsia="Arial" w:hAnsi="Arial"/>
            <w:sz w:val="18"/>
            <w:szCs w:val="18"/>
            <w:u w:val="single" w:color="auto"/>
            <w:color w:val="0000FF"/>
          </w:rPr>
          <w:t>Certification of the Chief Executive Officer required by Rule 13a-14(a) or Rule 15d-14(a) under the Securities Exchange Act of 1934, as adopted</w:t>
        </w:r>
      </w:hyperlink>
      <w:r>
        <w:rPr>
          <w:rFonts w:ascii="Arial" w:cs="Arial" w:eastAsia="Arial" w:hAnsi="Arial"/>
          <w:sz w:val="18"/>
          <w:szCs w:val="18"/>
          <w:u w:val="single" w:color="auto"/>
          <w:color w:val="0000FF"/>
        </w:rPr>
        <w:t xml:space="preserve"> </w:t>
      </w:r>
      <w:hyperlink w:anchor="page36">
        <w:r>
          <w:rPr>
            <w:rFonts w:ascii="Arial" w:cs="Arial" w:eastAsia="Arial" w:hAnsi="Arial"/>
            <w:sz w:val="18"/>
            <w:szCs w:val="18"/>
            <w:u w:val="single" w:color="auto"/>
            <w:color w:val="0000FF"/>
          </w:rPr>
          <w:t>pursuant to Section 302 of the Sarbanes-Oxley Act of 2002. (1)</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37">
        <w:r>
          <w:rPr>
            <w:rFonts w:ascii="Arial" w:cs="Arial" w:eastAsia="Arial" w:hAnsi="Arial"/>
            <w:sz w:val="18"/>
            <w:szCs w:val="18"/>
            <w:u w:val="single" w:color="auto"/>
            <w:color w:val="0000FF"/>
          </w:rPr>
          <w:t>Certification of the Chief Financial Officer required by Rule 13a-14(a) or Rule 15d-14(a) under the Securities Exchange Act of 1934, as adopted</w:t>
        </w:r>
      </w:hyperlink>
      <w:r>
        <w:rPr>
          <w:rFonts w:ascii="Arial" w:cs="Arial" w:eastAsia="Arial" w:hAnsi="Arial"/>
          <w:sz w:val="18"/>
          <w:szCs w:val="18"/>
          <w:u w:val="single" w:color="auto"/>
          <w:color w:val="0000FF"/>
        </w:rPr>
        <w:t xml:space="preserve"> </w:t>
      </w:r>
      <w:hyperlink w:anchor="page37">
        <w:r>
          <w:rPr>
            <w:rFonts w:ascii="Arial" w:cs="Arial" w:eastAsia="Arial" w:hAnsi="Arial"/>
            <w:sz w:val="18"/>
            <w:szCs w:val="18"/>
            <w:u w:val="single" w:color="auto"/>
            <w:color w:val="0000FF"/>
          </w:rPr>
          <w:t>pursuant to Section 302 of the Sarbanes-Oxley Act of 2002. (1)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tabs>
          <w:tab w:leader="none" w:pos="700" w:val="left"/>
        </w:tabs>
        <w:rPr>
          <w:rFonts w:ascii="Arial" w:cs="Arial" w:eastAsia="Arial" w:hAnsi="Arial"/>
          <w:sz w:val="16"/>
          <w:szCs w:val="16"/>
          <w:u w:val="single" w:color="auto"/>
          <w:color w:val="0000FF"/>
        </w:rPr>
      </w:pPr>
      <w:hyperlink w:anchor="page38">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38">
        <w:r>
          <w:rPr>
            <w:rFonts w:ascii="Arial" w:cs="Arial" w:eastAsia="Arial" w:hAnsi="Arial"/>
            <w:sz w:val="16"/>
            <w:szCs w:val="16"/>
            <w:u w:val="single" w:color="auto"/>
            <w:color w:val="0000FF"/>
          </w:rPr>
          <w:t>Certification of the Chief Executive Officer pursuant to Section 906 of the Sarbanes-Oxley Act of 2002 (18 U.S.C. Section 1350). (1)</w:t>
        </w:r>
      </w:hyperlink>
    </w:p>
    <w:p>
      <w:pPr>
        <w:spacing w:after="0" w:line="63" w:lineRule="exact"/>
        <w:rPr>
          <w:sz w:val="20"/>
          <w:szCs w:val="20"/>
          <w:color w:val="auto"/>
        </w:rPr>
      </w:pPr>
    </w:p>
    <w:p>
      <w:pPr>
        <w:ind w:left="40"/>
        <w:spacing w:after="0"/>
        <w:tabs>
          <w:tab w:leader="none" w:pos="700" w:val="left"/>
        </w:tabs>
        <w:rPr>
          <w:rFonts w:ascii="Arial" w:cs="Arial" w:eastAsia="Arial" w:hAnsi="Arial"/>
          <w:sz w:val="16"/>
          <w:szCs w:val="16"/>
          <w:u w:val="single" w:color="auto"/>
          <w:color w:val="0000FF"/>
        </w:rPr>
      </w:pPr>
      <w:hyperlink w:anchor="page39">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39">
        <w:r>
          <w:rPr>
            <w:rFonts w:ascii="Arial" w:cs="Arial" w:eastAsia="Arial" w:hAnsi="Arial"/>
            <w:sz w:val="16"/>
            <w:szCs w:val="16"/>
            <w:u w:val="single" w:color="auto"/>
            <w:color w:val="0000FF"/>
          </w:rPr>
          <w:t>Certification of the Chief Financial Officer pursuant to Section 906 of the Sarbanes-Oxley Act of 2002 (18 U.S.C. Section 1350).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43" w:lineRule="exact"/>
        <w:rPr>
          <w:sz w:val="20"/>
          <w:szCs w:val="20"/>
          <w:color w:val="auto"/>
        </w:rPr>
      </w:pPr>
    </w:p>
    <w:p>
      <w:pPr>
        <w:jc w:val="both"/>
        <w:ind w:left="720" w:right="20" w:hanging="685"/>
        <w:spacing w:after="0" w:line="25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financial information from our Quarterly Report on Form 10-Q for the period ended July 28, 2018 formatted in Extensible Business Reporting Language (XBRL): (i) the Condensed Consolidated Balance Sheets, (ii) the Condensed Consolidated Statements of Operations, (iii) the Condensed Consolidated Statements of Comprehensive Income, (iv) the Condensed Consolidated Statements of Cash Flows, (v) Notes to Condensed Consolidated Financial Statements, and (vii) document and entity information. (1)</w:t>
      </w:r>
    </w:p>
    <w:p>
      <w:pPr>
        <w:spacing w:after="0" w:line="24" w:lineRule="exact"/>
        <w:rPr>
          <w:rFonts w:ascii="Arial" w:cs="Arial" w:eastAsia="Arial" w:hAnsi="Arial"/>
          <w:sz w:val="18"/>
          <w:szCs w:val="18"/>
          <w:color w:val="auto"/>
        </w:rPr>
      </w:pPr>
    </w:p>
    <w:p>
      <w:pPr>
        <w:ind w:left="1180" w:hanging="358"/>
        <w:spacing w:after="0"/>
        <w:tabs>
          <w:tab w:leader="none" w:pos="1180"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July 28, 2018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hanging="244"/>
        <w:spacing w:after="0" w:line="308" w:lineRule="auto"/>
        <w:tabs>
          <w:tab w:leader="none" w:pos="90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244"/>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244"/>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10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8/24/2018</w:t>
      </w:r>
    </w:p>
    <w:p>
      <w:pPr>
        <w:sectPr>
          <w:pgSz w:w="11900" w:h="16838" w:orient="portrait"/>
          <w:cols w:equalWidth="0" w:num="1">
            <w:col w:w="11420"/>
          </w:cols>
          <w:pgMar w:left="240" w:top="58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July 28, 2018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2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8/24/2018</w:t>
      </w:r>
    </w:p>
    <w:p>
      <w:pPr>
        <w:sectPr>
          <w:pgSz w:w="11900" w:h="16838" w:orient="portrait"/>
          <w:cols w:equalWidth="0" w:num="1">
            <w:col w:w="11420"/>
          </w:cols>
          <w:pgMar w:left="240" w:top="58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July 28, 2018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540"/>
        <w:spacing w:after="0"/>
        <w:tabs>
          <w:tab w:leader="none" w:pos="7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8/24/2018</w:t>
      </w:r>
    </w:p>
    <w:p>
      <w:pPr>
        <w:sectPr>
          <w:pgSz w:w="11900" w:h="16838" w:orient="portrait"/>
          <w:cols w:equalWidth="0" w:num="1">
            <w:col w:w="11420"/>
          </w:cols>
          <w:pgMar w:left="240" w:top="58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July 28, 2018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tabs>
          <w:tab w:leader="none" w:pos="7180" w:val="left"/>
        </w:tabs>
        <w:rPr>
          <w:sz w:val="20"/>
          <w:szCs w:val="20"/>
          <w:color w:val="auto"/>
        </w:rPr>
      </w:pPr>
      <w:r>
        <w:rPr>
          <w:rFonts w:ascii="Arial" w:cs="Arial" w:eastAsia="Arial" w:hAnsi="Arial"/>
          <w:sz w:val="18"/>
          <w:szCs w:val="18"/>
          <w:color w:val="auto"/>
        </w:rPr>
        <w:t>Date:</w:t>
        <w:tab/>
        <w:t>8/24/2018</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01"/>
    </w:lvl>
    <w:lvl w:ilvl="1">
      <w:lvlJc w:val="left"/>
      <w:lvlText w:val="(%2)"/>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20" Type="http://schemas.openxmlformats.org/officeDocument/2006/relationships/image" Target="media/image9.png"/><Relationship Id="rId23" Type="http://schemas.openxmlformats.org/officeDocument/2006/relationships/image" Target="media/image10.png"/><Relationship Id="rId26" Type="http://schemas.openxmlformats.org/officeDocument/2006/relationships/image" Target="media/image11.png"/><Relationship Id="rId29"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15" Type="http://schemas.openxmlformats.org/officeDocument/2006/relationships/hyperlink" Target="http://www.sec.gov/Archives/edgar/data/915779/000091577913000093/dakt-20130427_ex31xaoi.htm" TargetMode="External"/><Relationship Id="rId16" Type="http://schemas.openxmlformats.org/officeDocument/2006/relationships/hyperlink" Target="http://www.sec.gov/Archives/edgar/data/915779/000091577913000026/dakt_exx34x10-kx2013.htm" TargetMode="External"/><Relationship Id="rId18" Type="http://schemas.openxmlformats.org/officeDocument/2006/relationships/hyperlink" Target="http://www.sec.gov/Archives/edgar/data/915779/000091577916000233/dakt_20161115xex101.htm" TargetMode="External"/><Relationship Id="rId19" Type="http://schemas.openxmlformats.org/officeDocument/2006/relationships/hyperlink" Target="http://www.sec.gov/Archives/edgar/data/915779/000091577916000233/dakt_20161115xex102.htm" TargetMode="External"/><Relationship Id="rId21" Type="http://schemas.openxmlformats.org/officeDocument/2006/relationships/hyperlink" Target="http://www.sec.gov/Archives/edgar/data/915779/000091577916000233/dakt_20161115xex103.htm" TargetMode="External"/><Relationship Id="rId22" Type="http://schemas.openxmlformats.org/officeDocument/2006/relationships/hyperlink" Target="http://www.sec.gov/Archives/edgar/data/915779/000091577916000233/dakt_20161115xex104.htm" TargetMode="External"/><Relationship Id="rId24" Type="http://schemas.openxmlformats.org/officeDocument/2006/relationships/hyperlink" Target="http://www.sec.gov/Archives/edgar/data/915779/000091577917000027/dakt_ex106x10-kx2017.htm" TargetMode="External"/><Relationship Id="rId25" Type="http://schemas.openxmlformats.org/officeDocument/2006/relationships/hyperlink" Target="http://www.sec.gov/Archives/edgar/data/915779/000091577915000046/dakt-20150501_defx14a.htm#s4b4ce7db85924a1dba35b799a722a4cd" TargetMode="External"/><Relationship Id="rId27" Type="http://schemas.openxmlformats.org/officeDocument/2006/relationships/hyperlink" Target="http://www.sec.gov/Archives/edgar/data/915779/000091577915000068/dakt_ex102x8-kxsomx2015.htm" TargetMode="External"/><Relationship Id="rId28" Type="http://schemas.openxmlformats.org/officeDocument/2006/relationships/hyperlink" Target="http://www.sec.gov/Archives/edgar/data/915779/000091577915000068/dakt_ex103x8-kxsomx2015.htm" TargetMode="External"/><Relationship Id="rId30" Type="http://schemas.openxmlformats.org/officeDocument/2006/relationships/hyperlink" Target="http://www.sec.gov/Archives/edgar/data/915779/000091577915000068/dakt_ex104x8-kxsomx2015.htm" TargetMode="External"/><Relationship Id="rId31" Type="http://schemas.openxmlformats.org/officeDocument/2006/relationships/hyperlink" Target="http://www.sec.gov/Archives/edgar/data/915779/000091577915000068/dakt_ex105x8-kxsomx2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2019-12-28T19:35:26Z</dcterms:created>
  <dcterms:modified xsi:type="dcterms:W3CDTF">2019-12-28T19:35:26Z</dcterms:modified>
</cp:coreProperties>
</file>