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904"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04"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04"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5"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800" w:hanging="76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5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00" w:hanging="76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540" w:hanging="74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540" w:hanging="7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540" w:right="1079" w:hanging="749"/>
        <w:spacing w:after="0" w:line="308"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540" w:hanging="74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540" w:hanging="74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800" w:right="859" w:hanging="765"/>
        <w:spacing w:after="0" w:line="264"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sz w:val="24"/>
          <w:szCs w:val="24"/>
          <w:color w:val="auto"/>
        </w:rPr>
      </w:pPr>
    </w:p>
    <w:p>
      <w:pPr>
        <w:ind w:left="1540" w:hanging="74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540" w:hanging="74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sz w:val="24"/>
          <w:szCs w:val="24"/>
          <w:color w:val="auto"/>
        </w:rPr>
      </w:pPr>
    </w:p>
    <w:p>
      <w:pPr>
        <w:ind w:left="1540" w:hanging="74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540" w:hanging="74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 2015</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September 2, 2015</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Daktronics, Inc.</w:t>
      </w:r>
    </w:p>
    <w:p>
      <w:pPr>
        <w:spacing w:after="0" w:line="86"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Brookings, South Dakota 57006</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960" w:right="14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three Directors to serve for a three-year term that expires on the date of the Annual Meeting of Shareholders in 2018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an advisory approval of the Company's executive compensation;</w:t>
      </w:r>
    </w:p>
    <w:p>
      <w:pPr>
        <w:spacing w:after="0" w:line="63" w:lineRule="exact"/>
        <w:rPr>
          <w:rFonts w:ascii="Arial" w:cs="Arial" w:eastAsia="Arial" w:hAnsi="Arial"/>
          <w:sz w:val="18"/>
          <w:szCs w:val="18"/>
          <w:color w:val="auto"/>
        </w:rPr>
      </w:pPr>
    </w:p>
    <w:p>
      <w:pPr>
        <w:ind w:left="2280" w:right="580" w:hanging="327"/>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2016; and</w:t>
      </w:r>
    </w:p>
    <w:p>
      <w:pPr>
        <w:spacing w:after="0" w:line="8" w:lineRule="exact"/>
        <w:rPr>
          <w:rFonts w:ascii="Arial" w:cs="Arial" w:eastAsia="Arial" w:hAnsi="Arial"/>
          <w:sz w:val="18"/>
          <w:szCs w:val="18"/>
          <w:color w:val="auto"/>
        </w:rPr>
      </w:pPr>
    </w:p>
    <w:p>
      <w:pPr>
        <w:ind w:left="2280" w:right="380" w:hanging="327"/>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the 2015 Stock Incentive Plan and to approve 3,000,000 shares as available for issuance under the 2015 Stock Incentive Plan.</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June 29, 2015.</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89"/>
              </w:rPr>
              <w:t>Please submit a proxy as soon as possible so that your shares can be voted at the Annual Meeting in accordance with your</w:t>
            </w:r>
          </w:p>
        </w:tc>
      </w:tr>
      <w:tr>
        <w:trPr>
          <w:trHeight w:val="230"/>
        </w:trPr>
        <w:tc>
          <w:tcPr>
            <w:tcW w:w="1580" w:type="dxa"/>
            <w:vAlign w:val="bottom"/>
          </w:tcPr>
          <w:p>
            <w:pPr>
              <w:spacing w:after="0"/>
              <w:rPr>
                <w:sz w:val="20"/>
                <w:szCs w:val="20"/>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856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856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856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26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17, 2015.</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SEPTEMBER 2, 2015.</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2015 Annual Report to Shareholders, which includes our Annual Report on Form 10-K for the fiscal year ended May 2, 2015,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250"/>
        </w:trPr>
        <w:tc>
          <w:tcPr>
            <w:tcW w:w="103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Procedural Matters</w:t>
              </w:r>
            </w:hyperlink>
          </w:p>
        </w:tc>
        <w:tc>
          <w:tcPr>
            <w:tcW w:w="4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8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Security Ownership of Certain Beneficial Owners and Management</w:t>
              </w:r>
            </w:hyperlink>
          </w:p>
        </w:tc>
        <w:tc>
          <w:tcPr>
            <w:tcW w:w="5440" w:type="dxa"/>
            <w:vAlign w:val="bottom"/>
            <w:gridSpan w:val="4"/>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574"/>
        </w:trPr>
        <w:tc>
          <w:tcPr>
            <w:tcW w:w="103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Proposal One - Election of Directors</w:t>
              </w:r>
            </w:hyperlink>
          </w:p>
        </w:tc>
        <w:tc>
          <w:tcPr>
            <w:tcW w:w="4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67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Proposal Two - Advisory (non-binding) Approval of the Company's Executive Compensation</w:t>
              </w:r>
            </w:hyperlink>
          </w:p>
        </w:tc>
        <w:tc>
          <w:tcPr>
            <w:tcW w:w="358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574"/>
        </w:trPr>
        <w:tc>
          <w:tcPr>
            <w:tcW w:w="1032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Three - Ratification of Appointment of Independent Registered Public Accounting Firm</w:t>
              </w:r>
            </w:hyperlink>
          </w:p>
        </w:tc>
        <w:tc>
          <w:tcPr>
            <w:tcW w:w="4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7680" w:type="dxa"/>
            <w:vAlign w:val="bottom"/>
            <w:gridSpan w:val="14"/>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Proposal Four - Approval of the 2015 Stock Incentive Plan and 3,000,000 Shares as Available for Issuance</w:t>
              </w:r>
            </w:hyperlink>
          </w:p>
        </w:tc>
        <w:tc>
          <w:tcPr>
            <w:tcW w:w="264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768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264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4260" w:type="dxa"/>
            <w:vAlign w:val="bottom"/>
            <w:gridSpan w:val="10"/>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Section 16(a) Beneficial Ownership Reporting Compliance</w:t>
              </w:r>
            </w:hyperlink>
          </w:p>
        </w:tc>
        <w:tc>
          <w:tcPr>
            <w:tcW w:w="60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426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Compensation Discussion and Analysis</w:t>
              </w:r>
            </w:hyperlink>
          </w:p>
        </w:tc>
        <w:tc>
          <w:tcPr>
            <w:tcW w:w="60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2420" w:type="dxa"/>
            <w:vAlign w:val="bottom"/>
            <w:gridSpan w:val="5"/>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Compensation Committee Report</w:t>
              </w:r>
            </w:hyperlink>
          </w:p>
        </w:tc>
        <w:tc>
          <w:tcPr>
            <w:tcW w:w="420" w:type="dxa"/>
            <w:vAlign w:val="bottom"/>
            <w:gridSpan w:val="3"/>
          </w:tcPr>
          <w:p>
            <w:pPr>
              <w:spacing w:after="0"/>
              <w:rPr>
                <w:sz w:val="24"/>
                <w:szCs w:val="24"/>
                <w:color w:val="auto"/>
              </w:rPr>
            </w:pPr>
          </w:p>
        </w:tc>
        <w:tc>
          <w:tcPr>
            <w:tcW w:w="7480" w:type="dxa"/>
            <w:vAlign w:val="bottom"/>
            <w:gridSpan w:val="7"/>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Executive Compensation</w:t>
              </w:r>
            </w:hyperlink>
          </w:p>
        </w:tc>
        <w:tc>
          <w:tcPr>
            <w:tcW w:w="640" w:type="dxa"/>
            <w:vAlign w:val="bottom"/>
          </w:tcPr>
          <w:p>
            <w:pPr>
              <w:spacing w:after="0"/>
              <w:rPr>
                <w:sz w:val="24"/>
                <w:szCs w:val="24"/>
                <w:color w:val="auto"/>
              </w:rPr>
            </w:pPr>
          </w:p>
        </w:tc>
        <w:tc>
          <w:tcPr>
            <w:tcW w:w="7900" w:type="dxa"/>
            <w:vAlign w:val="bottom"/>
            <w:gridSpan w:val="10"/>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Audit Committee Report</w:t>
              </w:r>
            </w:hyperlink>
          </w:p>
        </w:tc>
        <w:tc>
          <w:tcPr>
            <w:tcW w:w="8540" w:type="dxa"/>
            <w:vAlign w:val="bottom"/>
            <w:gridSpan w:val="11"/>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3460" w:type="dxa"/>
            <w:vAlign w:val="bottom"/>
            <w:gridSpan w:val="9"/>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Householding of Annual Disclosure Documents</w:t>
              </w:r>
            </w:hyperlink>
          </w:p>
        </w:tc>
        <w:tc>
          <w:tcPr>
            <w:tcW w:w="686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346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Available Information</w:t>
              </w:r>
            </w:hyperlink>
          </w:p>
        </w:tc>
        <w:tc>
          <w:tcPr>
            <w:tcW w:w="686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75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03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 A - 2015 Stock Incentive Plan</w:t>
              </w:r>
            </w:hyperlink>
          </w:p>
        </w:tc>
        <w:tc>
          <w:tcPr>
            <w:tcW w:w="4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5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274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Notice and Ballot</w:t>
              </w:r>
            </w:hyperlink>
          </w:p>
        </w:tc>
        <w:tc>
          <w:tcPr>
            <w:tcW w:w="7580" w:type="dxa"/>
            <w:vAlign w:val="bottom"/>
            <w:gridSpan w:val="8"/>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2015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September 2, 2015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2015 Annual Report to Shareholders, are being made available to shareholders on the Internet or are being mailed on or about July 17, 2015 to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29, 2015 (the “Record Date”) are entitled to notice of and to vote at the Annual Meeting. As of the Record Date, there were 43,762,596 shares of our common stock outstanding and entitled to vote held by 1,164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"About Us", then “Investor Relations” and then “Annual Reports and Proxies"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any of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for which brokers 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If the shares of our common stock are held directly in the name of the shareholder, he or she can vote on matters to come before the Annual Meeting:</w:t>
      </w:r>
    </w:p>
    <w:p>
      <w:pPr>
        <w:spacing w:after="0" w:line="222" w:lineRule="exact"/>
        <w:rPr>
          <w:sz w:val="20"/>
          <w:szCs w:val="20"/>
          <w:color w:val="auto"/>
        </w:rPr>
      </w:pPr>
    </w:p>
    <w:p>
      <w:pPr>
        <w:ind w:left="660" w:right="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Internet, at 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19, 2016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June 2, 2016, and the shareholder must otherwise comply with Rule 14a-4(c) under the Securities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Exchange Act of 1934. Notices of intention to present proposals at the 2016 annual meeting of shareholders should be addressed to Corporate Secretary, Daktronics, Inc., 201 Daktronics Drive, Brookings, South Dakota 57006.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29, 2015, the Record Date, by each of our Directors, by one nominee for the Board of Directors, by each executive officer named in the Summary Compensation Table, by all Directors, the Director nominee and executive officers as a group, and by each shareholder who is known by us to own beneficially more than five percent of our outstanding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 and Nature of</w:t>
            </w:r>
          </w:p>
        </w:tc>
        <w:tc>
          <w:tcPr>
            <w:tcW w:w="25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Percentage of Outstanding</w:t>
            </w:r>
          </w:p>
        </w:tc>
      </w:tr>
      <w:tr>
        <w:trPr>
          <w:trHeight w:val="261"/>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Owners</w:t>
            </w:r>
          </w:p>
        </w:tc>
        <w:tc>
          <w:tcPr>
            <w:tcW w:w="220" w:type="dxa"/>
            <w:vAlign w:val="bottom"/>
          </w:tcPr>
          <w:p>
            <w:pPr>
              <w:spacing w:after="0"/>
              <w:rPr>
                <w:sz w:val="22"/>
                <w:szCs w:val="22"/>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w:t>
            </w:r>
          </w:p>
        </w:tc>
        <w:tc>
          <w:tcPr>
            <w:tcW w:w="2820" w:type="dxa"/>
            <w:vAlign w:val="bottom"/>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8"/>
              </w:rPr>
              <w:t>Beneficial Ownership</w:t>
            </w:r>
            <w:r>
              <w:rPr>
                <w:rFonts w:ascii="Arial" w:cs="Arial" w:eastAsia="Arial" w:hAnsi="Arial"/>
                <w:sz w:val="25"/>
                <w:szCs w:val="25"/>
                <w:b w:val="1"/>
                <w:bCs w:val="1"/>
                <w:color w:val="auto"/>
                <w:w w:val="88"/>
                <w:vertAlign w:val="superscript"/>
              </w:rPr>
              <w:t>(1)</w:t>
            </w:r>
          </w:p>
        </w:tc>
        <w:tc>
          <w:tcPr>
            <w:tcW w:w="2580" w:type="dxa"/>
            <w:vAlign w:val="bottom"/>
          </w:tcPr>
          <w:p>
            <w:pPr>
              <w:jc w:val="right"/>
              <w:ind w:right="870"/>
              <w:spacing w:after="0" w:line="262"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5"/>
                <w:szCs w:val="25"/>
                <w:b w:val="1"/>
                <w:bCs w:val="1"/>
                <w:color w:val="auto"/>
                <w:vertAlign w:val="superscript"/>
              </w:rPr>
              <w:t>(2)</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(16)</w:t>
            </w: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3,481,634</w:t>
            </w:r>
          </w:p>
        </w:tc>
        <w:tc>
          <w:tcPr>
            <w:tcW w:w="20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40 East 52nd Street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10022</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RidgeWorth Capital Management LLC as Parent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4560" w:type="dxa"/>
            <w:vAlign w:val="bottom"/>
          </w:tcPr>
          <w:p>
            <w:pPr>
              <w:ind w:left="280"/>
              <w:spacing w:after="0"/>
              <w:rPr>
                <w:sz w:val="20"/>
                <w:szCs w:val="20"/>
                <w:color w:val="auto"/>
              </w:rPr>
            </w:pPr>
            <w:r>
              <w:rPr>
                <w:rFonts w:ascii="Arial" w:cs="Arial" w:eastAsia="Arial" w:hAnsi="Arial"/>
                <w:sz w:val="18"/>
                <w:szCs w:val="18"/>
                <w:color w:val="auto"/>
              </w:rPr>
              <w:t>Company for Ceredex Value Advisors LLC</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(17)</w:t>
            </w:r>
          </w:p>
        </w:tc>
        <w:tc>
          <w:tcPr>
            <w:tcW w:w="220" w:type="dxa"/>
            <w:vAlign w:val="bottom"/>
          </w:tcPr>
          <w:p>
            <w:pPr>
              <w:spacing w:after="0"/>
              <w:rPr>
                <w:sz w:val="20"/>
                <w:szCs w:val="20"/>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2,258,122</w:t>
            </w:r>
          </w:p>
        </w:tc>
        <w:tc>
          <w:tcPr>
            <w:tcW w:w="2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3333 Piedmont Road NE, Suite 1500</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Atlanta, GA 30305</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 Aelred J. Kurtenbach</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2,277,392</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Daktronics, Inc. 401(k) Plan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2,495,664</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Officers and Directors: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Reece A. Kurtenbach</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417,223</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James B. Morgan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1,490,456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Byron J.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62,637</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Robert G. Dutcher</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65,896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Nancy D. Frame</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78,977</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L. Mulligan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87,555</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James A. Vellenga</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89,045</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Kevin P. McDermott</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John P. Friel</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1"/>
                <w:szCs w:val="21"/>
                <w:color w:val="auto"/>
              </w:rPr>
            </w:pPr>
          </w:p>
        </w:tc>
        <w:tc>
          <w:tcPr>
            <w:tcW w:w="2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Sheila M. Anderson</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42,363</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Bradley T. Wiemann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245,383</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Matthew J. Kurtenbach</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313,012</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Carla S. Gatzke</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(15)</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741,488</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r>
      <w:tr>
        <w:trPr>
          <w:trHeight w:val="277"/>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(13 persons, consisting of those named above)</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3,634,035</w:t>
            </w:r>
          </w:p>
        </w:tc>
        <w:tc>
          <w:tcPr>
            <w:tcW w:w="2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65" w:lineRule="auto"/>
        <w:tabs>
          <w:tab w:leader="none" w:pos="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Based on 43,762,596 shares of common stock outstanding as of June 29, 2015. Such number does not include 429,738 shares of common stock subject to stock options outstanding as of June 29, 2015. Each figure showing the percentage of outstanding shares owned beneficially has been calculated by treating as outstanding and owned the shares that could be purchased by the indicated person(s) on June 29, 2015 or within 60 days of June 29, 2015 upon the exercise of stock options or vesting of restricted stock and restricted stock units.</w:t>
      </w:r>
    </w:p>
    <w:p>
      <w:pPr>
        <w:ind w:left="820" w:hanging="488"/>
        <w:spacing w:after="0" w:line="250"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82,004 shares subject to options, 25,334 shares held through the 401(k) Plan, 17,400 shares held by his spouse, 44,800 shares held by his children and 2,332 shares of restricted stock with which vest within 60 days from June 29, 2015.</w:t>
      </w:r>
    </w:p>
    <w:p>
      <w:pPr>
        <w:ind w:left="820" w:hanging="488"/>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52,418 shares held through the 401(k) Plan and 2,253 shares of restricted stock which vest on August 23, 2015.</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47,739 shares subject to exercisable options and 2,253 shares of restricted stock which vest on August 23, 2015.</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36,230 shares subject to exercisable options and 2,253 shares of restricted stock which vest on August 23, 2015.</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29,230 shares subject to exercisable options and 2,253 shares of restricted stock which vest on August 23, 2015.</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10,432 shares subject to exercisable options and 2,253 shares of restricted stock which vest on August 23, 2015.</w:t>
      </w:r>
    </w:p>
    <w:p>
      <w:pPr>
        <w:spacing w:after="0" w:line="9" w:lineRule="exact"/>
        <w:rPr>
          <w:rFonts w:ascii="Arial" w:cs="Arial" w:eastAsia="Arial" w:hAnsi="Arial"/>
          <w:sz w:val="18"/>
          <w:szCs w:val="18"/>
          <w:color w:val="auto"/>
        </w:rPr>
      </w:pPr>
    </w:p>
    <w:p>
      <w:pPr>
        <w:ind w:left="820" w:right="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47,739 shares subject to exercisable options and 2,253 shares of restricted stock which vest on August 23, 2015. Mr. Vellenga is retiring from the Board of Directors, effective September 2, 2015.</w:t>
      </w: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McDermott was appointed to the Board of Directors on June 18, 2015</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Friel was nominated to the Board of Directors on June 18, 2015.</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30,104 shares subject to options, 5,006 shares held through the 401(k) Plan and 1,550 shares of restricted stock which vest within 60 days from June 29, 2015.</w:t>
      </w:r>
    </w:p>
    <w:p>
      <w:pPr>
        <w:ind w:left="820" w:right="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70,004 shares subject to options, 34,526 shares held through the 401(k) Plan, 535 shares held by his spouse and 1,632 shares of restricted stock which vest within 60 days from June 29, 2015.</w:t>
      </w:r>
    </w:p>
    <w:p>
      <w:pPr>
        <w:ind w:left="820" w:right="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65,824 shares subject to options, 11,056 shares held through 401(k) Plan, 31,100 shares held by his children and 1,620 shares of restricted stock which vest within 60 days from June 29, 2015.</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66,086 shares subject to options, 119,977 shares held through the 401(k) Plan, 90,000 shares held by her spouse, 30,385 shares held by her children and 1,520 shares of restricted stock with which vest on August 23, 2015.</w:t>
      </w:r>
    </w:p>
    <w:p>
      <w:pPr>
        <w:jc w:val="both"/>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based on an Amendment to Schedule 13G filed by the shareholder with the Securities and Exchange Commission (the "SEC") on January 23, 2015. As set forth in the Schedule 13G, Blackrock, Inc. has sole voting power as to 3,389,640 of these shares and sole dispositive power as to all 3,481,634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based on Schedule 13G filed by the shareholder with the SEC on February 12, 2015. As set forth in the Schedule 13G, RidgeWorth Capital Management LLC, as Parent Company for Ceredex Value Advisors LLC, has sole voting power as to 1,764,402 of these shares and sole dispositive power as to all 2,258,122 shares.</w:t>
      </w:r>
    </w:p>
    <w:p>
      <w:pPr>
        <w:spacing w:after="0" w:line="1"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1,263,868 shares held by his spouse, Irene Kurtenbach, and 300,000 shares held in Medary Creek LLLP. Medary Creek LLLP is a limited liability limited partnership of which Aelred and Irene Kurtenbach are the general partners.</w:t>
      </w:r>
    </w:p>
    <w:p>
      <w:pPr>
        <w:ind w:left="820" w:hanging="488"/>
        <w:spacing w:after="0" w:line="323"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of Directors consists of eight individuals divided into three classes serving staggered three-year terms of office. There are two Directors (Byron J. Anderson, and Reece A. Kurtenbach) whose terms will expire at the 2015 Annual Meeting; three Directors (James B. Morgan, John L. Mulligan, and Kevin P. McDermott) whose terms expire in 2016; and two Directors (Robert G. Dutcher and Nancy D. Frame) whose terms will expire in 2017. The Nominating and Corporate Governance Committee has recommended to the Board of Directors that Byron J. Anderson, and Reece A. Kurtenbach be nominated for re-election at the 2015 Annual Meeting and that John P. Friel be nominated for election at the 2015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ind w:left="740"/>
              <w:spacing w:after="0"/>
              <w:rPr>
                <w:sz w:val="20"/>
                <w:szCs w:val="20"/>
                <w:color w:val="auto"/>
              </w:rPr>
            </w:pPr>
            <w:r>
              <w:rPr>
                <w:rFonts w:ascii="Arial" w:cs="Arial" w:eastAsia="Arial" w:hAnsi="Arial"/>
                <w:sz w:val="18"/>
                <w:szCs w:val="18"/>
                <w:color w:val="auto"/>
              </w:rPr>
              <w:t>Name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384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960" w:type="dxa"/>
            <w:vAlign w:val="bottom"/>
          </w:tcPr>
          <w:p>
            <w:pPr>
              <w:ind w:left="1140"/>
              <w:spacing w:after="0"/>
              <w:rPr>
                <w:sz w:val="20"/>
                <w:szCs w:val="20"/>
                <w:color w:val="auto"/>
              </w:rPr>
            </w:pPr>
            <w:r>
              <w:rPr>
                <w:rFonts w:ascii="Arial" w:cs="Arial" w:eastAsia="Arial" w:hAnsi="Arial"/>
                <w:sz w:val="18"/>
                <w:szCs w:val="18"/>
                <w:color w:val="auto"/>
              </w:rPr>
              <w:t>Committees Served On</w:t>
            </w:r>
          </w:p>
        </w:tc>
      </w:tr>
      <w:tr>
        <w:trPr>
          <w:trHeight w:val="27"/>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2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 Nominating and</w:t>
            </w: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Governance Committee; Audit Committee</w:t>
            </w: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Reece A. Kurtenbach</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3960" w:type="dxa"/>
            <w:vAlign w:val="bottom"/>
          </w:tcPr>
          <w:p>
            <w:pPr>
              <w:spacing w:after="0"/>
              <w:rPr>
                <w:sz w:val="21"/>
                <w:szCs w:val="21"/>
                <w:color w:val="auto"/>
              </w:rPr>
            </w:pPr>
          </w:p>
        </w:tc>
      </w:tr>
      <w:tr>
        <w:trPr>
          <w:trHeight w:val="27"/>
        </w:trPr>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9"/>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P. Friel</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Managing Director at Preservation Technologies</w:t>
            </w:r>
          </w:p>
        </w:tc>
        <w:tc>
          <w:tcPr>
            <w:tcW w:w="3960" w:type="dxa"/>
            <w:vAlign w:val="bottom"/>
            <w:shd w:val="clear" w:color="auto" w:fill="CCEEFF"/>
          </w:tcPr>
          <w:p>
            <w:pPr>
              <w:spacing w:after="0"/>
              <w:rPr>
                <w:sz w:val="19"/>
                <w:szCs w:val="19"/>
                <w:color w:val="auto"/>
              </w:rPr>
            </w:pPr>
          </w:p>
        </w:tc>
      </w:tr>
      <w:tr>
        <w:trPr>
          <w:trHeight w:val="216"/>
        </w:trPr>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L.P.; Director of the medical device industry</w:t>
            </w:r>
          </w:p>
        </w:tc>
        <w:tc>
          <w:tcPr>
            <w:tcW w:w="3960" w:type="dxa"/>
            <w:vAlign w:val="bottom"/>
            <w:shd w:val="clear" w:color="auto" w:fill="CCEEFF"/>
          </w:tcPr>
          <w:p>
            <w:pPr>
              <w:spacing w:after="0"/>
              <w:rPr>
                <w:sz w:val="18"/>
                <w:szCs w:val="18"/>
                <w:color w:val="auto"/>
              </w:rPr>
            </w:pPr>
          </w:p>
        </w:tc>
      </w:tr>
      <w:tr>
        <w:trPr>
          <w:trHeight w:val="216"/>
        </w:trPr>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at Blue Water Growth LLC, and a</w:t>
            </w:r>
          </w:p>
        </w:tc>
        <w:tc>
          <w:tcPr>
            <w:tcW w:w="3960" w:type="dxa"/>
            <w:vAlign w:val="bottom"/>
            <w:shd w:val="clear" w:color="auto" w:fill="CCEEFF"/>
          </w:tcPr>
          <w:p>
            <w:pPr>
              <w:spacing w:after="0"/>
              <w:rPr>
                <w:sz w:val="18"/>
                <w:szCs w:val="18"/>
                <w:color w:val="auto"/>
              </w:rPr>
            </w:pPr>
          </w:p>
        </w:tc>
      </w:tr>
      <w:tr>
        <w:trPr>
          <w:trHeight w:val="216"/>
        </w:trPr>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business consultant and board member of various</w:t>
            </w:r>
          </w:p>
        </w:tc>
        <w:tc>
          <w:tcPr>
            <w:tcW w:w="3960" w:type="dxa"/>
            <w:vAlign w:val="bottom"/>
            <w:shd w:val="clear" w:color="auto" w:fill="CCEEFF"/>
          </w:tcPr>
          <w:p>
            <w:pPr>
              <w:spacing w:after="0"/>
              <w:rPr>
                <w:sz w:val="18"/>
                <w:szCs w:val="18"/>
                <w:color w:val="auto"/>
              </w:rPr>
            </w:pPr>
          </w:p>
        </w:tc>
      </w:tr>
      <w:tr>
        <w:trPr>
          <w:trHeight w:val="230"/>
        </w:trPr>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companies in his position at Five Radicals LLC</w:t>
            </w:r>
          </w:p>
        </w:tc>
        <w:tc>
          <w:tcPr>
            <w:tcW w:w="3960" w:type="dxa"/>
            <w:vAlign w:val="bottom"/>
            <w:shd w:val="clear" w:color="auto" w:fill="CCEEFF"/>
          </w:tcPr>
          <w:p>
            <w:pPr>
              <w:spacing w:after="0"/>
              <w:rPr>
                <w:sz w:val="20"/>
                <w:szCs w:val="20"/>
                <w:color w:val="auto"/>
              </w:rPr>
            </w:pPr>
          </w:p>
        </w:tc>
      </w:tr>
      <w:tr>
        <w:trPr>
          <w:trHeight w:val="27"/>
        </w:trPr>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Byron J. Anderson (71) </w:t>
      </w:r>
      <w:r>
        <w:rPr>
          <w:rFonts w:ascii="Arial" w:cs="Arial" w:eastAsia="Arial" w:hAnsi="Arial"/>
          <w:sz w:val="17"/>
          <w:szCs w:val="17"/>
          <w:color w:val="auto"/>
        </w:rPr>
        <w:t>is currently retired. He has been a Director of the Company since 2005 and has served on the Compensation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Nominating and Governance Committee since November 2005 and on the Audit Committee since May 2015. Before his retirement, from 1999 to 2004 he served at Agilent Technologies, Inc. as Senior Vice President serving customers and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worldwide communications industry. He holds an M.B.A.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Reece A. Kurtenbach (50) </w:t>
      </w:r>
      <w:r>
        <w:rPr>
          <w:rFonts w:ascii="Arial" w:cs="Arial" w:eastAsia="Arial" w:hAnsi="Arial"/>
          <w:sz w:val="16"/>
          <w:szCs w:val="16"/>
          <w:color w:val="auto"/>
        </w:rPr>
        <w:t>was appointed as President and Chief Executive Officer and a Director effective on September 1, 2013 and has served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holds a B.S. degree from South Dakota State University in electrical engineering, with minors in mathematics and computer science. Mr. Kurtenbach is the son of Dr. Aelred Kurtenbach. The Board believes that Mr. Kurtenbach is an appropriate representative of management on the Board given his position as a senior executive officer and his long tenure with the Company which dates back 28 years. In addition, Mr. Kurtenbach brings a wealth of industry experience to the Board.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John P. Friel (61) </w:t>
      </w:r>
      <w:r>
        <w:rPr>
          <w:rFonts w:ascii="Arial" w:cs="Arial" w:eastAsia="Arial" w:hAnsi="Arial"/>
          <w:sz w:val="18"/>
          <w:szCs w:val="18"/>
          <w:color w:val="auto"/>
        </w:rPr>
        <w:t>was nominated to the Board of Directors in June 2015. Mr. Friel served for 30 years in various capacities at MEDRAD, Inc., a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that designs, develops, manufactures, sells, and supports medical devices. MEDRAD is an affiliate of Bayer, AG. He joined MEDRAD in the accounting area and earned a promotion to treasurer and vice president in corporate planning in 1986 and the business development area in 1987. He then served as executive vice president of sales and marketing from 1989 to 1995, senior vice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president and general manager from 1995 to 1998, and as president and Chief Executive Officer from 1998 to 2010. MEDRAD received the Malcolm Baldrige National Quality Award twice during his tenure - in 2004 and again in 2010. Mr. Friel is currently the managing director at Preservation Technologies L.P., the director of the medical device industry segment at Blue Water Growth LLC, and a business consultant and board member of various companies in his position at Five Radicals LLC. Mr. Friel is a principal and founder of Five Radicals, which focuses on Baldrige Performance Excellence, strategic planning, general business consulting to entrepreneurial medical device companies, and private equity business development opportunity search efforts. He holds a Master of Arts in law and diplomacy from Tufts University and Bachelor of Arts in political science and Bachelor of Science in accounting from Pennsylvania State University. Mr. Friel brings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James B. Morgan (68) </w:t>
      </w:r>
      <w:r>
        <w:rPr>
          <w:rFonts w:ascii="Arial" w:cs="Arial" w:eastAsia="Arial" w:hAnsi="Arial"/>
          <w:sz w:val="17"/>
          <w:szCs w:val="17"/>
          <w:color w:val="auto"/>
        </w:rPr>
        <w:t>is currently retired. He has been a Director since 1984. He served as the Company's President and Chief Executive Officer from 2001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his retirement effective on September 1, 2013. Prior to that he served as President and Chief Operating Officer and Vice President for Engineering. He originally joined the Company in 1969 as its first design engineer. He holds a B.S degree and an M.S. degree in electrical engineering from South Dakota State University. Mr. Morgan brings to the Board his experience and knowledge of our business and industry derived from his previous positions as President and Chief Executive Officer and his experience of over 45 years working for the Company.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John L. Mulligan (76) </w:t>
      </w:r>
      <w:r>
        <w:rPr>
          <w:rFonts w:ascii="Arial" w:cs="Arial" w:eastAsia="Arial" w:hAnsi="Arial"/>
          <w:sz w:val="17"/>
          <w:szCs w:val="17"/>
          <w:color w:val="auto"/>
        </w:rPr>
        <w:t>has been a Director and has served as chairman of the Audit Committee since 1993. Since 1993, he has been employed by a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Kevin P. McDermott (61) </w:t>
      </w:r>
      <w:r>
        <w:rPr>
          <w:rFonts w:ascii="Arial" w:cs="Arial" w:eastAsia="Arial" w:hAnsi="Arial"/>
          <w:sz w:val="17"/>
          <w:szCs w:val="17"/>
          <w:color w:val="auto"/>
        </w:rPr>
        <w:t>was appointed to the Board of Directors in June 2015. Mr. McDermott joins the board of directors with 33 years of experience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accounting firm of KPMG LLP,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 held audit clients. While in the Office of General Counsel, he provided assistance on a privileged basis to the firm and outside counsel in various SEC and Public Company Accounting Oversight Board investigations and third party litigation matters. Although Mr. McDermott retired from KPMG LLP, he provides litigation support consulting services on a part time basis. He is a licensed Certified Public Accountant in Tennessee and New York and holds a Bachelor of Science in economics from South Dakota State University. Mr. McDermott brings significant expertise in the area of financial and internal control reporting by publicly traded companies. This expertise aligns with our responsibility and commitment to provide oversight for our shareholders and others relating to the integrity of our financial statements and related filings.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Robert G. Dutcher (70) </w:t>
      </w:r>
      <w:r>
        <w:rPr>
          <w:rFonts w:ascii="Arial" w:cs="Arial" w:eastAsia="Arial" w:hAnsi="Arial"/>
          <w:sz w:val="16"/>
          <w:szCs w:val="16"/>
          <w:color w:val="auto"/>
        </w:rPr>
        <w:t>is currently retired. He has been a Director of the Company since 2002 and chairman of the Compensation Committee since 2005.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his retirement, from April 2009 until March 2011, he served as Strategic Advisor Lead Member of MEDRAD, Inc. From April 2008 through March 2009, he was President and Chief Executive Officer of the Cardiovascular Division of MEDRAD, Inc. From 2001 until April 2008, he was the Chairman, President and Chief Executive Officer of Possis Medical, Inc., a publicly-held medical device company located in Minneapolis, Minnesota, which was acquired by MEDRAD, Inc. in April 2008. From 1993 until April 2008, he served as its President and Chief Executive Officer.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Mr. Dutcher brings to the Board extensive knowledge in driving profitable growth in technology driven industries from his experience in leading R&amp;D at Medtronic and as Chief Executive Officer of Possis Medical.</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Nancy D. Frame (70) </w:t>
      </w:r>
      <w:r>
        <w:rPr>
          <w:rFonts w:ascii="Arial" w:cs="Arial" w:eastAsia="Arial" w:hAnsi="Arial"/>
          <w:sz w:val="18"/>
          <w:szCs w:val="18"/>
          <w:color w:val="auto"/>
        </w:rPr>
        <w:t>is currently retired. She has been a Director of the Company since 1999, chairperson of the Nominating and Corporate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since 2004 and Lead Independent Director since 2005. She also serves as a member of the Compensation Committee. She was Deputy Director of the U. S. Trade and Development Agency from 1986 to 1999, when she retired. As a senior executive in 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degree from South Dakota State University.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Corporate Governance Committee has determined that each of Messrs. Anderson, Vellenga, Mulligan, Dutcher, Friel and McDermott and Ms. Frame are “independent,” as that term is defined in Rule 5605(a)(2) of the NASDAQ Listing Rules. Accordingly, the Board is composed of a majority of independent Directors as required by the NASDAQ Listing Rules.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 because it is designed to motivate our executives to deliver long-term sustainable growth and shareholder value and to provide retention incentives.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subject to at-will employment consistent with state law. There are no specific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2015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2015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approval, this proposal is non-binding. However, the Board and our Compensation Committee, which is responsible for designing and overseeing the administration of our executive compensation program, value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to examine our consolidated financial statements and internal controls over financial reporting for fiscal 2016 and recommends that the shareholders vote for ratification of such appointment. Ernst &amp; Young LLP has acted as our independent registered public accounting firm since fiscal year 2003. A representative of Ernst &amp; Young LLP is expected to be present at the Annual Meeting, will have the opportunity to make a statement, and is expected to be available to respond to appropriate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Ernst &amp; Young LLP for the last two fiscal years are set forth in the following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50"/>
              <w:spacing w:after="0"/>
              <w:rPr>
                <w:sz w:val="20"/>
                <w:szCs w:val="20"/>
                <w:color w:val="auto"/>
              </w:rPr>
            </w:pPr>
            <w:r>
              <w:rPr>
                <w:rFonts w:ascii="Arial" w:cs="Arial" w:eastAsia="Arial" w:hAnsi="Arial"/>
                <w:sz w:val="18"/>
                <w:szCs w:val="18"/>
                <w:color w:val="auto"/>
              </w:rPr>
              <w:t>Fiscal Year Ended</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May 2, 2015</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7"/>
              </w:rPr>
              <w:t>April 26, 2014</w:t>
            </w:r>
          </w:p>
        </w:tc>
      </w:tr>
      <w:tr>
        <w:trPr>
          <w:trHeight w:val="27"/>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1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675,091</w:t>
            </w: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37"/>
        </w:trPr>
        <w:tc>
          <w:tcPr>
            <w:tcW w:w="3100" w:type="dxa"/>
            <w:vAlign w:val="bottom"/>
          </w:tcPr>
          <w:p>
            <w:pPr>
              <w:ind w:left="500"/>
              <w:spacing w:after="0"/>
              <w:rPr>
                <w:sz w:val="20"/>
                <w:szCs w:val="20"/>
                <w:color w:val="auto"/>
              </w:rPr>
            </w:pPr>
            <w:r>
              <w:rPr>
                <w:rFonts w:ascii="Arial" w:cs="Arial" w:eastAsia="Arial" w:hAnsi="Arial"/>
                <w:sz w:val="18"/>
                <w:szCs w:val="18"/>
                <w:color w:val="auto"/>
              </w:rPr>
              <w:t>Totals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747,995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701,086</w:t>
            </w:r>
          </w:p>
        </w:tc>
      </w:tr>
      <w:tr>
        <w:trPr>
          <w:trHeight w:val="67"/>
        </w:trPr>
        <w:tc>
          <w:tcPr>
            <w:tcW w:w="3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3100" w:type="dxa"/>
            <w:vAlign w:val="bottom"/>
            <w:tcBorders>
              <w:bottom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jc w:val="both"/>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Ernst &amp; Young LLP that does not meet the above category descriptions.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the ability of Ernst &amp; Young LLP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April 30, 2016. If the shareholders do not approve the selection of Ernst &amp; Young LLP, the Audit Committee will reconsider its selection.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APRIL 30, 2016 AS SET FORTH IN PROPOSAL THREE.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PROPOSAL FOUR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2015 STOCK INCENTIVE PLAN AND 3,000,000 SHARES AS AVAILABLE FOR ISSUANCE</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2015 Stock Incentive Plan (the "2015 Plan"), was adopted by the Board of Directors on June 18, 2015 and is subject to approval by our shareholders. If our shareholders approve the 2015 Plan, we will not issue any additional options under the existing equity incentive plan, which is the 2007 Stock Incentive Plan. This summary is not intended to be a complete description of all provisions of the 2015 Plan, and it is qualified by reference to the copy of the 2015 Plan filed as Exhibit A to this proxy statement. For further information about our 2015 Plan, we refer you to the copy of the 2015 Plan.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purpose of the 2015 Plan is to attract and retain executives, employees, board members and consultants and enable such individuals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long-term success and growth of our Company by giving them a proprietary interest in our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Forms of Awards. </w:t>
      </w:r>
      <w:r>
        <w:rPr>
          <w:rFonts w:ascii="Arial" w:cs="Arial" w:eastAsia="Arial" w:hAnsi="Arial"/>
          <w:sz w:val="18"/>
          <w:szCs w:val="18"/>
          <w:color w:val="auto"/>
        </w:rPr>
        <w:t>The 2015 Plan provides for the grant of incentive stock options, non-qualified stock options, restricted stock, restricted stock units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stock. These awards are described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Plan Participants. </w:t>
      </w:r>
      <w:r>
        <w:rPr>
          <w:rFonts w:ascii="Arial" w:cs="Arial" w:eastAsia="Arial" w:hAnsi="Arial"/>
          <w:sz w:val="18"/>
          <w:szCs w:val="18"/>
          <w:color w:val="auto"/>
        </w:rPr>
        <w:t>Our officers, other employees, members of our Board of Directors, and our consultants, in each case, who are responsible for or who</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to the management, growth and/or profitability of our business are eligible to be granted awards under our 2015 Plan.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Share Reserve Limit and Counting. </w:t>
      </w:r>
      <w:r>
        <w:rPr>
          <w:rFonts w:ascii="Arial" w:cs="Arial" w:eastAsia="Arial" w:hAnsi="Arial"/>
          <w:sz w:val="18"/>
          <w:szCs w:val="18"/>
          <w:color w:val="auto"/>
        </w:rPr>
        <w:t>Under the 2015 Plan, 3,000,000 shares of our common stock have been reserved for issuance, and all such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authorized and unissued shares of stock.</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any shares of our common stock become available as a result of canceled, unexercised, lapsed or terminated awards under our 2015 Plan, then these shares will again be available for grant of future awards. However, upon a stock-for-stock exercise of an award that involves the withholding of shares of our common stock for the payment of the exercise price or taxes with respect to an award, the shares of our common stock used to pay the exercise price or otherwise withheld shall not become available for future distribution under the 2015 Plan. Each share of stock subject to awards granted under the 2015 Plan is counted as one share for purposes of determining the number of shares available under the 2015 Plan.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Adjustments Upon a Recapitalization or Similar Event. </w:t>
      </w:r>
      <w:r>
        <w:rPr>
          <w:rFonts w:ascii="Arial" w:cs="Arial" w:eastAsia="Arial" w:hAnsi="Arial"/>
          <w:sz w:val="16"/>
          <w:szCs w:val="16"/>
          <w:color w:val="auto"/>
        </w:rPr>
        <w:t>If we engage in or are involved in a stock dividend, stock split, reverse stock split, 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exchange of shares or other similar recapitalization of our common stock, there will be an appropriate adjustment made, without the consent of any award recipient, to the number and kind of shares of our common stock subject to and reserved under our 2015 Plan, including any limits on shares established under our 2015 Plan, the exercise or purchase price of each share subject to an award and any other affected terms of such awards.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Administration of Our 2015 Plan. </w:t>
      </w:r>
      <w:r>
        <w:rPr>
          <w:rFonts w:ascii="Arial" w:cs="Arial" w:eastAsia="Arial" w:hAnsi="Arial"/>
          <w:sz w:val="18"/>
          <w:szCs w:val="18"/>
          <w:color w:val="auto"/>
        </w:rPr>
        <w:t>Our 2015 Plan will be administered by our Board of Directors through our Compensation Committee, which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three independent directors (as “independent” is defined under applicable rules of the Securities and Exchange Commission and The NASDAQ Stock Market).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has the power to, among other things, select the recipients to whom awards may be granted under the 2015 Plan, determine the terms of the awards, including the number of shares subject to each award, the vesting, exercisability, forfeiture provisions, performance goals and periods and other terms and conditions of the awards and the amount and form of consideration payable upon exercise, grant or settlement.</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also has the power to interpret and otherwise administer our 2015 Plan. The Compensation Committee may delegate the authority to choose recipients and determine the terms of the awards to executive officers of our Company under the conditions set forth in the 2015 Plan.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Upon the occurrence of a "Change in Control Termination" (as that term is defined in our 2015 Plan), except as otherwise provided in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all outstanding awards granted to an award recipient that have not yet vested will immediately vest, all restrictions on awards will immediately lapse and each outstanding option and stock appreciation right will become fully and immediately exercisable.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provided otherwise in an award agreement, to the extent the acceleration of exercisability or vesting of an award or a cash payment for such award, together with any other payments, could result in excise tax liability under Sections 4999 and 280G of the Internal Revenue Code of 1986, such acceleration or cash payment will be reduced until no portion of such acceleration or cash payment would be subject to such excise tax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Descriptions of Types of Awards. </w:t>
      </w:r>
      <w:r>
        <w:rPr>
          <w:rFonts w:ascii="Arial" w:cs="Arial" w:eastAsia="Arial" w:hAnsi="Arial"/>
          <w:sz w:val="18"/>
          <w:szCs w:val="18"/>
          <w:color w:val="auto"/>
        </w:rPr>
        <w:t>Our 2015 Plan provides for the grant of the following types of awards: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2" w:lineRule="auto"/>
        <w:tabs>
          <w:tab w:leader="none" w:pos="660" w:val="left"/>
        </w:tabs>
        <w:numPr>
          <w:ilvl w:val="0"/>
          <w:numId w:val="19"/>
        </w:numPr>
        <w:rPr>
          <w:rFonts w:ascii="Arial" w:cs="Arial" w:eastAsia="Arial" w:hAnsi="Arial"/>
          <w:sz w:val="18"/>
          <w:szCs w:val="18"/>
          <w:color w:val="0000FF"/>
        </w:rPr>
      </w:pPr>
      <w:r>
        <w:rPr>
          <w:rFonts w:ascii="Arial" w:cs="Arial" w:eastAsia="Arial" w:hAnsi="Arial"/>
          <w:sz w:val="18"/>
          <w:szCs w:val="18"/>
          <w:u w:val="single" w:color="auto"/>
          <w:color w:val="auto"/>
        </w:rPr>
        <w:t>Stock Options</w:t>
      </w:r>
      <w:r>
        <w:rPr>
          <w:rFonts w:ascii="Arial" w:cs="Arial" w:eastAsia="Arial" w:hAnsi="Arial"/>
          <w:sz w:val="18"/>
          <w:szCs w:val="18"/>
          <w:color w:val="auto"/>
        </w:rPr>
        <w:t>. Our 2015 Plan provides for the grant of incentive stock options to our employees and non-qualified stock options to employees, directors and consultants. Options may be granted with terms determined by the Compensation Committee except that the exercise price of all stock options, whether incentive stock options or nonqualified options, may not be less than 100% (or 110% with respect to incentive stock options granted to 10% shareholders) of the fair market value of our common stock as of the date of grant. In addition, unless the Compensation Committee determines otherwise, an option will become exercisable in equal installments of 20% of the shares subject to the option on each anniversary of the grant date until fully exercisable and will have a ten-year term (or no more than a five-year term with respect to incentive stock options granted to 10% shareholders).</w:t>
      </w:r>
    </w:p>
    <w:p>
      <w:pPr>
        <w:spacing w:after="0" w:line="5" w:lineRule="exact"/>
        <w:rPr>
          <w:rFonts w:ascii="Arial" w:cs="Arial" w:eastAsia="Arial" w:hAnsi="Arial"/>
          <w:sz w:val="18"/>
          <w:szCs w:val="18"/>
          <w:color w:val="0000FF"/>
        </w:rPr>
      </w:pP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 With respect to restricted stock, recipients may be conferred all of the rights of a shareholder with respect to such stock, unless an award agreement provides otherwise. Restricted stock will be forfeited to us if the recipient ceases to be employed by us or to provide services to us. Restricted stock may be subject to vesting over time or upon achievement of performance goals. Unless the Compensation Committee determines otherwise, a restricted stock award will vest one year from the date the award is granted.</w:t>
      </w:r>
    </w:p>
    <w:p>
      <w:pPr>
        <w:jc w:val="both"/>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Restricted stock units are awards of units, each representing one share of our common stock, and these units are subject to vesting conditions based on a vesting schedule and/or performance criteria established by the Compensation Committee. Restricted stock units will be settled in shares of our common stock, but unlike restricted stock, these shares would not be issued until the restricted stock units have vested. Unless the Compensation Committee determines otherwise, a restricted stock unit will vest one year from the date of its grant.</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Deferred Stock</w:t>
      </w:r>
      <w:r>
        <w:rPr>
          <w:rFonts w:ascii="Arial" w:cs="Arial" w:eastAsia="Arial" w:hAnsi="Arial"/>
          <w:sz w:val="18"/>
          <w:szCs w:val="18"/>
          <w:color w:val="auto"/>
        </w:rPr>
        <w:t>. Deferred stock awards are awards of the right to receive shares of our common stock at the end of a specified deferral period or upon the achievement of specified performance criteria. Unless the Compensation Committee determines otherwise, the deferral period for a deferred stock award is one year from the date the award is granted.</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Termination of Employment or Service. </w:t>
      </w:r>
      <w:r>
        <w:rPr>
          <w:rFonts w:ascii="Arial" w:cs="Arial" w:eastAsia="Arial" w:hAnsi="Arial"/>
          <w:sz w:val="17"/>
          <w:szCs w:val="17"/>
          <w:color w:val="auto"/>
        </w:rPr>
        <w:t>Unless an award agreement or the Compensation Committee provides otherwise, upon a termination of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or service (i) by reason of death or disability, an option (to the extent then vested) will become exercisable for one year after such death or disability or until the expiration of the option term, whichever is shorter; and (ii) for any other reason, an option will be exercisable (to the extent then vested) for three months after such termination or until the expiration of the option term, whichever is shorter. All options that are not vested at the time of such termination of employment or service will terminate at such time. Unless an award agreement provides otherwise, unvested restricted stock, restricted stock units and deferred stock awards will generally be forfeited upon the termination of employment or service for any reason.</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alter or discontinue our 2015 Plan, but no amendment, alteration or discontinuation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that would impair the rights of a recipient of an award without the recipient’s consent. In addition, the Board will obtain approval of our shareholders of any amendment, alteration or discontinuation to the extent required by applicable law or exchange rules. The Compensation Committee may amend the terms of any outstanding awards, prospectively or retroactively; however, except with respect to amendments related to changes in capitalization or a "Change in Control" (as that term is defined in the 2015 Plan), no amendment will impair the rights of any recipient without his, her or its consent. In addition, neither our 2015 Plan nor any outstanding option may be amended to decrease the exercise price of such award unless first approved by the requisite vote of our shareholders. Moreover, neither our 2015 Plan nor any outstanding award made under the 2015 Plan may be amended in a way that could cause an outstanding award to become subject to the tax imposed by Section 409A of the Internal Revenue Code (regarding non-qualified deferred compensation).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Plan Term. </w:t>
      </w:r>
      <w:r>
        <w:rPr>
          <w:rFonts w:ascii="Arial" w:cs="Arial" w:eastAsia="Arial" w:hAnsi="Arial"/>
          <w:sz w:val="18"/>
          <w:szCs w:val="18"/>
          <w:color w:val="auto"/>
        </w:rPr>
        <w:t>Our 2015 Plan will become effective upon its approval of our shareholders. Our 2015 Plan will terminate five years after the date of its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by our shareholders.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2015 PLAN AND THE SHARES AVAILABLE FOR ISSUANCE AS SET FORTH IN PROPOSAL FOUR.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discussions with the Chief Executive Officer and other officers, by reviewing material provided to them and by participating in meetings of the Board and its Committees.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Dr. Aelred Kurtenbach, one of our founders and our first Chief Executive Officer ("CEO"), served as Chairman of the Board from the Company's inception until September 2014. When he retired from the CEO responsibilities in 2001, the Board separated the Chair and CEO roles and retained Dr. Kurtenbach as Chair in order to continue to benefit from his leadership. The Board has also established a Lead Independent Director role. Ms. Nancy Frame has served as our Lead Independent Director since 2005. When Dr. Kurtenbach retired as Chairman of the Board in September 2014, the Board studied and discussed publicly available research and expert guidance on different structures. After this study and discussion, the Board determined that a return to the combined Chair and CEO roles plus a Lead Independent Director role would best serve the Company and its shareholders going forward.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independent director meetings.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2015, the Board of Directors held four regularly scheduled meetings and two special meetings, the Audit Committee met eight times, the Compensation Committee met four times, and the Nominating and Corporate Governance Committee met four times. All of the Directors attended at least 75 percent of the aggregate of all meetings of the Board of Directors and Committees upon which they served and the annual meeting of shareholders held in September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the economy, credit markets and regulatory and legislative developments.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reviews and, if appropriate, approves any potential related person transaction. On an annual basis, the Audit Committee reviews any previously approved related person transaction that is ongoing.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Audit Committee</w:t>
      </w:r>
      <w:r>
        <w:rPr>
          <w:rFonts w:ascii="Arial" w:cs="Arial" w:eastAsia="Arial" w:hAnsi="Arial"/>
          <w:sz w:val="17"/>
          <w:szCs w:val="17"/>
          <w:color w:val="auto"/>
        </w:rPr>
        <w:t>. During fiscal 2015, our Audit Committee consisted of Mr. Mulligan (Chairperson), Mr. Vellenga and Mr. Tobin. Upon Mr. Tobin's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resignation from the Board effective May 1, 2015, Mr. Anderson was appointed to the Audit Committee. The Board of Directors has determined that each Audit Committee member is independent as defined under Rule 5605(a)(2) of the NASDAQ Listing Rules and Rule 10A-3 under the Securities Exchange Act of 1934 (“Exchange Act”). The Board has determined that Mr. Mulligan and Mr. Tobin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provides for the compensation of our independent registered public accounting firm, reviews the scope and findings of the audit, reviews the adequacy and effectiveness of our accounting policies and system of internal accounting controls, and oversees our policy and procedures with respect to related person transactions. The Audit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During fiscal 2015, our Compensation Committee consisted of Mr. Dutcher (Chairperson), Mr. Anderson and Ms. Frame. All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color w:val="auto"/>
        </w:rPr>
        <w:t>. During fiscal 2015, our Nominating and Corporate Governance Committee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consisted of Ms. Frame (Chairperson), Mr. Anderson and Mr. Vellenga.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and judgment and their willingness to be prepared and active participants at Board and Committee meetings. The Nominating and Corporate Governance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and the Board seek members who will contribute to our overall corporate goals, taking into account:</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Nominating and Corporate Governance Committee will consider written proposals from shareholders for nominees for Director. Any such nominations must be submitted to the Nominating and Corporate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2015,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May 2,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2015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8"/>
                <w:szCs w:val="18"/>
                <w:color w:val="auto"/>
                <w:w w:val="93"/>
              </w:rPr>
              <w:t>Non-Equity Incentive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Fees Earned or</w:t>
            </w:r>
          </w:p>
        </w:tc>
        <w:tc>
          <w:tcPr>
            <w:tcW w:w="1500" w:type="dxa"/>
            <w:vAlign w:val="bottom"/>
            <w:gridSpan w:val="3"/>
            <w:vMerge w:val="restart"/>
          </w:tcPr>
          <w:p>
            <w:pPr>
              <w:ind w:left="80"/>
              <w:spacing w:after="0"/>
              <w:rPr>
                <w:sz w:val="20"/>
                <w:szCs w:val="20"/>
                <w:color w:val="auto"/>
              </w:rPr>
            </w:pPr>
            <w:r>
              <w:rPr>
                <w:rFonts w:ascii="Arial" w:cs="Arial" w:eastAsia="Arial" w:hAnsi="Arial"/>
                <w:sz w:val="18"/>
                <w:szCs w:val="18"/>
                <w:color w:val="auto"/>
              </w:rPr>
              <w:t>Stock Awards ($)</w:t>
            </w:r>
          </w:p>
        </w:tc>
        <w:tc>
          <w:tcPr>
            <w:tcW w:w="1380" w:type="dxa"/>
            <w:vAlign w:val="bottom"/>
            <w:gridSpan w:val="3"/>
          </w:tcPr>
          <w:p>
            <w:pPr>
              <w:ind w:left="100"/>
              <w:spacing w:after="0"/>
              <w:rPr>
                <w:sz w:val="20"/>
                <w:szCs w:val="20"/>
                <w:color w:val="auto"/>
              </w:rPr>
            </w:pPr>
            <w:r>
              <w:rPr>
                <w:rFonts w:ascii="Arial" w:cs="Arial" w:eastAsia="Arial" w:hAnsi="Arial"/>
                <w:sz w:val="18"/>
                <w:szCs w:val="18"/>
                <w:color w:val="auto"/>
              </w:rPr>
              <w:t>Option Awards</w:t>
            </w:r>
          </w:p>
        </w:tc>
        <w:tc>
          <w:tcPr>
            <w:tcW w:w="140" w:type="dxa"/>
            <w:vAlign w:val="bottom"/>
          </w:tcPr>
          <w:p>
            <w:pPr>
              <w:spacing w:after="0"/>
              <w:rPr>
                <w:sz w:val="18"/>
                <w:szCs w:val="18"/>
                <w:color w:val="auto"/>
              </w:rPr>
            </w:pPr>
          </w:p>
        </w:tc>
        <w:tc>
          <w:tcPr>
            <w:tcW w:w="184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Plan Compensation</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68"/>
        </w:trPr>
        <w:tc>
          <w:tcPr>
            <w:tcW w:w="2460" w:type="dxa"/>
            <w:vAlign w:val="bottom"/>
            <w:vMerge w:val="restart"/>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Paid in Cash ($)</w:t>
            </w:r>
          </w:p>
        </w:tc>
        <w:tc>
          <w:tcPr>
            <w:tcW w:w="100" w:type="dxa"/>
            <w:vAlign w:val="bottom"/>
            <w:vMerge w:val="restart"/>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vMerge w:val="restart"/>
          </w:tcPr>
          <w:p>
            <w:pPr>
              <w:jc w:val="right"/>
              <w:ind w:right="350"/>
              <w:spacing w:after="0" w:line="257"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perscript"/>
              </w:rPr>
              <w:t>(3)</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restart"/>
          </w:tcPr>
          <w:p>
            <w:pPr>
              <w:jc w:val="right"/>
              <w:ind w:right="110"/>
              <w:spacing w:after="0"/>
              <w:rPr>
                <w:sz w:val="20"/>
                <w:szCs w:val="20"/>
                <w:color w:val="auto"/>
              </w:rPr>
            </w:pPr>
            <w:r>
              <w:rPr>
                <w:rFonts w:ascii="Arial" w:cs="Arial" w:eastAsia="Arial" w:hAnsi="Arial"/>
                <w:sz w:val="18"/>
                <w:szCs w:val="18"/>
                <w:color w:val="auto"/>
                <w:w w:val="92"/>
              </w:rPr>
              <w:t>Compensation ($)</w:t>
            </w:r>
          </w:p>
        </w:tc>
        <w:tc>
          <w:tcPr>
            <w:tcW w:w="0" w:type="dxa"/>
            <w:vAlign w:val="bottom"/>
          </w:tcPr>
          <w:p>
            <w:pPr>
              <w:spacing w:after="0"/>
              <w:rPr>
                <w:sz w:val="1"/>
                <w:szCs w:val="1"/>
                <w:color w:val="auto"/>
              </w:rPr>
            </w:pPr>
          </w:p>
        </w:tc>
      </w:tr>
      <w:tr>
        <w:trPr>
          <w:trHeight w:val="190"/>
        </w:trPr>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3"/>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93,987</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Robert G. Dutcher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93,987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95,987</w:t>
            </w:r>
          </w:p>
        </w:tc>
        <w:tc>
          <w:tcPr>
            <w:tcW w:w="0" w:type="dxa"/>
            <w:vAlign w:val="bottom"/>
          </w:tcPr>
          <w:p>
            <w:pPr>
              <w:spacing w:after="0"/>
              <w:rPr>
                <w:sz w:val="1"/>
                <w:szCs w:val="1"/>
                <w:color w:val="auto"/>
              </w:rPr>
            </w:pPr>
          </w:p>
        </w:tc>
      </w:tr>
      <w:tr>
        <w:trPr>
          <w:trHeight w:val="270"/>
        </w:trPr>
        <w:tc>
          <w:tcPr>
            <w:tcW w:w="2460" w:type="dxa"/>
            <w:vAlign w:val="bottom"/>
          </w:tcPr>
          <w:p>
            <w:pPr>
              <w:ind w:left="40"/>
              <w:spacing w:after="0" w:line="270" w:lineRule="exact"/>
              <w:rPr>
                <w:sz w:val="20"/>
                <w:szCs w:val="20"/>
                <w:color w:val="auto"/>
              </w:rPr>
            </w:pPr>
            <w:r>
              <w:rPr>
                <w:rFonts w:ascii="Arial" w:cs="Arial" w:eastAsia="Arial" w:hAnsi="Arial"/>
                <w:sz w:val="18"/>
                <w:szCs w:val="18"/>
                <w:color w:val="auto"/>
              </w:rPr>
              <w:t>James B. Morgan</w:t>
            </w:r>
            <w:r>
              <w:rPr>
                <w:rFonts w:ascii="Arial" w:cs="Arial" w:eastAsia="Arial" w:hAnsi="Arial"/>
                <w:sz w:val="25"/>
                <w:szCs w:val="25"/>
                <w:color w:val="auto"/>
                <w:vertAlign w:val="superscript"/>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30,680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120,667</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John L. Mulligan</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95,987</w:t>
            </w:r>
          </w:p>
        </w:tc>
        <w:tc>
          <w:tcPr>
            <w:tcW w:w="0" w:type="dxa"/>
            <w:vAlign w:val="bottom"/>
          </w:tcPr>
          <w:p>
            <w:pPr>
              <w:spacing w:after="0"/>
              <w:rPr>
                <w:sz w:val="1"/>
                <w:szCs w:val="1"/>
                <w:color w:val="auto"/>
              </w:rPr>
            </w:pPr>
          </w:p>
        </w:tc>
      </w:tr>
      <w:tr>
        <w:trPr>
          <w:trHeight w:val="270"/>
        </w:trPr>
        <w:tc>
          <w:tcPr>
            <w:tcW w:w="2460" w:type="dxa"/>
            <w:vAlign w:val="bottom"/>
          </w:tcPr>
          <w:p>
            <w:pPr>
              <w:ind w:left="40"/>
              <w:spacing w:after="0" w:line="270" w:lineRule="exact"/>
              <w:rPr>
                <w:sz w:val="20"/>
                <w:szCs w:val="20"/>
                <w:color w:val="auto"/>
              </w:rPr>
            </w:pPr>
            <w:r>
              <w:rPr>
                <w:rFonts w:ascii="Arial" w:cs="Arial" w:eastAsia="Arial" w:hAnsi="Arial"/>
                <w:sz w:val="18"/>
                <w:szCs w:val="18"/>
                <w:color w:val="auto"/>
              </w:rPr>
              <w:t>Bruce W. Tobin</w:t>
            </w:r>
            <w:r>
              <w:rPr>
                <w:rFonts w:ascii="Arial" w:cs="Arial" w:eastAsia="Arial" w:hAnsi="Arial"/>
                <w:sz w:val="25"/>
                <w:szCs w:val="25"/>
                <w:color w:val="auto"/>
                <w:vertAlign w:val="superscript"/>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A. Vellenga</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95,987</w:t>
            </w: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2015 and therefore his compensation is included in the appropriate tables within the section of this proxy statement entitled "Executive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September 4, 2014 grants of 2,253 restricted shares of our common stock, which vest on August 23, 2015 if they are then Directors of the Company. This amount was computed in accordance with Financial Accounting Standards Board Accounting Standards Codification Topic 718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September 4, 2014 stock option awards of 5,102 shares with a grant date fair value of $25,000, which vest on August 23, 2015 if they are then Directors of the Company. This amount was computed in accordance with ASC 718. The 2007 Stock Incentive Plan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Revenue Code of 1986.</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James B. Morgan retired as Chief Executive Officer and President effective September 1, 2013. Mr. Morgan earned total variable cash compensation for fiscal year 2014 under the non-equity based incentive compensation plan as indicated in the table. This was paid to Mr. Morgan in fiscal 2015 on October 3,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Retired from the Board effective May 1, 2015.</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2015, each independent Director received an annual retainer of $25,000.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to each independent director for Committee membership participation: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2015 Director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Director is expected to achieve a target of 5,000 shares owned, excluding shares subject to options. Directors had five years from the later of their first becoming a member of the Board of Directors or January 2007 to achieve this level of ownership. As of the Record Date, all directors were in compliance with these guidelines.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June 29, 2015 about our executive officers who are not Directors.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34"/>
        </w:trPr>
        <w:tc>
          <w:tcPr>
            <w:tcW w:w="250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54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Vice President and 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 lead design engineer after spending a number of years with Rockwell International Corporation, where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School &amp; Theatres business unit, which is now known as the High School Park and Recreation business unit. Mr. Wiemann holds an M.S. degree in electrical and computer engineering from the University of Iowa and a B.S. degree in electrical engineering from South Dakota State University.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project manager for the Company's process improvements and facility expansions. In 2001, he was named Manufacturing Manager and, in 2006, he was appointed Vice President, Manufacturing. Also in 2006, he was charged with leading the Company's transformation to lean manufacturing. More recently, he gained responsibility for repair center operations associated with after-sales services and the field service organization. Mr. Kurtenbach holds an M.S. degree in industrial management and a B.S.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Carla S. Gatzke </w:t>
      </w:r>
      <w:r>
        <w:rPr>
          <w:rFonts w:ascii="Arial" w:cs="Arial" w:eastAsia="Arial" w:hAnsi="Arial"/>
          <w:sz w:val="16"/>
          <w:szCs w:val="16"/>
          <w:color w:val="auto"/>
        </w:rPr>
        <w:t>joined the Company in 1981 as a student employee in inventory, information systems, and engineering. In 1984, she moved into the role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Sales Engineering where she was responsible for sales and project management for legislative voting systems. In 1988, Ms. Gatzke took an 18 month leave of absence to attend Drake University and teach for one semester. In 1990, Ms. Gatzke returned to Daktronics and managed Star Circuits, a subsidiary of the Company which manufactures printed circuit boards. In 1992, she became responsible for Human Resources Department and, in 1996, she added the responsibility of the Company's Information and Technology and Systems Department. In 2006, the responsibility of the Company's Human Resources and Information and Technology and Systems departments were separated, and Ms. Gatzke retained responsibility for the Human Resources Department. In 2005, she was appointed Vice President of Human Resources. Ms. Gatzke has served as Corporate Secretary since 1994. Ms. Gatzke holds a Master of Business Administration degree from Drake University and a B.S. degree in electrical engineering and minors in math and computer science from South Dakota State University. Ms. Gatzke is the daughter of Aelred J. Kurtenbach and the sister of Reece A. Kurtenbach and Matthew J. Kurtenbach.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awarded to, earned by, or paid to our Named Executive Offices, as well as the plans in which those officers are eligible to participate. At last year’s annual meeting, our shareholders provided an advisory “say-on-pay” vote indicating their overwhelming support of the Company’s compensation program for our Named Executive Officers. Our shareholders also previously voted that such say-on-pay votes be held 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and stock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financial performance for the fiscal year ended May 2, 2015 included strong sales and growth in orders. Orders and sales increased over last fiscal year due to our success in winning business, the continued adoption of digital technology in the marketplace, and the additional week in fiscal 2015, which accounts for approximately 2.0% of the growth. In fiscal 2015, we delivered a 5.5 percent return on assets and a 10.3 percent return on beginning shareholders' equity. In fiscal 2015 compared to fiscal 2014, sales were up 11.6 percent and operating income decreased by 14.4 percent. In fiscal 2015 operating income as a percent of sales decreased to 5.1 percentage as compared to 6.6 percent in fiscal 2014.</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executive compensation during the current fiscal year were mainly due to maintaining competitiveness as the economy improved and the financial results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responsibility for guiding our executive compensation philosophy and overseeing the design of executive compensation programs. In arriving at the appropriate levels of pay and incentive opportunities, the Committee reviews our compensation philosophy and trends in our peer group to ensure that our executive compensation program is competitive to effectively recruit and retain talented management, focuses our executives to achieve short and long-range corporate objectives, and aligns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that the Committee believes is appropriate for each executive's responsibility, capability and performance. The non-equity-based incentive compensation is designed to focus the executive team on the Company-wide goals and objectives, which focus on growth in revenue and reductions in cost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more directly align executives' interests with our shareholder interests.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is essential to retain high-performing executives. The average number of years of experience with Daktronics of our currently employed non-director Named Executive Officers is 22.5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2015, our Named Executive Officers were Reece A. Kurtenbach, President and Chief Executive Officer; Sheila M. Anderson, Chief Financial Officer and Treasurer; Bradley T. Wiemann, Executive Vice President; Matthew J. Kurtenbach, Vice President, Manufacturing; and Carla S. Gatzke, Vice President of Human Resources and Secretary.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Chief Executive Officer and Vice President of Human Resources present to the Compensation Committee their recommendation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approves and adopts the executives' compensation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(South Dakota, North Dakota, Minnesota, Iowa, and Nebraska)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of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Imation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ValueVision Media,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Techne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Hutchinson Technology,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Arctic Cat,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MTS Systems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Datalink Corp</w:t>
      </w:r>
    </w:p>
    <w:p>
      <w:pPr>
        <w:spacing w:after="0" w:line="200"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also considers compensation data from Salary.com and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date, we have not retained consulting firms to assist us in determining executive compensation. The Committee believes that the executive compensation is sufficiently conservative, as well as appropriately competitive, so as not to require an external consultant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2015,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equity-based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deferred compensation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benefits.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salary reflects each executive's responsibility, capability and performance. Base salary is determined based on the benchmarking data</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executive's responsibilities, the executive's experience in his or her area of responsibility, and the executive's performance and the impact of such performance on our business results.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noted that Mr. Reece Kurtenbach's base salary for fiscal 2014 was considerably lower than the benchmarking data for Chief Executive Officers ("CEO") and that Mr. Kurtenbach was fully performing the responsibilities of CEO. Therefore, the Committee approved an adjustment to Mr. Kurtenbach's base salary for fiscal 2015 to a level that is more competitive.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also determined that the base salaries for fiscal 2014 for the other Named Executive Officers were generally lower than competitive levels in the benchmarking data, and therefore it approved an increase in the base salaries for fiscal 2015 for the other Named Executive Officers. In addition, the Committee determined that Ms. Sheila Anderson's base salary for fiscal 2014 was somewhat lower than competitive levels due to her brief time in the responsibility of Chief Financial Officer ("CFO") and that she is fully performing the responsibilities of CFO. Therefore, the Committee approved an additional increase in base salary for Ms. Anderson for fiscal 2015.</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three months of base salary to 7.5 months of base salary for each executive officer. The maximum level of the variable cash compensation is 120 percent of the targeted level of variable cash compensation.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it believes it is the most appropriate indicator of performance that will drive long-term shareholder value, and it is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60.1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2015, the executive officers were eligible for non-equity-based incentive compensation if the maximum payout of 120 percent of target was achieved as follows: Chief Executive Officer - 75 percent of his base salary; and all other Named Executives Officers - 55 percent of their base salaries. For fiscal 2013, a payout of approximately 40 percent was made. For fiscal 2014, a payout of approximately 47 percent was made. For fiscal 2015, the operating margin resulted in a non-equity-based incentive compensation payout of approximately 26 percent of the target, or 22 percent of the maximum payouts.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have been the primary vehicles for offering long-term incentives to our executives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 interests of employees more closely with those of our shareholders.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comparison to the prior years’ expense and the current year’s estimate of a percentage of total payroll expense. The Compensation 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2015, subject to the guidelines and limitations imposed by the Compensation Committee.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among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fiscal 2014 allocation, the Committee determined that each Named Executive Officer would be allocated equity grants for approximately 10,000 shares of common stock, with a ratio of 2.5:1 of incentive stock options to restricted stock units. The Committee recommended that Reece A. Kurtenbach should receive more equity grants than the other Named Executive Officers due to his being named as Chief Executive Officer effective on September 1, 2013 and that Sheila A. Anderson should receive fewer equity grants due to it being her first year as Chief Financial Officer. The Board approved the Compensation Committee’s recommended allocation.</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fiscal 2014, Mr. Kurtenbach was granted incentive stock options to purchase 8,750 shares of our common stock and restricted stock units for 3,500 shares in the annual employee equity grant. The Compensation Committee also recommended and the Board approved a one</w:t>
      </w:r>
      <w:r>
        <w:rPr>
          <w:rFonts w:ascii="MS PGothic" w:cs="MS PGothic" w:eastAsia="MS PGothic" w:hAnsi="MS PGothic"/>
          <w:sz w:val="18"/>
          <w:szCs w:val="18"/>
          <w:color w:val="auto"/>
        </w:rPr>
        <w:t>‑</w:t>
      </w:r>
      <w:r>
        <w:rPr>
          <w:rFonts w:ascii="Arial" w:cs="Arial" w:eastAsia="Arial" w:hAnsi="Arial"/>
          <w:sz w:val="18"/>
          <w:szCs w:val="18"/>
          <w:color w:val="auto"/>
        </w:rPr>
        <w:t>time grant to Mr. Kurtenbach of incentive stock options to purchase 25,000 shares when he was appointed Chief Executive Officer as described in footnote 5 to the Summary Compensation Table.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fiscal 2015 allocation, the Committee recommended that each Named Executive Officer would again be allocated equity grants for approximately 10,000 shares of common stock, with a ratio of 2.5:1 of incentive stock options to restricted stock units. The Committee recommended that Mr. Reece A. Kurtenbach should receive a grant of twice the amount of other Named Executive Officers, to facilitate further Company stock ownership by the CEO and to reflect a ratio of grants to the CEO compared to grants to other Named Executive Officers that is more similar to the ratio in the benchmarking data. The Board approved the Compensation Committee's recommended allocation.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fiscal 2015, the Compensation Committee determined that it would continue to grant restricted stock units as well as incentive stock options in a manner substantially similar to fiscal 2014, and that the valuation of the equity grants, based on the grant date fair value as determined under ASC 718, would be limited to approximately $2.5 million for all employees, including the Named Executive Officers. The total number of shares of common stock subject to stock options and restricted stock units granted to all employees increased slightly in fiscal 2015 from the prior year. The value of the restricted stock units was equal to 87.4 percent of the value of the stock options for executives, as determined under the fair value provisions of ASC 718.</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2007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health coverage, or similar benefits for our executives or employees.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of 1986. At the discretion of the Board of Directors, we may make matching contributions equal to a percentage of the salary deduction contributions or other discretionary amounts. We paid $2.1 million in matching and discretionary contributions in fiscal 2015, $1.9 million in fiscal 2014 and $1.7 million in fiscal 2013. Contributions to the 401(k) Plan on behalf of the Named Executive Officers are described in the table entitled “Summary Compensation Table – Fiscal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of 1986.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Internal Revenue Code of 1986 generally disallows a tax deduction to a public company for compensation in excess of $1 million paid to the company's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sets forth information about compensation awarded to, earned by or paid to our principal executive officer and principal financial officer during the fiscal years ended May 2, 2015, April 26, 2014 and April 27, 2013 and to our next three most highly compensated executive officers whose total compensation was greater than $100,000 for the fiscal year ended May 2, 2015. The Company operates on a 52 or 53 week fiscal year, with our fiscal year ending on the Saturday closest to April 30 of each year. Fiscal 2015 is a 53-week year; therefore, the fiscal year ended May 2, 2015 contained results for 53 weeks while the fiscal years ended April 26, 2014 and April 27, 2013 contained results for 52 weeks.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3"/>
          </w:tcPr>
          <w:p>
            <w:pPr>
              <w:ind w:left="20"/>
              <w:spacing w:after="0"/>
              <w:rPr>
                <w:sz w:val="20"/>
                <w:szCs w:val="20"/>
                <w:color w:val="auto"/>
              </w:rPr>
            </w:pPr>
            <w:r>
              <w:rPr>
                <w:rFonts w:ascii="Arial" w:cs="Arial" w:eastAsia="Arial" w:hAnsi="Arial"/>
                <w:sz w:val="18"/>
                <w:szCs w:val="18"/>
                <w:b w:val="1"/>
                <w:bCs w:val="1"/>
                <w:color w:val="auto"/>
              </w:rPr>
              <w:t>SUMMARY COMPENSATION TABLE – FISCAL 2015</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Non-Equity</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Option</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Incentive Plan</w:t>
            </w:r>
          </w:p>
        </w:tc>
        <w:tc>
          <w:tcPr>
            <w:tcW w:w="260" w:type="dxa"/>
            <w:vAlign w:val="bottom"/>
          </w:tcPr>
          <w:p>
            <w:pPr>
              <w:spacing w:after="0"/>
              <w:rPr>
                <w:sz w:val="18"/>
                <w:szCs w:val="18"/>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8"/>
            <w:vMerge w:val="restart"/>
          </w:tcPr>
          <w:p>
            <w:pPr>
              <w:ind w:left="20"/>
              <w:spacing w:after="0"/>
              <w:rPr>
                <w:sz w:val="20"/>
                <w:szCs w:val="20"/>
                <w:color w:val="auto"/>
              </w:rPr>
            </w:pPr>
            <w:r>
              <w:rPr>
                <w:rFonts w:ascii="Arial" w:cs="Arial" w:eastAsia="Arial" w:hAnsi="Arial"/>
                <w:sz w:val="18"/>
                <w:szCs w:val="18"/>
                <w:color w:val="auto"/>
              </w:rPr>
              <w:t>Awards($)  Awards($)   Compensation($)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00" w:type="dxa"/>
            <w:vAlign w:val="bottom"/>
            <w:vMerge w:val="restart"/>
          </w:tcPr>
          <w:p>
            <w:pPr>
              <w:ind w:left="220"/>
              <w:spacing w:after="0"/>
              <w:rPr>
                <w:sz w:val="20"/>
                <w:szCs w:val="20"/>
                <w:color w:val="auto"/>
              </w:rPr>
            </w:pPr>
            <w:r>
              <w:rPr>
                <w:rFonts w:ascii="Arial" w:cs="Arial" w:eastAsia="Arial" w:hAnsi="Arial"/>
                <w:sz w:val="18"/>
                <w:szCs w:val="18"/>
                <w:color w:val="auto"/>
                <w:w w:val="99"/>
              </w:rPr>
              <w:t>Name and Principal Position</w:t>
            </w:r>
          </w:p>
        </w:tc>
        <w:tc>
          <w:tcPr>
            <w:tcW w:w="12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Year</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color w:val="auto"/>
                <w:w w:val="95"/>
              </w:rPr>
              <w:t>Salary($)</w:t>
            </w:r>
          </w:p>
        </w:tc>
        <w:tc>
          <w:tcPr>
            <w:tcW w:w="120" w:type="dxa"/>
            <w:vAlign w:val="bottom"/>
            <w:vMerge w:val="restart"/>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Bonus ($)</w:t>
            </w:r>
          </w:p>
        </w:tc>
        <w:tc>
          <w:tcPr>
            <w:tcW w:w="120" w:type="dxa"/>
            <w:vAlign w:val="bottom"/>
            <w:vMerge w:val="restart"/>
          </w:tcPr>
          <w:p>
            <w:pPr>
              <w:spacing w:after="0"/>
              <w:rPr>
                <w:sz w:val="5"/>
                <w:szCs w:val="5"/>
                <w:color w:val="auto"/>
              </w:rPr>
            </w:pPr>
          </w:p>
        </w:tc>
        <w:tc>
          <w:tcPr>
            <w:tcW w:w="3380" w:type="dxa"/>
            <w:vAlign w:val="bottom"/>
            <w:gridSpan w:val="8"/>
            <w:vMerge w:val="continue"/>
          </w:tcPr>
          <w:p>
            <w:pPr>
              <w:spacing w:after="0"/>
              <w:rPr>
                <w:sz w:val="5"/>
                <w:szCs w:val="5"/>
                <w:color w:val="auto"/>
              </w:rPr>
            </w:pPr>
          </w:p>
        </w:tc>
        <w:tc>
          <w:tcPr>
            <w:tcW w:w="1460" w:type="dxa"/>
            <w:vAlign w:val="bottom"/>
            <w:gridSpan w:val="2"/>
            <w:vMerge w:val="restart"/>
          </w:tcPr>
          <w:p>
            <w:pPr>
              <w:ind w:left="40"/>
              <w:spacing w:after="0" w:line="257" w:lineRule="exact"/>
              <w:rPr>
                <w:sz w:val="20"/>
                <w:szCs w:val="20"/>
                <w:color w:val="auto"/>
              </w:rPr>
            </w:pPr>
            <w:r>
              <w:rPr>
                <w:rFonts w:ascii="Arial" w:cs="Arial" w:eastAsia="Arial" w:hAnsi="Arial"/>
                <w:sz w:val="18"/>
                <w:szCs w:val="18"/>
                <w:color w:val="auto"/>
                <w:w w:val="88"/>
              </w:rPr>
              <w:t>Compensation($)</w:t>
            </w:r>
            <w:r>
              <w:rPr>
                <w:rFonts w:ascii="Arial" w:cs="Arial" w:eastAsia="Arial" w:hAnsi="Arial"/>
                <w:sz w:val="25"/>
                <w:szCs w:val="25"/>
                <w:color w:val="auto"/>
                <w:w w:val="88"/>
                <w:vertAlign w:val="superscript"/>
              </w:rPr>
              <w:t>(4)</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Reece A. Kurtenbach</w:t>
            </w:r>
            <w:r>
              <w:rPr>
                <w:rFonts w:ascii="Arial" w:cs="Arial" w:eastAsia="Arial" w:hAnsi="Arial"/>
                <w:sz w:val="25"/>
                <w:szCs w:val="25"/>
                <w:b w:val="1"/>
                <w:bCs w:val="1"/>
                <w:color w:val="auto"/>
                <w:vertAlign w:val="superscript"/>
              </w:rPr>
              <w:t>(5)</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$ 72,780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83,250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539,977</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247,123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34,580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165,900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535,250</w:t>
            </w:r>
          </w:p>
        </w:tc>
        <w:tc>
          <w:tcPr>
            <w:tcW w:w="0" w:type="dxa"/>
            <w:vAlign w:val="bottom"/>
          </w:tcPr>
          <w:p>
            <w:pPr>
              <w:spacing w:after="0"/>
              <w:rPr>
                <w:sz w:val="1"/>
                <w:szCs w:val="1"/>
                <w:color w:val="auto"/>
              </w:rPr>
            </w:pPr>
          </w:p>
        </w:tc>
      </w:tr>
      <w:tr>
        <w:trPr>
          <w:trHeight w:val="277"/>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195,854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291,301</w:t>
            </w:r>
          </w:p>
        </w:tc>
        <w:tc>
          <w:tcPr>
            <w:tcW w:w="0" w:type="dxa"/>
            <w:vAlign w:val="bottom"/>
          </w:tcPr>
          <w:p>
            <w:pPr>
              <w:spacing w:after="0"/>
              <w:rPr>
                <w:sz w:val="1"/>
                <w:szCs w:val="1"/>
                <w:color w:val="auto"/>
              </w:rPr>
            </w:pPr>
          </w:p>
        </w:tc>
      </w:tr>
      <w:tr>
        <w:trPr>
          <w:trHeight w:val="283"/>
        </w:trPr>
        <w:tc>
          <w:tcPr>
            <w:tcW w:w="250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Sheila M. Anderson</w:t>
            </w:r>
            <w:r>
              <w:rPr>
                <w:rFonts w:ascii="Arial" w:cs="Arial" w:eastAsia="Arial" w:hAnsi="Arial"/>
                <w:sz w:val="25"/>
                <w:szCs w:val="25"/>
                <w:b w:val="1"/>
                <w:bCs w:val="1"/>
                <w:color w:val="auto"/>
                <w:vertAlign w:val="superscript"/>
              </w:rPr>
              <w:t>(6)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208,977</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4"/>
              </w:rPr>
              <w:t>$ 36,390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41,625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26,620</w:t>
            </w:r>
          </w:p>
        </w:tc>
        <w:tc>
          <w:tcPr>
            <w:tcW w:w="1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6,986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320,598</w:t>
            </w:r>
          </w:p>
        </w:tc>
        <w:tc>
          <w:tcPr>
            <w:tcW w:w="0" w:type="dxa"/>
            <w:vAlign w:val="bottom"/>
          </w:tcPr>
          <w:p>
            <w:pPr>
              <w:spacing w:after="0"/>
              <w:rPr>
                <w:sz w:val="1"/>
                <w:szCs w:val="1"/>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34,075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41,321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281,318</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40,000</w:t>
            </w:r>
          </w:p>
        </w:tc>
        <w:tc>
          <w:tcPr>
            <w:tcW w:w="12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236,161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Bradley T. Wiemann</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$ 36,390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343,409</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29,640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323,920</w:t>
            </w:r>
          </w:p>
        </w:tc>
        <w:tc>
          <w:tcPr>
            <w:tcW w:w="0" w:type="dxa"/>
            <w:vAlign w:val="bottom"/>
          </w:tcPr>
          <w:p>
            <w:pPr>
              <w:spacing w:after="0"/>
              <w:rPr>
                <w:sz w:val="1"/>
                <w:szCs w:val="1"/>
                <w:color w:val="auto"/>
              </w:rPr>
            </w:pPr>
          </w:p>
        </w:tc>
      </w:tr>
      <w:tr>
        <w:trPr>
          <w:trHeight w:val="277"/>
        </w:trPr>
        <w:tc>
          <w:tcPr>
            <w:tcW w:w="2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188,774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283,831</w:t>
            </w:r>
          </w:p>
        </w:tc>
        <w:tc>
          <w:tcPr>
            <w:tcW w:w="0" w:type="dxa"/>
            <w:vAlign w:val="bottom"/>
          </w:tcPr>
          <w:p>
            <w:pPr>
              <w:spacing w:after="0"/>
              <w:rPr>
                <w:sz w:val="1"/>
                <w:szCs w:val="1"/>
                <w:color w:val="auto"/>
              </w:rPr>
            </w:pPr>
          </w:p>
        </w:tc>
      </w:tr>
      <w:tr>
        <w:trPr>
          <w:trHeight w:val="283"/>
        </w:trPr>
        <w:tc>
          <w:tcPr>
            <w:tcW w:w="250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Matthew J. Kurtenbach</w:t>
            </w:r>
            <w:r>
              <w:rPr>
                <w:rFonts w:ascii="Arial" w:cs="Arial" w:eastAsia="Arial" w:hAnsi="Arial"/>
                <w:sz w:val="25"/>
                <w:szCs w:val="25"/>
                <w:b w:val="1"/>
                <w:bCs w:val="1"/>
                <w:color w:val="auto"/>
                <w:vertAlign w:val="superscript"/>
              </w:rPr>
              <w:t>(7)</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219,272</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4"/>
              </w:rPr>
              <w:t>$ 36,390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41,625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26,378</w:t>
            </w:r>
          </w:p>
        </w:tc>
        <w:tc>
          <w:tcPr>
            <w:tcW w:w="1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330,581</w:t>
            </w:r>
          </w:p>
        </w:tc>
        <w:tc>
          <w:tcPr>
            <w:tcW w:w="0" w:type="dxa"/>
            <w:vAlign w:val="bottom"/>
          </w:tcPr>
          <w:p>
            <w:pPr>
              <w:spacing w:after="0"/>
              <w:rPr>
                <w:sz w:val="1"/>
                <w:szCs w:val="1"/>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185,762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29,640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37,200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43,798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302,923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Carla S. Gatzke</w:t>
            </w:r>
            <w:r>
              <w:rPr>
                <w:rFonts w:ascii="Arial" w:cs="Arial" w:eastAsia="Arial" w:hAnsi="Arial"/>
                <w:sz w:val="25"/>
                <w:szCs w:val="25"/>
                <w:b w:val="1"/>
                <w:bCs w:val="1"/>
                <w:color w:val="auto"/>
                <w:vertAlign w:val="superscript"/>
              </w:rPr>
              <w:t>(8)</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186,854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$ 33,358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285,553</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and</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Secretary</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restricted stock units granted under the 2007 Plan. In accordance with ASC 718, the amount is calculated based on the grant date fair value of the award. Refer to “Item 7. Management’s Discussion and Analysis of Financial Condition and Results of Operations — Critical Accounting Policies and Estimates ” in our Annual Report on Form 10-K for the fiscal year ended May 2, 2015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stock options granted under the 2007 Plan. The value of the option awards is calculated based on the grant date fair value of the award in accordance with ASC 718. Refer to “Item 7. Management’s Discussion and Analysis of Financial Condition and Results of Operations — Critical Accounting Policies and Estimates ” in our Annual Report on Form 10-K for the fiscal year ended May 2, 2015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2013, fiscal 2014 and fiscal 2015.</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Internal Revenue Code of 1986.</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Reece A. Kurtenbach was named Chief Executive Officer and President on September 1, 2013. Mr. Kurtenbach's salary was increased to $275,000 effective September 1, 2013, and he was awarded additional stock compensation for the increase in responsibilities.</w:t>
      </w: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Sheila M. Anderson was named Chief Financial Officer and Treasurer in September 2012. Ms. Anderson's salary was increased to $162,000 effective September 12, 2012. The amount of bonus earned by Ms. Anderson for fiscal 2013 consists of a bonus of $10,000 earned during the period she served as the Corporate Controller and a one-time bonus of $30,000 paid to her after the completion of her first year as Chief Financial Officer in September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Matthew J. Kurtenbach became a Named Executive Officer during fiscal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Carla S. Gatzke became a Named Executive Officer during fiscal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12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400" w:type="dxa"/>
            <w:vAlign w:val="bottom"/>
            <w:gridSpan w:val="17"/>
          </w:tcPr>
          <w:p>
            <w:pPr>
              <w:spacing w:after="0"/>
              <w:rPr>
                <w:sz w:val="20"/>
                <w:szCs w:val="20"/>
                <w:color w:val="auto"/>
              </w:rPr>
            </w:pPr>
            <w:r>
              <w:rPr>
                <w:rFonts w:ascii="Arial" w:cs="Arial" w:eastAsia="Arial" w:hAnsi="Arial"/>
                <w:sz w:val="18"/>
                <w:szCs w:val="18"/>
                <w:color w:val="auto"/>
                <w:w w:val="98"/>
              </w:rPr>
              <w:t>The following table sets forth information regarding grants of plan-based awards to the Named Executive Officers during fiscal 2015: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ind w:left="180"/>
              <w:spacing w:after="0"/>
              <w:rPr>
                <w:sz w:val="20"/>
                <w:szCs w:val="20"/>
                <w:color w:val="auto"/>
              </w:rPr>
            </w:pPr>
            <w:r>
              <w:rPr>
                <w:rFonts w:ascii="Arial" w:cs="Arial" w:eastAsia="Arial" w:hAnsi="Arial"/>
                <w:sz w:val="18"/>
                <w:szCs w:val="18"/>
                <w:b w:val="1"/>
                <w:bCs w:val="1"/>
                <w:color w:val="auto"/>
                <w:w w:val="97"/>
              </w:rPr>
              <w:t>GRANTS OF PLAN-BASED AWARDS — FISCAL 2015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5"/>
            <w:vMerge w:val="restart"/>
          </w:tcPr>
          <w:p>
            <w:pPr>
              <w:jc w:val="right"/>
              <w:ind w:right="30"/>
              <w:spacing w:after="0"/>
              <w:rPr>
                <w:sz w:val="20"/>
                <w:szCs w:val="20"/>
                <w:color w:val="auto"/>
              </w:rPr>
            </w:pPr>
            <w:r>
              <w:rPr>
                <w:rFonts w:ascii="Arial" w:cs="Arial" w:eastAsia="Arial" w:hAnsi="Arial"/>
                <w:sz w:val="18"/>
                <w:szCs w:val="18"/>
                <w:color w:val="auto"/>
                <w:w w:val="94"/>
              </w:rPr>
              <w:t>Estimated future payouts under non-equity</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All 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stock</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60" w:type="dxa"/>
            <w:vAlign w:val="bottom"/>
            <w:gridSpan w:val="5"/>
            <w:vMerge w:val="restart"/>
          </w:tcPr>
          <w:p>
            <w:pPr>
              <w:jc w:val="right"/>
              <w:ind w:right="710"/>
              <w:spacing w:after="0" w:line="257" w:lineRule="exact"/>
              <w:rPr>
                <w:sz w:val="20"/>
                <w:szCs w:val="20"/>
                <w:color w:val="auto"/>
              </w:rPr>
            </w:pPr>
            <w:r>
              <w:rPr>
                <w:rFonts w:ascii="Arial" w:cs="Arial" w:eastAsia="Arial" w:hAnsi="Arial"/>
                <w:sz w:val="18"/>
                <w:szCs w:val="18"/>
                <w:color w:val="auto"/>
              </w:rPr>
              <w:t>incentive plan awards</w:t>
            </w:r>
            <w:r>
              <w:rPr>
                <w:rFonts w:ascii="Arial" w:cs="Arial" w:eastAsia="Arial" w:hAnsi="Arial"/>
                <w:sz w:val="25"/>
                <w:szCs w:val="25"/>
                <w:color w:val="auto"/>
                <w:vertAlign w:val="superscript"/>
              </w:rPr>
              <w:t>(1)</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awards: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All other option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Exercise or</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 number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base price of</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shares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securities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 or</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underlying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awards(per</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Grant Date</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Threshold($)</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Target($)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Maximum($)</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 xml:space="preserve">options (#) </w:t>
            </w:r>
            <w:r>
              <w:rPr>
                <w:rFonts w:ascii="Arial" w:cs="Arial" w:eastAsia="Arial" w:hAnsi="Arial"/>
                <w:sz w:val="25"/>
                <w:szCs w:val="25"/>
                <w:color w:val="auto"/>
                <w:w w:val="88"/>
                <w:vertAlign w:val="superscript"/>
              </w:rPr>
              <w:t>(3)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1"/>
              </w:rPr>
              <w:t>share)</w:t>
            </w:r>
            <w:r>
              <w:rPr>
                <w:rFonts w:ascii="Arial" w:cs="Arial" w:eastAsia="Arial" w:hAnsi="Arial"/>
                <w:sz w:val="25"/>
                <w:szCs w:val="25"/>
                <w:color w:val="auto"/>
                <w:w w:val="81"/>
                <w:vertAlign w:val="superscript"/>
              </w:rPr>
              <w:t>(4)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 xml:space="preserve">awards($) </w:t>
            </w:r>
            <w:r>
              <w:rPr>
                <w:rFonts w:ascii="Arial" w:cs="Arial" w:eastAsia="Arial" w:hAnsi="Arial"/>
                <w:sz w:val="25"/>
                <w:szCs w:val="25"/>
                <w:color w:val="auto"/>
                <w:w w:val="85"/>
                <w:vertAlign w:val="superscript"/>
              </w:rPr>
              <w:t>(5)</w:t>
            </w: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09/04/2014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262,500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156,030</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09/04/2014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25,208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100,833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121,000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78,015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09/04/2014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127,600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78,015</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Matthew J. Kurtenbach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09/04/2014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24,979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99,917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119,900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78,015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09/04/2014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103,950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71,487</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2015 under the 2007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2015 under the 2007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w:t>
      </w: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$13.31 per share on September 4, 2014.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unexercised options and restricted stock units that have not vested that were held at May 2, 2015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11/16/2015</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11/15/2016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8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120,948</w:t>
            </w:r>
          </w:p>
        </w:tc>
      </w:tr>
      <w:tr>
        <w:trPr>
          <w:trHeight w:val="20"/>
        </w:trPr>
        <w:tc>
          <w:tcPr>
            <w:tcW w:w="1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08"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1,956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489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1,600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1,600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2,400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3,600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1,374</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5,496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73,294</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7,851</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84,398</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5,724</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1,431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6,300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4,200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6,300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7,815</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84,011</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11/17/2005</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11/16/2015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78,411</w:t>
            </w: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All options vest in equal installments over five years and expire after 10 years.</w:t>
      </w:r>
    </w:p>
    <w:p>
      <w:pPr>
        <w:sectPr>
          <w:pgSz w:w="11900" w:h="16838" w:orient="portrait"/>
          <w:cols w:equalWidth="0" w:num="1">
            <w:col w:w="11400"/>
          </w:cols>
          <w:pgMar w:left="240" w:top="108" w:right="259" w:bottom="78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08" w:right="259" w:bottom="784"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Determined by multiplying the Company's $10.75 per share closing stock price on May 1, 2015, which was the last business day of fiscal year 2015, by the number of shares subject to the award.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of the restricted stock units and the number of shares subject to the restricted stock units are as follows:</w:t>
      </w:r>
    </w:p>
    <w:p>
      <w:pPr>
        <w:spacing w:after="0" w:line="355" w:lineRule="exact"/>
        <w:rPr>
          <w:sz w:val="20"/>
          <w:szCs w:val="20"/>
          <w:color w:val="auto"/>
        </w:rPr>
      </w:pPr>
    </w:p>
    <w:tbl>
      <w:tblPr>
        <w:tblLayout w:type="fixed"/>
        <w:tblInd w:w="670" w:type="dxa"/>
        <w:tblCellMar>
          <w:top w:w="0" w:type="dxa"/>
          <w:left w:w="0" w:type="dxa"/>
          <w:bottom w:w="0" w:type="dxa"/>
          <w:right w:w="0" w:type="dxa"/>
        </w:tblCellMar>
      </w:tblPr>
      <w:tr>
        <w:trPr>
          <w:trHeight w:val="242"/>
        </w:trPr>
        <w:tc>
          <w:tcPr>
            <w:tcW w:w="2000" w:type="dxa"/>
            <w:vAlign w:val="bottom"/>
            <w:tcBorders>
              <w:top w:val="single" w:sz="8" w:color="auto"/>
              <w:lef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9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0" w:type="dxa"/>
            <w:vAlign w:val="bottom"/>
            <w:tcBorders>
              <w:top w:val="single" w:sz="8" w:color="auto"/>
            </w:tcBorders>
            <w:shd w:val="clear" w:color="auto" w:fill="000000"/>
          </w:tcPr>
          <w:p>
            <w:pPr>
              <w:spacing w:after="0"/>
              <w:rPr>
                <w:sz w:val="21"/>
                <w:szCs w:val="21"/>
                <w:color w:val="auto"/>
              </w:rPr>
            </w:pPr>
          </w:p>
        </w:tc>
      </w:tr>
      <w:tr>
        <w:trPr>
          <w:trHeight w:val="230"/>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1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Granted</w:t>
            </w:r>
          </w:p>
        </w:tc>
        <w:tc>
          <w:tcPr>
            <w:tcW w:w="1980" w:type="dxa"/>
            <w:vAlign w:val="bottom"/>
          </w:tcPr>
          <w:p>
            <w:pPr>
              <w:ind w:left="20"/>
              <w:spacing w:after="0"/>
              <w:rPr>
                <w:sz w:val="20"/>
                <w:szCs w:val="20"/>
                <w:color w:val="auto"/>
              </w:rPr>
            </w:pPr>
            <w:r>
              <w:rPr>
                <w:rFonts w:ascii="Arial" w:cs="Arial" w:eastAsia="Arial" w:hAnsi="Arial"/>
                <w:sz w:val="18"/>
                <w:szCs w:val="18"/>
                <w:color w:val="auto"/>
              </w:rPr>
              <w:t>Officer</w:t>
            </w:r>
          </w:p>
        </w:tc>
        <w:tc>
          <w:tcPr>
            <w:tcW w:w="1080" w:type="dxa"/>
            <w:vAlign w:val="bottom"/>
          </w:tcPr>
          <w:p>
            <w:pPr>
              <w:ind w:left="140"/>
              <w:spacing w:after="0"/>
              <w:rPr>
                <w:sz w:val="20"/>
                <w:szCs w:val="20"/>
                <w:color w:val="auto"/>
              </w:rPr>
            </w:pPr>
            <w:r>
              <w:rPr>
                <w:rFonts w:ascii="Arial" w:cs="Arial" w:eastAsia="Arial" w:hAnsi="Arial"/>
                <w:sz w:val="18"/>
                <w:szCs w:val="18"/>
                <w:color w:val="auto"/>
              </w:rPr>
              <w:t>Grant Date</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20" w:type="dxa"/>
            <w:vAlign w:val="bottom"/>
            <w:shd w:val="clear" w:color="auto" w:fill="000000"/>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1,575</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2,160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2,160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302"/>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6,000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37"/>
        </w:trPr>
        <w:tc>
          <w:tcPr>
            <w:tcW w:w="2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Sheila M. Anderson</w:t>
            </w: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700</w:t>
            </w: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J. Kurtenbach</w:t>
            </w:r>
          </w:p>
        </w:tc>
        <w:tc>
          <w:tcPr>
            <w:tcW w:w="1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tcBorders>
              <w:top w:val="single" w:sz="8" w:color="auto"/>
            </w:tcBorders>
            <w:shd w:val="clear" w:color="auto" w:fill="000000"/>
          </w:tcPr>
          <w:p>
            <w:pPr>
              <w:spacing w:after="0"/>
              <w:rPr>
                <w:sz w:val="20"/>
                <w:szCs w:val="20"/>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490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09/12/2012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1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1,900</w:t>
            </w:r>
          </w:p>
        </w:tc>
        <w:tc>
          <w:tcPr>
            <w:tcW w:w="1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1,420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7"/>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awards during fiscal 2015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60" w:type="dxa"/>
            <w:vAlign w:val="bottom"/>
            <w:gridSpan w:val="8"/>
          </w:tcPr>
          <w:p>
            <w:pPr>
              <w:ind w:left="600"/>
              <w:spacing w:after="0"/>
              <w:rPr>
                <w:sz w:val="20"/>
                <w:szCs w:val="20"/>
                <w:color w:val="auto"/>
              </w:rPr>
            </w:pPr>
            <w:r>
              <w:rPr>
                <w:rFonts w:ascii="Arial" w:cs="Arial" w:eastAsia="Arial" w:hAnsi="Arial"/>
                <w:sz w:val="18"/>
                <w:szCs w:val="18"/>
                <w:b w:val="1"/>
                <w:bCs w:val="1"/>
                <w:color w:val="auto"/>
              </w:rPr>
              <w:t>OPTION EXERCISES AND STOCK VESTED – FISCAL 2015</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4"/>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3"/>
          </w:tcPr>
          <w:p>
            <w:pPr>
              <w:jc w:val="right"/>
              <w:ind w:right="121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Shares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Acquired on Exercise</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29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6,000</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3,852</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2,175</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25,857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May 2, 2015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56"/>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30"/>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2,235,096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26,523</w:t>
            </w:r>
          </w:p>
        </w:tc>
      </w:tr>
      <w:tr>
        <w:trPr>
          <w:trHeight w:val="270"/>
        </w:trPr>
        <w:tc>
          <w:tcPr>
            <w:tcW w:w="416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3"/>
                <w:szCs w:val="23"/>
                <w:color w:val="auto"/>
              </w:rPr>
            </w:pPr>
          </w:p>
        </w:tc>
        <w:tc>
          <w:tcPr>
            <w:tcW w:w="180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741,598</w:t>
            </w: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not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2,235,096</w:t>
            </w:r>
          </w:p>
        </w:tc>
        <w:tc>
          <w:tcPr>
            <w:tcW w:w="2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21"/>
                <w:szCs w:val="21"/>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49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9415" cy="1714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-130175</wp:posOffset>
            </wp:positionV>
            <wp:extent cx="4107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May 2, 2015, include estimated amounts earned through such date, and are estimates of the amounts which would be paid out to the executives upon their termination. The actual amounts to be paid can be determined only at the time of such executive’s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2001 Incentive Stock Option Plan and the 2007 Plan, all options and restricted stock units immediately vest upon a change in control, as that term is defined in the 2001 Incentive Stock Option Plan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900" w:type="dxa"/>
            <w:vAlign w:val="bottom"/>
          </w:tcPr>
          <w:p>
            <w:pPr>
              <w:ind w:left="1400"/>
              <w:spacing w:after="0"/>
              <w:rPr>
                <w:sz w:val="20"/>
                <w:szCs w:val="20"/>
                <w:color w:val="auto"/>
              </w:rPr>
            </w:pPr>
            <w:r>
              <w:rPr>
                <w:rFonts w:ascii="Arial" w:cs="Arial" w:eastAsia="Arial" w:hAnsi="Arial"/>
                <w:sz w:val="18"/>
                <w:szCs w:val="18"/>
                <w:color w:val="auto"/>
              </w:rPr>
              <w:t>Benefit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2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38,702</w:t>
            </w:r>
          </w:p>
        </w:tc>
      </w:tr>
      <w:tr>
        <w:trPr>
          <w:trHeight w:val="244"/>
        </w:trPr>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38,702</w:t>
            </w:r>
          </w:p>
        </w:tc>
      </w:tr>
      <w:tr>
        <w:trPr>
          <w:trHeight w:val="566"/>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73,294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7,272</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90,242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7,272</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19,073</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19,073</w:t>
            </w:r>
          </w:p>
        </w:tc>
      </w:tr>
      <w:tr>
        <w:trPr>
          <w:trHeight w:val="566"/>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Matthew J. Kurtenbach</w:t>
            </w:r>
          </w:p>
        </w:tc>
        <w:tc>
          <w:tcPr>
            <w:tcW w:w="12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14,154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24,630</w:t>
            </w:r>
          </w:p>
        </w:tc>
      </w:tr>
      <w:tr>
        <w:trPr>
          <w:trHeight w:val="27"/>
        </w:trPr>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122,795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24,630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24,630</w:t>
            </w:r>
          </w:p>
        </w:tc>
      </w:tr>
      <w:tr>
        <w:trPr>
          <w:trHeight w:val="311"/>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21,808</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21,808</w:t>
            </w:r>
          </w:p>
        </w:tc>
      </w:tr>
      <w:tr>
        <w:trPr>
          <w:trHeight w:val="20"/>
        </w:trPr>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$10.75 per share closing price of the common stock as reported on The NASDAQ Global Select Market as of May 1, 2015, which was the last business day of fiscal 2015, and the exercise price of the option multiplied by the number of shares subject to the option.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with respect to the overall scope and plans for the respective audits.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The charter was last amended effective February 23, 2012.</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composed of three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2015,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Committee Member since</w:t>
            </w:r>
          </w:p>
        </w:tc>
        <w:tc>
          <w:tcPr>
            <w:tcW w:w="3780" w:type="dxa"/>
            <w:vAlign w:val="bottom"/>
          </w:tcPr>
          <w:p>
            <w:pPr>
              <w:ind w:left="600"/>
              <w:spacing w:after="0"/>
              <w:rPr>
                <w:sz w:val="20"/>
                <w:szCs w:val="20"/>
                <w:color w:val="auto"/>
              </w:rPr>
            </w:pPr>
            <w:r>
              <w:rPr>
                <w:rFonts w:ascii="Arial" w:cs="Arial" w:eastAsia="Arial" w:hAnsi="Arial"/>
                <w:sz w:val="18"/>
                <w:szCs w:val="18"/>
                <w:b w:val="1"/>
                <w:bCs w:val="1"/>
                <w:color w:val="auto"/>
                <w:w w:val="92"/>
              </w:rPr>
              <w:t>Attendance at full meetings during 2015</w:t>
            </w:r>
          </w:p>
        </w:tc>
      </w:tr>
      <w:tr>
        <w:trPr>
          <w:trHeight w:val="27"/>
        </w:trPr>
        <w:tc>
          <w:tcPr>
            <w:tcW w:w="23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3420" w:type="dxa"/>
            <w:vAlign w:val="bottom"/>
          </w:tcPr>
          <w:p>
            <w:pPr>
              <w:ind w:left="840"/>
              <w:spacing w:after="0"/>
              <w:rPr>
                <w:sz w:val="20"/>
                <w:szCs w:val="20"/>
                <w:color w:val="auto"/>
              </w:rPr>
            </w:pPr>
            <w:r>
              <w:rPr>
                <w:rFonts w:ascii="Arial" w:cs="Arial" w:eastAsia="Arial" w:hAnsi="Arial"/>
                <w:sz w:val="18"/>
                <w:szCs w:val="18"/>
                <w:color w:val="auto"/>
              </w:rPr>
              <w:t>1993</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James A Vellenga</w:t>
            </w:r>
          </w:p>
        </w:tc>
        <w:tc>
          <w:tcPr>
            <w:tcW w:w="3420" w:type="dxa"/>
            <w:vAlign w:val="bottom"/>
          </w:tcPr>
          <w:p>
            <w:pPr>
              <w:ind w:left="840"/>
              <w:spacing w:after="0"/>
              <w:rPr>
                <w:sz w:val="20"/>
                <w:szCs w:val="20"/>
                <w:color w:val="auto"/>
              </w:rPr>
            </w:pPr>
            <w:r>
              <w:rPr>
                <w:rFonts w:ascii="Arial" w:cs="Arial" w:eastAsia="Arial" w:hAnsi="Arial"/>
                <w:sz w:val="18"/>
                <w:szCs w:val="18"/>
                <w:color w:val="auto"/>
              </w:rPr>
              <w:t>1999</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310"/>
        </w:trPr>
        <w:tc>
          <w:tcPr>
            <w:tcW w:w="2360" w:type="dxa"/>
            <w:vAlign w:val="bottom"/>
          </w:tcPr>
          <w:p>
            <w:pPr>
              <w:ind w:left="40"/>
              <w:spacing w:after="0"/>
              <w:rPr>
                <w:sz w:val="20"/>
                <w:szCs w:val="20"/>
                <w:color w:val="auto"/>
              </w:rPr>
            </w:pPr>
            <w:r>
              <w:rPr>
                <w:rFonts w:ascii="Arial" w:cs="Arial" w:eastAsia="Arial" w:hAnsi="Arial"/>
                <w:sz w:val="18"/>
                <w:szCs w:val="18"/>
                <w:color w:val="auto"/>
              </w:rPr>
              <w:t>Bruce W. Tobin</w:t>
            </w:r>
            <w:r>
              <w:rPr>
                <w:rFonts w:ascii="Arial" w:cs="Arial" w:eastAsia="Arial" w:hAnsi="Arial"/>
                <w:sz w:val="25"/>
                <w:szCs w:val="25"/>
                <w:color w:val="auto"/>
                <w:vertAlign w:val="superscript"/>
              </w:rPr>
              <w:t>(1)</w:t>
            </w:r>
          </w:p>
        </w:tc>
        <w:tc>
          <w:tcPr>
            <w:tcW w:w="3420" w:type="dxa"/>
            <w:vAlign w:val="bottom"/>
          </w:tcPr>
          <w:p>
            <w:pPr>
              <w:ind w:left="840"/>
              <w:spacing w:after="0"/>
              <w:rPr>
                <w:sz w:val="20"/>
                <w:szCs w:val="20"/>
                <w:color w:val="auto"/>
              </w:rPr>
            </w:pPr>
            <w:r>
              <w:rPr>
                <w:rFonts w:ascii="Arial" w:cs="Arial" w:eastAsia="Arial" w:hAnsi="Arial"/>
                <w:sz w:val="18"/>
                <w:szCs w:val="18"/>
                <w:color w:val="auto"/>
              </w:rPr>
              <w:t>2011</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59"/>
        </w:trPr>
        <w:tc>
          <w:tcPr>
            <w:tcW w:w="2360" w:type="dxa"/>
            <w:vAlign w:val="bottom"/>
          </w:tcPr>
          <w:p>
            <w:pPr>
              <w:ind w:left="40"/>
              <w:spacing w:after="0" w:line="259" w:lineRule="exact"/>
              <w:rPr>
                <w:sz w:val="20"/>
                <w:szCs w:val="20"/>
                <w:color w:val="auto"/>
              </w:rPr>
            </w:pPr>
            <w:r>
              <w:rPr>
                <w:rFonts w:ascii="Arial" w:cs="Arial" w:eastAsia="Arial" w:hAnsi="Arial"/>
                <w:sz w:val="18"/>
                <w:szCs w:val="18"/>
                <w:color w:val="auto"/>
              </w:rPr>
              <w:t>Bryon J. Anderson</w:t>
            </w:r>
            <w:r>
              <w:rPr>
                <w:rFonts w:ascii="Arial" w:cs="Arial" w:eastAsia="Arial" w:hAnsi="Arial"/>
                <w:sz w:val="25"/>
                <w:szCs w:val="25"/>
                <w:color w:val="auto"/>
                <w:vertAlign w:val="superscript"/>
              </w:rPr>
              <w:t>(2)</w:t>
            </w:r>
          </w:p>
        </w:tc>
        <w:tc>
          <w:tcPr>
            <w:tcW w:w="3420" w:type="dxa"/>
            <w:vAlign w:val="bottom"/>
          </w:tcPr>
          <w:p>
            <w:pPr>
              <w:ind w:left="840"/>
              <w:spacing w:after="0"/>
              <w:rPr>
                <w:sz w:val="20"/>
                <w:szCs w:val="20"/>
                <w:color w:val="auto"/>
              </w:rPr>
            </w:pPr>
            <w:r>
              <w:rPr>
                <w:rFonts w:ascii="Arial" w:cs="Arial" w:eastAsia="Arial" w:hAnsi="Arial"/>
                <w:sz w:val="18"/>
                <w:szCs w:val="18"/>
                <w:color w:val="auto"/>
              </w:rPr>
              <w:t>2015</w:t>
            </w:r>
          </w:p>
        </w:tc>
        <w:tc>
          <w:tcPr>
            <w:tcW w:w="3780" w:type="dxa"/>
            <w:vAlign w:val="bottom"/>
          </w:tcPr>
          <w:p>
            <w:pPr>
              <w:ind w:left="600"/>
              <w:spacing w:after="0"/>
              <w:rPr>
                <w:sz w:val="20"/>
                <w:szCs w:val="20"/>
                <w:color w:val="auto"/>
              </w:rPr>
            </w:pPr>
            <w:r>
              <w:rPr>
                <w:rFonts w:ascii="Arial" w:cs="Arial" w:eastAsia="Arial" w:hAnsi="Arial"/>
                <w:sz w:val="18"/>
                <w:szCs w:val="18"/>
                <w:color w:val="auto"/>
              </w:rPr>
              <w:t>--</w:t>
            </w:r>
          </w:p>
        </w:tc>
      </w:tr>
    </w:tbl>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Retired from the Board effective May 1, 2015.</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Appointed to the Audit Committee effective May 1, 2015. No meetings were held in fiscal 2015 after he was appointed to the Audit Committee.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_____________________</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Audit Committee has reviewed and discussed with management our audited financial statements for the fiscal year ended May 2, 2015 and the results of management's assessment of the effectiveness of the Company's internal control over financial reporting and the independent auditor's audit of internal control over financial reporting; discussed with management significant accounting policies, including the quality and acceptability, applied by us in our financial statements, as well as alternative treatments; reviewed and discussed our policies with respect to risk assessment; discussed with our independent registered public accounting firm the matters required to be discussed by the standards of the Public Company Accounting Oversight Board ("PCAOB"), including PCAOB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discussed with our independent registered public accounting firm its audits and assessments, including internal control testing under Section 404 of the Sarbanes-Oxley Act of 2002; received the written disclosures and the letter from the independent registered public accounting firm required by applicable requirements of the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 independent registered public accounting firm’s communications with the Audit Committee concerning independence; and reviewed and pre-approved fees charged by the independent registered public accounting firm and considered whether the independent registered public accounting firm's provision of non-audit services to us is compatible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auditor’s independence. The Audit Committee also met in executive session following each of the formal Audit Committee meetings with representatives of our independent registered public accounting firm.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registered public accounting firm, both in fact and appearance. Each year, the Committee evaluates the qualifications, performance and independence of the Company's independent registered public accounting firm and determines whether to re-engage the current independent registered public accounting firm. In doing so, the Audit Committee considers the quality and efficiency of the services provided by the independent registered public accounting firm, its capabilities and its technical expertise and knowledge of the Company's operations and industry. Based on this evaluation, the Audit Committee of the Board of Directors recommended the appointment of Ernst &amp; Young LLP as our independent registered public accounting firm to examine our consolidated financial statements and internal controls over financial reporting for fiscal 2016.</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financial statements for the fiscal year ended May 2, 2015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house and helps reduce our expenses.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Annual Report to Shareholders for the fiscal year ended May 2, 2015,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Annual Report to Shareholders for the fiscal year ended May 2, 2015 can also be accessed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xml:space="preserve"> by selecting “Investors” then “Annual Reports and Proxies" under the heading "Financial Information." Any person whose proxy is solicited by this Proxy Statement will be provided, upon request and without charge, with a copy of our Annual Report on Form 10-K for the fiscal year ended May 2, 2015. Please submit such requests to Daktronics, Inc., 201 Daktronics Drive, Brookings, South Dakota 57006, Attention: Investor Relations, or by calling (605) 692-0200.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2015 STOCK INCENTIVE PLAN</w:t>
      </w:r>
    </w:p>
    <w:p>
      <w:pPr>
        <w:spacing w:after="0" w:line="20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General Purpose of Plan; Definitions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 Purpose</w:t>
      </w:r>
      <w:r>
        <w:rPr>
          <w:rFonts w:ascii="Arial" w:cs="Arial" w:eastAsia="Arial" w:hAnsi="Arial"/>
          <w:sz w:val="18"/>
          <w:szCs w:val="18"/>
          <w:color w:val="auto"/>
        </w:rPr>
        <w:t>. The name of this plan is the Daktronics, Inc. 2015 Stock Incentive Plan (the “Plan”). The purpose of the Plan is to enable Daktronics, Inc. (the “Company”) and its Subsidiaries to retain and attract executives, other employees, members of the Board of Directors and Consultants who contribute to the Company’s success by their ability, ingenuity and industry, and to enable such individuals to participate in the long-term success and growth of the Company by giving them a proprietary interest in the Company.</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 Plan, the following terms shall be defined as set forth below; other terms are defined elsewhere in the Plan:</w:t>
      </w:r>
    </w:p>
    <w:p>
      <w:pPr>
        <w:spacing w:after="0" w:line="252" w:lineRule="exact"/>
        <w:rPr>
          <w:sz w:val="20"/>
          <w:szCs w:val="20"/>
          <w:color w:val="auto"/>
        </w:rPr>
      </w:pPr>
    </w:p>
    <w:p>
      <w:pPr>
        <w:ind w:left="1500" w:hanging="844"/>
        <w:spacing w:after="0"/>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an agreement by and between the Company and a Recipient under the Plan setting forth the terms and conditions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 Award.</w:t>
      </w:r>
    </w:p>
    <w:p>
      <w:pPr>
        <w:spacing w:after="0" w:line="265" w:lineRule="exact"/>
        <w:rPr>
          <w:rFonts w:ascii="Arial" w:cs="Arial" w:eastAsia="Arial" w:hAnsi="Arial"/>
          <w:sz w:val="16"/>
          <w:szCs w:val="16"/>
          <w:color w:val="auto"/>
        </w:rPr>
      </w:pPr>
    </w:p>
    <w:p>
      <w:pPr>
        <w:ind w:left="660" w:right="180" w:hanging="4"/>
        <w:spacing w:after="0" w:line="324" w:lineRule="auto"/>
        <w:tabs>
          <w:tab w:leader="none" w:pos="15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Stock, Restricted Stock Unit, Deferred Stock or any combination thereof granted pursuant to the terms of this Plan.</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it may be comprised from time to time.</w:t>
      </w:r>
    </w:p>
    <w:p>
      <w:pPr>
        <w:spacing w:after="0" w:line="265" w:lineRule="exact"/>
        <w:rPr>
          <w:rFonts w:ascii="Arial" w:cs="Arial" w:eastAsia="Arial" w:hAnsi="Arial"/>
          <w:sz w:val="18"/>
          <w:szCs w:val="18"/>
          <w:color w:val="auto"/>
        </w:rPr>
      </w:pPr>
    </w:p>
    <w:p>
      <w:pPr>
        <w:ind w:left="660" w:right="300" w:hanging="4"/>
        <w:spacing w:after="0" w:line="324" w:lineRule="auto"/>
        <w:tabs>
          <w:tab w:leader="none" w:pos="15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may otherwise be provided in the terms of an Agreement or in a written employment or service agreement between the Company or a Subsidiary of the Company and the Recipient:</w:t>
      </w:r>
    </w:p>
    <w:p>
      <w:pPr>
        <w:spacing w:after="0" w:line="170" w:lineRule="exact"/>
        <w:rPr>
          <w:rFonts w:ascii="Arial" w:cs="Arial" w:eastAsia="Arial" w:hAnsi="Arial"/>
          <w:sz w:val="18"/>
          <w:szCs w:val="18"/>
          <w:color w:val="auto"/>
        </w:rPr>
      </w:pPr>
    </w:p>
    <w:p>
      <w:pPr>
        <w:ind w:left="1300" w:right="80" w:firstLine="5"/>
        <w:spacing w:after="0" w:line="244" w:lineRule="exact"/>
        <w:tabs>
          <w:tab w:leader="none" w:pos="2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material breach of any written employment, service, confidentiality, non</w:t>
      </w:r>
      <w:r>
        <w:rPr>
          <w:rFonts w:ascii="MS PGothic" w:cs="MS PGothic" w:eastAsia="MS PGothic" w:hAnsi="MS PGothic"/>
          <w:sz w:val="18"/>
          <w:szCs w:val="18"/>
          <w:color w:val="auto"/>
        </w:rPr>
        <w:t>‑</w:t>
      </w:r>
      <w:r>
        <w:rPr>
          <w:rFonts w:ascii="Arial" w:cs="Arial" w:eastAsia="Arial" w:hAnsi="Arial"/>
          <w:sz w:val="18"/>
          <w:szCs w:val="18"/>
          <w:color w:val="auto"/>
        </w:rPr>
        <w:t>compete or similar agreement between the Company or a Subsidiary of the Company and the Recipient;</w:t>
      </w:r>
    </w:p>
    <w:p>
      <w:pPr>
        <w:spacing w:after="0" w:line="242" w:lineRule="exact"/>
        <w:rPr>
          <w:rFonts w:ascii="Arial" w:cs="Arial" w:eastAsia="Arial" w:hAnsi="Arial"/>
          <w:sz w:val="18"/>
          <w:szCs w:val="18"/>
          <w:color w:val="auto"/>
        </w:rPr>
      </w:pPr>
    </w:p>
    <w:p>
      <w:pPr>
        <w:ind w:left="2180" w:hanging="875"/>
        <w:spacing w:after="0"/>
        <w:tabs>
          <w:tab w:leader="none" w:pos="21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 material breach of any code of conduct or code of ethics established by the Company or a Subsidiary of the Company;</w:t>
      </w:r>
    </w:p>
    <w:p>
      <w:pPr>
        <w:spacing w:after="0" w:line="277" w:lineRule="exact"/>
        <w:rPr>
          <w:rFonts w:ascii="Arial" w:cs="Arial" w:eastAsia="Arial" w:hAnsi="Arial"/>
          <w:sz w:val="17"/>
          <w:szCs w:val="17"/>
          <w:color w:val="auto"/>
        </w:rPr>
      </w:pPr>
    </w:p>
    <w:p>
      <w:pPr>
        <w:ind w:left="2220" w:hanging="915"/>
        <w:spacing w:after="0"/>
        <w:tabs>
          <w:tab w:leader="none" w:pos="22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commission of a felony by a Recipient or the failure of a Recipient to contest prosecution for a felony; or</w:t>
      </w:r>
    </w:p>
    <w:p>
      <w:pPr>
        <w:spacing w:after="0" w:line="265" w:lineRule="exact"/>
        <w:rPr>
          <w:rFonts w:ascii="Arial" w:cs="Arial" w:eastAsia="Arial" w:hAnsi="Arial"/>
          <w:sz w:val="18"/>
          <w:szCs w:val="18"/>
          <w:color w:val="auto"/>
        </w:rPr>
      </w:pPr>
    </w:p>
    <w:p>
      <w:pPr>
        <w:ind w:left="1300" w:right="100" w:firstLine="5"/>
        <w:spacing w:after="0" w:line="324" w:lineRule="auto"/>
        <w:tabs>
          <w:tab w:leader="none" w:pos="22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Recipient’s willful misconduct, dishonesty, breach of fiduciary duty or gross negligence involving the business or reputation of the Company or a Subsidiary of the Company.</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265" w:lineRule="exact"/>
        <w:rPr>
          <w:rFonts w:ascii="Arial" w:cs="Arial" w:eastAsia="Arial" w:hAnsi="Arial"/>
          <w:sz w:val="18"/>
          <w:szCs w:val="18"/>
          <w:color w:val="auto"/>
        </w:rPr>
      </w:pPr>
    </w:p>
    <w:p>
      <w:pPr>
        <w:ind w:left="1300" w:right="60" w:firstLine="5"/>
        <w:spacing w:after="0" w:line="250" w:lineRule="exact"/>
        <w:tabs>
          <w:tab w:leader="none" w:pos="2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acquires or becomes a “beneficial owner” (as defined in Rule 13d</w:t>
      </w:r>
      <w:r>
        <w:rPr>
          <w:rFonts w:ascii="MS PGothic" w:cs="MS PGothic" w:eastAsia="MS PGothic" w:hAnsi="MS PGothic"/>
          <w:sz w:val="18"/>
          <w:szCs w:val="18"/>
          <w:color w:val="auto"/>
        </w:rPr>
        <w:t>‑</w:t>
      </w:r>
      <w:r>
        <w:rPr>
          <w:rFonts w:ascii="Arial" w:cs="Arial" w:eastAsia="Arial" w:hAnsi="Arial"/>
          <w:sz w:val="18"/>
          <w:szCs w:val="18"/>
          <w:color w:val="auto"/>
        </w:rPr>
        <w:t>3 or any successor rule under the Exchange Act), directly or indirectly, of fifty percent (50%) or more of the combined voting power of the Voting Securities; provided, however, that the following shall not constitute a Change in Control pursuant to this Section 1.2(e)(i):</w:t>
      </w:r>
    </w:p>
    <w:p>
      <w:pPr>
        <w:spacing w:after="0" w:line="245" w:lineRule="exact"/>
        <w:rPr>
          <w:rFonts w:ascii="Arial" w:cs="Arial" w:eastAsia="Arial" w:hAnsi="Arial"/>
          <w:sz w:val="18"/>
          <w:szCs w:val="18"/>
          <w:color w:val="auto"/>
        </w:rPr>
      </w:pPr>
    </w:p>
    <w:p>
      <w:pPr>
        <w:ind w:left="1960" w:right="320" w:hanging="7"/>
        <w:spacing w:after="0" w:line="324" w:lineRule="auto"/>
        <w:tabs>
          <w:tab w:leader="none" w:pos="285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acquisition of Voting Securities or Stock of the Company directly from the Company other than in connection with a transaction described in Section 1.2(e)(iii) below;</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acquisition or beneficial ownership by the Company or a Subsidiary of the Company;</w:t>
      </w:r>
    </w:p>
    <w:p>
      <w:pPr>
        <w:spacing w:after="0" w:line="265" w:lineRule="exact"/>
        <w:rPr>
          <w:rFonts w:ascii="Arial" w:cs="Arial" w:eastAsia="Arial" w:hAnsi="Arial"/>
          <w:sz w:val="18"/>
          <w:szCs w:val="18"/>
          <w:color w:val="auto"/>
        </w:rPr>
      </w:pPr>
    </w:p>
    <w:p>
      <w:pPr>
        <w:ind w:left="1960" w:hanging="7"/>
        <w:spacing w:after="0" w:line="324" w:lineRule="auto"/>
        <w:tabs>
          <w:tab w:leader="none" w:pos="284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 sponsored or maintained by the Company or one or more of its Subsidiaries; or</w:t>
      </w:r>
    </w:p>
    <w:p>
      <w:pPr>
        <w:spacing w:after="0" w:line="170" w:lineRule="exact"/>
        <w:rPr>
          <w:rFonts w:ascii="Arial" w:cs="Arial" w:eastAsia="Arial" w:hAnsi="Arial"/>
          <w:sz w:val="18"/>
          <w:szCs w:val="18"/>
          <w:color w:val="auto"/>
        </w:rPr>
      </w:pPr>
    </w:p>
    <w:p>
      <w:pPr>
        <w:ind w:left="1960" w:right="180" w:hanging="7"/>
        <w:spacing w:after="0" w:line="354" w:lineRule="auto"/>
        <w:tabs>
          <w:tab w:leader="none" w:pos="2858" w:val="left"/>
        </w:tabs>
        <w:numPr>
          <w:ilvl w:val="2"/>
          <w:numId w:val="34"/>
        </w:numPr>
        <w:rPr>
          <w:rFonts w:ascii="Arial" w:cs="Arial" w:eastAsia="Arial" w:hAnsi="Arial"/>
          <w:sz w:val="16"/>
          <w:szCs w:val="16"/>
          <w:color w:val="auto"/>
        </w:rPr>
      </w:pPr>
      <w:r>
        <w:rPr>
          <w:rFonts w:ascii="Arial" w:cs="Arial" w:eastAsia="Arial" w:hAnsi="Arial"/>
          <w:sz w:val="16"/>
          <w:szCs w:val="16"/>
          <w:color w:val="auto"/>
        </w:rPr>
        <w:t>any acquisition or beneficial ownership by any corporation with respect to which, immediately following such acquisition, more than 50% of the combined voting power of the Company’s then outstanding Voting Securities and the Stock of the Company is then beneficially owned, directly or indirectly, by all or substantially all of the persons who beneficially owned Voting Securities and Stock of the Company immediately prior to such acquisition in substantially the same</w:t>
      </w:r>
    </w:p>
    <w:p>
      <w:pPr>
        <w:sectPr>
          <w:pgSz w:w="11900" w:h="16838" w:orient="portrait"/>
          <w:cols w:equalWidth="0" w:num="1">
            <w:col w:w="11380"/>
          </w:cols>
          <w:pgMar w:left="240" w:top="125" w:right="279" w:bottom="1440"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125" w:right="27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proportions as their ownership of such Voting Securities and Stock, as the case may be, immediately prior to such acquisition;</w:t>
      </w:r>
    </w:p>
    <w:p>
      <w:pPr>
        <w:spacing w:after="0" w:line="289" w:lineRule="exact"/>
        <w:rPr>
          <w:sz w:val="20"/>
          <w:szCs w:val="20"/>
          <w:color w:val="auto"/>
        </w:rPr>
      </w:pPr>
    </w:p>
    <w:p>
      <w:pPr>
        <w:ind w:left="2180" w:hanging="875"/>
        <w:spacing w:after="0"/>
        <w:tabs>
          <w:tab w:leader="none" w:pos="2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majority of the members of the Board of the Company shall not be Continuing Directors;</w:t>
      </w:r>
    </w:p>
    <w:p>
      <w:pPr>
        <w:spacing w:after="0" w:line="265" w:lineRule="exact"/>
        <w:rPr>
          <w:rFonts w:ascii="Arial" w:cs="Arial" w:eastAsia="Arial" w:hAnsi="Arial"/>
          <w:sz w:val="18"/>
          <w:szCs w:val="18"/>
          <w:color w:val="auto"/>
        </w:rPr>
      </w:pPr>
    </w:p>
    <w:p>
      <w:pPr>
        <w:ind w:left="1300" w:firstLine="5"/>
        <w:spacing w:after="0" w:line="321" w:lineRule="auto"/>
        <w:tabs>
          <w:tab w:leader="none" w:pos="2218"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consummation of a reorganization, merger or consolidation of the Company or a statutory exchange of outstanding Voting Securities of the Company unless, immediately following such reorganization, merger, consolidation or exchange, all or substantially all of the persons who were the beneficial owners, respectively, of Voting Securities and Stock of the Company immediately prior to such reorganization, merger, consolidation or exchange beneficially own, directly or indirectly, more than fifty percent (50%) of, respectively, the combined voting power of the then outstanding voting securities entitled to vote generally in the election of directors and the then outstanding shares of common stock, as the case may be, of the corporation resulting from such reorganization, merger, consolidation or exchange in substantially the same proportions as their ownership immediately prior to such reorganization, merger, consolidation or exchange, of the Voting Securities and Stock of the Company, as the case may be;</w:t>
      </w:r>
    </w:p>
    <w:p>
      <w:pPr>
        <w:spacing w:after="0" w:line="177" w:lineRule="exact"/>
        <w:rPr>
          <w:rFonts w:ascii="Arial" w:cs="Arial" w:eastAsia="Arial" w:hAnsi="Arial"/>
          <w:sz w:val="17"/>
          <w:szCs w:val="17"/>
          <w:color w:val="auto"/>
        </w:rPr>
      </w:pPr>
    </w:p>
    <w:p>
      <w:pPr>
        <w:ind w:left="1300" w:right="80" w:firstLine="5"/>
        <w:spacing w:after="0" w:line="321" w:lineRule="auto"/>
        <w:tabs>
          <w:tab w:leader="none" w:pos="220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Approval by the shareholders of the Company of (A) a complete liquidation or dissolution of the Company or (B) the consummation of the sale or other disposition of all or substantially all of the assets of the Company (in one or a series of transactions), other than to a corporation with respect to which, immediately following such sale or other disposition, more than 50% of, respectively, the combined voting power of the then outstanding voting securities of such corporation entitled to vote generally in the election of directors and the then outstanding shares of common stock of such corporation is then beneficially owned, directly or indirectly, by all or substantially all of the persons who were the beneficial owners, respectively, of the Voting Securities and Stock of the Company immediately prior to such sale or other disposition in substantially the same proportions as their beneficial ownership immediately prior to such sale or other disposition, of the Voting Securities and Stock of the Company, as the case may be; or</w:t>
      </w:r>
    </w:p>
    <w:p>
      <w:pPr>
        <w:spacing w:after="0" w:line="177" w:lineRule="exact"/>
        <w:rPr>
          <w:rFonts w:ascii="Arial" w:cs="Arial" w:eastAsia="Arial" w:hAnsi="Arial"/>
          <w:sz w:val="17"/>
          <w:szCs w:val="17"/>
          <w:color w:val="auto"/>
        </w:rPr>
      </w:pPr>
    </w:p>
    <w:p>
      <w:pPr>
        <w:ind w:left="2160" w:hanging="855"/>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Successive transactions of the types described in Sections 1.2(e)(i) through (iv).</w:t>
      </w:r>
    </w:p>
    <w:p>
      <w:pPr>
        <w:spacing w:after="0" w:line="265" w:lineRule="exact"/>
        <w:rPr>
          <w:rFonts w:ascii="Arial" w:cs="Arial" w:eastAsia="Arial" w:hAnsi="Arial"/>
          <w:sz w:val="18"/>
          <w:szCs w:val="18"/>
          <w:color w:val="auto"/>
        </w:rPr>
      </w:pPr>
    </w:p>
    <w:p>
      <w:pPr>
        <w:ind w:left="660" w:right="200" w:hanging="4"/>
        <w:spacing w:after="0" w:line="304" w:lineRule="auto"/>
        <w:tabs>
          <w:tab w:leader="none" w:pos="14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means any of the following events occurring upon or within 12 months after a Change in Control: (i) the termination of a Recipient’s employment or service with the Company (including, without limitation, service as a Director or a Consultant) for any reason other than for Cause; or (ii) the termination of employment or service with the Company by a Recipient for Good Reason (including, without limitation, service as a Director or a Consultant), which termination shall be accomplished by, and be effective upon, the Recipient giving written notice to the Company of his or her decision to terminate.</w:t>
      </w:r>
    </w:p>
    <w:p>
      <w:pPr>
        <w:spacing w:after="0" w:line="188" w:lineRule="exact"/>
        <w:rPr>
          <w:rFonts w:ascii="Arial" w:cs="Arial" w:eastAsia="Arial" w:hAnsi="Arial"/>
          <w:sz w:val="18"/>
          <w:szCs w:val="18"/>
          <w:color w:val="auto"/>
        </w:rPr>
      </w:pPr>
    </w:p>
    <w:p>
      <w:pPr>
        <w:ind w:left="1520" w:hanging="864"/>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65" w:lineRule="exact"/>
        <w:rPr>
          <w:rFonts w:ascii="Arial" w:cs="Arial" w:eastAsia="Arial" w:hAnsi="Arial"/>
          <w:sz w:val="18"/>
          <w:szCs w:val="18"/>
          <w:color w:val="auto"/>
        </w:rPr>
      </w:pPr>
    </w:p>
    <w:p>
      <w:pPr>
        <w:ind w:left="1480" w:hanging="824"/>
        <w:spacing w:after="0"/>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Daktronics, Inc., a corporation organized under the laws of the State of South Dakota (or any successor corporation).</w:t>
      </w:r>
    </w:p>
    <w:p>
      <w:pPr>
        <w:spacing w:after="0" w:line="288" w:lineRule="exact"/>
        <w:rPr>
          <w:rFonts w:ascii="Arial" w:cs="Arial" w:eastAsia="Arial" w:hAnsi="Arial"/>
          <w:sz w:val="16"/>
          <w:szCs w:val="16"/>
          <w:color w:val="auto"/>
        </w:rPr>
      </w:pPr>
    </w:p>
    <w:p>
      <w:pPr>
        <w:ind w:left="660" w:right="80" w:hanging="4"/>
        <w:spacing w:after="0" w:line="251" w:lineRule="exact"/>
        <w:tabs>
          <w:tab w:leader="none" w:pos="1478"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providing bona fide services to the Company or a Parent Corporation or a Subsidiary of the Company (other than persons either providing services in connection with the offer or sale of securities in a capital raising transaction or directly or indirectly promoting or maintaining a market for the Company’s Stock) who is compensated for such services and who is not an Employee of the Company or any Parent Corporation or Subsidiary of the Company. A Consultant would include a Non</w:t>
      </w:r>
      <w:r>
        <w:rPr>
          <w:rFonts w:ascii="MS PGothic" w:cs="MS PGothic" w:eastAsia="MS PGothic" w:hAnsi="MS PGothic"/>
          <w:sz w:val="17"/>
          <w:szCs w:val="17"/>
          <w:color w:val="auto"/>
        </w:rPr>
        <w:t>‑</w:t>
      </w:r>
      <w:r>
        <w:rPr>
          <w:rFonts w:ascii="Arial" w:cs="Arial" w:eastAsia="Arial" w:hAnsi="Arial"/>
          <w:sz w:val="17"/>
          <w:szCs w:val="17"/>
          <w:color w:val="auto"/>
        </w:rPr>
        <w:t>Employee Director.</w:t>
      </w:r>
    </w:p>
    <w:p>
      <w:pPr>
        <w:spacing w:after="0" w:line="242" w:lineRule="exact"/>
        <w:rPr>
          <w:rFonts w:ascii="Arial" w:cs="Arial" w:eastAsia="Arial" w:hAnsi="Arial"/>
          <w:sz w:val="17"/>
          <w:szCs w:val="17"/>
          <w:color w:val="auto"/>
        </w:rPr>
      </w:pPr>
    </w:p>
    <w:p>
      <w:pPr>
        <w:ind w:left="1520" w:hanging="864"/>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w:t>
      </w:r>
    </w:p>
    <w:p>
      <w:pPr>
        <w:spacing w:after="0" w:line="265" w:lineRule="exact"/>
        <w:rPr>
          <w:rFonts w:ascii="Arial" w:cs="Arial" w:eastAsia="Arial" w:hAnsi="Arial"/>
          <w:sz w:val="18"/>
          <w:szCs w:val="18"/>
          <w:color w:val="auto"/>
        </w:rPr>
      </w:pPr>
    </w:p>
    <w:p>
      <w:pPr>
        <w:ind w:left="2120" w:hanging="815"/>
        <w:spacing w:after="0"/>
        <w:tabs>
          <w:tab w:leader="none" w:pos="2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individuals who, on the date hereof, are Directors of the Company;</w:t>
      </w:r>
    </w:p>
    <w:p>
      <w:pPr>
        <w:spacing w:after="0" w:line="265" w:lineRule="exact"/>
        <w:rPr>
          <w:rFonts w:ascii="Arial" w:cs="Arial" w:eastAsia="Arial" w:hAnsi="Arial"/>
          <w:sz w:val="18"/>
          <w:szCs w:val="18"/>
          <w:color w:val="auto"/>
        </w:rPr>
      </w:pPr>
    </w:p>
    <w:p>
      <w:pPr>
        <w:ind w:left="1300" w:right="500" w:firstLine="5"/>
        <w:spacing w:after="0" w:line="324" w:lineRule="auto"/>
        <w:tabs>
          <w:tab w:leader="none" w:pos="21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individuals elected as Directors of the Company subsequent to the date hereof for whose election proxies shall have been solicited by the Board; or</w:t>
      </w:r>
    </w:p>
    <w:p>
      <w:pPr>
        <w:spacing w:after="0" w:line="170" w:lineRule="exact"/>
        <w:rPr>
          <w:rFonts w:ascii="Arial" w:cs="Arial" w:eastAsia="Arial" w:hAnsi="Arial"/>
          <w:sz w:val="18"/>
          <w:szCs w:val="18"/>
          <w:color w:val="auto"/>
        </w:rPr>
      </w:pPr>
    </w:p>
    <w:p>
      <w:pPr>
        <w:ind w:left="1300" w:right="300" w:firstLine="5"/>
        <w:spacing w:after="0" w:line="244" w:lineRule="exact"/>
        <w:tabs>
          <w:tab w:leader="none" w:pos="22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individual elected or appointed by the Board to fill vacancies on the Board caused by a death or resignation (but not by removal) or to fill newly</w:t>
      </w:r>
      <w:r>
        <w:rPr>
          <w:rFonts w:ascii="MS PGothic" w:cs="MS PGothic" w:eastAsia="MS PGothic" w:hAnsi="MS PGothic"/>
          <w:sz w:val="18"/>
          <w:szCs w:val="18"/>
          <w:color w:val="auto"/>
        </w:rPr>
        <w:t>‑</w:t>
      </w:r>
      <w:r>
        <w:rPr>
          <w:rFonts w:ascii="Arial" w:cs="Arial" w:eastAsia="Arial" w:hAnsi="Arial"/>
          <w:sz w:val="18"/>
          <w:szCs w:val="18"/>
          <w:color w:val="auto"/>
        </w:rPr>
        <w:t>created directorships;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25"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provided, however, that a Continuing Director shall not include a Director whose initial assumption of office is in connection with an actual or threatened election contest, including, but not limited to, a consent solicitation, relating to the election of the Directors of the Company.</w:t>
      </w:r>
    </w:p>
    <w:p>
      <w:pPr>
        <w:spacing w:after="0" w:line="151" w:lineRule="exact"/>
        <w:rPr>
          <w:sz w:val="20"/>
          <w:szCs w:val="20"/>
          <w:color w:val="auto"/>
        </w:rPr>
      </w:pPr>
    </w:p>
    <w:p>
      <w:pPr>
        <w:ind w:left="660" w:right="180" w:hanging="4"/>
        <w:spacing w:after="0" w:line="324" w:lineRule="auto"/>
        <w:tabs>
          <w:tab w:leader="none" w:pos="14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an Award made pursuant to Section 7 of the Plan of the right to receive Stock at the end of a specified deferral period or upon the achievement of specified performance criteria.</w:t>
      </w:r>
    </w:p>
    <w:p>
      <w:pPr>
        <w:spacing w:after="0" w:line="170" w:lineRule="exact"/>
        <w:rPr>
          <w:rFonts w:ascii="Arial" w:cs="Arial" w:eastAsia="Arial" w:hAnsi="Arial"/>
          <w:sz w:val="18"/>
          <w:szCs w:val="18"/>
          <w:color w:val="auto"/>
        </w:rPr>
      </w:pPr>
    </w:p>
    <w:p>
      <w:pPr>
        <w:ind w:left="1560" w:hanging="904"/>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65" w:lineRule="exact"/>
        <w:rPr>
          <w:rFonts w:ascii="Arial" w:cs="Arial" w:eastAsia="Arial" w:hAnsi="Arial"/>
          <w:sz w:val="18"/>
          <w:szCs w:val="18"/>
          <w:color w:val="auto"/>
        </w:rPr>
      </w:pPr>
    </w:p>
    <w:p>
      <w:pPr>
        <w:ind w:left="660" w:right="40" w:hanging="4"/>
        <w:spacing w:after="0" w:line="324" w:lineRule="auto"/>
        <w:tabs>
          <w:tab w:leader="none" w:pos="15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except as may otherwise be provided in the terms of an Agreement or in a written employment or service agreement between the Company or a Subsidiary of the Company and the Recipient, the Recipient:</w:t>
      </w:r>
    </w:p>
    <w:p>
      <w:pPr>
        <w:spacing w:after="0" w:line="170" w:lineRule="exact"/>
        <w:rPr>
          <w:rFonts w:ascii="Arial" w:cs="Arial" w:eastAsia="Arial" w:hAnsi="Arial"/>
          <w:sz w:val="18"/>
          <w:szCs w:val="18"/>
          <w:color w:val="auto"/>
        </w:rPr>
      </w:pPr>
    </w:p>
    <w:p>
      <w:pPr>
        <w:ind w:left="1300" w:right="200" w:firstLine="5"/>
        <w:spacing w:after="0" w:line="357" w:lineRule="auto"/>
        <w:tabs>
          <w:tab w:leader="none" w:pos="2118" w:val="left"/>
        </w:tabs>
        <w:numPr>
          <w:ilvl w:val="1"/>
          <w:numId w:val="37"/>
        </w:numPr>
        <w:rPr>
          <w:rFonts w:ascii="Arial" w:cs="Arial" w:eastAsia="Arial" w:hAnsi="Arial"/>
          <w:sz w:val="17"/>
          <w:szCs w:val="17"/>
          <w:color w:val="auto"/>
        </w:rPr>
      </w:pPr>
      <w:r>
        <w:rPr>
          <w:rFonts w:ascii="Arial" w:cs="Arial" w:eastAsia="Arial" w:hAnsi="Arial"/>
          <w:sz w:val="17"/>
          <w:szCs w:val="17"/>
          <w:color w:val="auto"/>
        </w:rPr>
        <w:t>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47" w:lineRule="exact"/>
        <w:rPr>
          <w:rFonts w:ascii="Arial" w:cs="Arial" w:eastAsia="Arial" w:hAnsi="Arial"/>
          <w:sz w:val="17"/>
          <w:szCs w:val="17"/>
          <w:color w:val="auto"/>
        </w:rPr>
      </w:pPr>
    </w:p>
    <w:p>
      <w:pPr>
        <w:ind w:left="1300" w:firstLine="5"/>
        <w:spacing w:after="0" w:line="311" w:lineRule="auto"/>
        <w:tabs>
          <w:tab w:leader="none" w:pos="21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or</w:t>
      </w:r>
    </w:p>
    <w:p>
      <w:pPr>
        <w:spacing w:after="0" w:line="181" w:lineRule="exact"/>
        <w:rPr>
          <w:rFonts w:ascii="Arial" w:cs="Arial" w:eastAsia="Arial" w:hAnsi="Arial"/>
          <w:sz w:val="18"/>
          <w:szCs w:val="18"/>
          <w:color w:val="auto"/>
        </w:rPr>
      </w:pPr>
    </w:p>
    <w:p>
      <w:pPr>
        <w:ind w:left="1300" w:firstLine="5"/>
        <w:spacing w:after="0" w:line="324" w:lineRule="auto"/>
        <w:tabs>
          <w:tab w:leader="none" w:pos="221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when used in connection with the exercise of an Incentive Option following termination of employment, has a disability within the meaning of Section 22(e)(3) of the Code;</w:t>
      </w:r>
    </w:p>
    <w:p>
      <w:pPr>
        <w:spacing w:after="0" w:line="143"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provided, that only to the extent necessary to satisfy Section 409A of the Code, the Recipient has a “disability” or is “disabled” within the meaning of Section 409A of the Code.</w:t>
      </w:r>
    </w:p>
    <w:p>
      <w:pPr>
        <w:spacing w:after="0" w:line="197" w:lineRule="exact"/>
        <w:rPr>
          <w:sz w:val="20"/>
          <w:szCs w:val="20"/>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14 of the Plan.</w:t>
      </w:r>
    </w:p>
    <w:p>
      <w:pPr>
        <w:spacing w:after="0" w:line="265" w:lineRule="exact"/>
        <w:rPr>
          <w:rFonts w:ascii="Arial" w:cs="Arial" w:eastAsia="Arial" w:hAnsi="Arial"/>
          <w:sz w:val="18"/>
          <w:szCs w:val="18"/>
          <w:color w:val="auto"/>
        </w:rPr>
      </w:pPr>
    </w:p>
    <w:p>
      <w:pPr>
        <w:ind w:left="660" w:right="340" w:hanging="4"/>
        <w:spacing w:after="0" w:line="357" w:lineRule="auto"/>
        <w:tabs>
          <w:tab w:leader="none" w:pos="15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officers and Directors, employed by the Company or any Subsidiary of the Company. The payment to a Director by the Company of Directors’ fees shall not alone mean that the Director is an employee of the Company.</w:t>
      </w:r>
    </w:p>
    <w:p>
      <w:pPr>
        <w:spacing w:after="0" w:line="147" w:lineRule="exact"/>
        <w:rPr>
          <w:rFonts w:ascii="Arial" w:cs="Arial" w:eastAsia="Arial" w:hAnsi="Arial"/>
          <w:sz w:val="17"/>
          <w:szCs w:val="17"/>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statute.</w:t>
      </w:r>
    </w:p>
    <w:p>
      <w:pPr>
        <w:spacing w:after="0" w:line="265" w:lineRule="exact"/>
        <w:rPr>
          <w:rFonts w:ascii="Arial" w:cs="Arial" w:eastAsia="Arial" w:hAnsi="Arial"/>
          <w:sz w:val="18"/>
          <w:szCs w:val="18"/>
          <w:color w:val="auto"/>
        </w:rPr>
      </w:pPr>
    </w:p>
    <w:p>
      <w:pPr>
        <w:ind w:left="1480" w:hanging="824"/>
        <w:spacing w:after="0" w:line="207" w:lineRule="exact"/>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 officer as defined in Rule 16a</w:t>
      </w:r>
      <w:r>
        <w:rPr>
          <w:rFonts w:ascii="MS PGothic" w:cs="MS PGothic" w:eastAsia="MS PGothic" w:hAnsi="MS PGothic"/>
          <w:sz w:val="18"/>
          <w:szCs w:val="18"/>
          <w:color w:val="auto"/>
        </w:rPr>
        <w:t>‑</w:t>
      </w:r>
      <w:r>
        <w:rPr>
          <w:rFonts w:ascii="Arial" w:cs="Arial" w:eastAsia="Arial" w:hAnsi="Arial"/>
          <w:sz w:val="18"/>
          <w:szCs w:val="18"/>
          <w:color w:val="auto"/>
        </w:rPr>
        <w:t>1(f) under the Securities Exchange Act of 1934.</w:t>
      </w:r>
    </w:p>
    <w:p>
      <w:pPr>
        <w:spacing w:after="0" w:line="265" w:lineRule="exact"/>
        <w:rPr>
          <w:rFonts w:ascii="Arial" w:cs="Arial" w:eastAsia="Arial" w:hAnsi="Arial"/>
          <w:sz w:val="18"/>
          <w:szCs w:val="18"/>
          <w:color w:val="auto"/>
        </w:rPr>
      </w:pPr>
    </w:p>
    <w:p>
      <w:pPr>
        <w:ind w:left="1500" w:hanging="844"/>
        <w:spacing w:after="0"/>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Stock on any given date shall be determined by the Committee as follows:</w:t>
      </w:r>
    </w:p>
    <w:p>
      <w:pPr>
        <w:spacing w:after="0" w:line="265" w:lineRule="exact"/>
        <w:rPr>
          <w:rFonts w:ascii="Arial" w:cs="Arial" w:eastAsia="Arial" w:hAnsi="Arial"/>
          <w:sz w:val="18"/>
          <w:szCs w:val="18"/>
          <w:color w:val="auto"/>
        </w:rPr>
      </w:pPr>
    </w:p>
    <w:p>
      <w:pPr>
        <w:ind w:left="1300" w:right="180" w:firstLine="5"/>
        <w:spacing w:after="0" w:line="329" w:lineRule="auto"/>
        <w:tabs>
          <w:tab w:leader="none" w:pos="2118"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the Stock is listed for trading on one or more national securities exchanges (including The NASDAQ Global Select Market, The NASDAQ Global Market, or The NASDAQ Capital Market), the closing price on such national securities exchange on the day in question or, if such Stock shall not have been traded on such national securities exchange on such date, the closing price on such national securities exchange on the first day after the date in question on which such Stock was so traded;</w:t>
      </w:r>
    </w:p>
    <w:p>
      <w:pPr>
        <w:spacing w:after="0" w:line="170" w:lineRule="exact"/>
        <w:rPr>
          <w:rFonts w:ascii="Arial" w:cs="Arial" w:eastAsia="Arial" w:hAnsi="Arial"/>
          <w:sz w:val="17"/>
          <w:szCs w:val="17"/>
          <w:color w:val="auto"/>
        </w:rPr>
      </w:pPr>
    </w:p>
    <w:p>
      <w:pPr>
        <w:jc w:val="both"/>
        <w:ind w:left="1300" w:right="200" w:firstLine="5"/>
        <w:spacing w:after="0" w:line="248" w:lineRule="exact"/>
        <w:tabs>
          <w:tab w:leader="none" w:pos="21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the Stock is not listed for trading on a national securities exchange but is traded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the closing bid price for such Stock on the day prior to the date in question or, if there is no closing bid price for such Stock on such date, the closing bid price on the first day prior thereto on which such price existed; or</w:t>
      </w:r>
    </w:p>
    <w:p>
      <w:pPr>
        <w:spacing w:after="0" w:line="243" w:lineRule="exact"/>
        <w:rPr>
          <w:rFonts w:ascii="Arial" w:cs="Arial" w:eastAsia="Arial" w:hAnsi="Arial"/>
          <w:sz w:val="18"/>
          <w:szCs w:val="18"/>
          <w:color w:val="auto"/>
        </w:rPr>
      </w:pPr>
    </w:p>
    <w:p>
      <w:pPr>
        <w:ind w:left="1300" w:right="600" w:firstLine="5"/>
        <w:spacing w:after="0" w:line="324" w:lineRule="auto"/>
        <w:tabs>
          <w:tab w:leader="none" w:pos="22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neither Section 1.2(s)(i) nor (ii) is applicable, by any means deemed fair and reasonable by the Committee in its sole discretion, which determination shall be final and binding on all parties.</w:t>
      </w:r>
    </w:p>
    <w:p>
      <w:pPr>
        <w:spacing w:after="0" w:line="170" w:lineRule="exact"/>
        <w:rPr>
          <w:rFonts w:ascii="Arial" w:cs="Arial" w:eastAsia="Arial" w:hAnsi="Arial"/>
          <w:sz w:val="18"/>
          <w:szCs w:val="18"/>
          <w:color w:val="auto"/>
        </w:rPr>
      </w:pPr>
    </w:p>
    <w:p>
      <w:pPr>
        <w:ind w:left="660" w:right="40" w:hanging="4"/>
        <w:spacing w:after="0" w:line="306" w:lineRule="auto"/>
        <w:tabs>
          <w:tab w:leader="none" w:pos="14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Recipient has provided written notice to the Company within 90 days following the occurrence of any of the following events, provided the event results in a negative change to the Recipient, which notice describes the event in reasonable detail and the facts and circumstances claimed by the Recipient to constitute Good Reason: (i) the assignment of the Recipient without the Recipient’s consent to a position with material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21" w:lineRule="auto"/>
        <w:rPr>
          <w:sz w:val="20"/>
          <w:szCs w:val="20"/>
          <w:color w:val="auto"/>
        </w:rPr>
      </w:pPr>
      <w:r>
        <w:rPr>
          <w:rFonts w:ascii="Arial" w:cs="Arial" w:eastAsia="Arial" w:hAnsi="Arial"/>
          <w:sz w:val="17"/>
          <w:szCs w:val="17"/>
          <w:color w:val="auto"/>
        </w:rPr>
        <w:t>responsibilities or duties of a lesser status or degree than the then current position of the Recipient with the Company; (ii) the relocation of the Recipient’s principal office for the Company’s business, without the Recipient’s consent, to a location more than 75 miles outside the Recipient’s work location as of the date of the Change in Control; (iii) a material reduction, in the aggregate, in base salary, variable pay opportunities or the employee benefits in which the Recipient is entitled to participate irrespective of any standard waiting periods with respect to the same, unless such material reduction is generally applicable to all employees of the Company with a similar ranking to the Recipient; or (iv) a material breach or a material adverse modification by the Company of an Agreement or any employment or service agreement with the Company without the Recipient’s consent. Termination for “Good Reason” shall not include a Recipient’s death, Disability or a termination for any reason other than one of the events described in clauses (i) through (iv) of this Section 1.2(t).</w:t>
      </w:r>
    </w:p>
    <w:p>
      <w:pPr>
        <w:spacing w:after="0" w:line="177" w:lineRule="exact"/>
        <w:rPr>
          <w:sz w:val="20"/>
          <w:szCs w:val="20"/>
          <w:color w:val="auto"/>
        </w:rPr>
      </w:pPr>
    </w:p>
    <w:p>
      <w:pPr>
        <w:ind w:left="660" w:right="60" w:hanging="4"/>
        <w:spacing w:after="0" w:line="324" w:lineRule="auto"/>
        <w:tabs>
          <w:tab w:leader="none" w:pos="15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Option</w:t>
      </w:r>
      <w:r>
        <w:rPr>
          <w:rFonts w:ascii="Arial" w:cs="Arial" w:eastAsia="Arial" w:hAnsi="Arial"/>
          <w:sz w:val="18"/>
          <w:szCs w:val="18"/>
          <w:color w:val="auto"/>
        </w:rPr>
        <w:t>” means any Award intended to be and designated as an “incentive stock option” within the meaning of Section 422 of the Code and that satisfies the requirements set forth therein.</w:t>
      </w:r>
    </w:p>
    <w:p>
      <w:pPr>
        <w:spacing w:after="0" w:line="170" w:lineRule="exact"/>
        <w:rPr>
          <w:rFonts w:ascii="Arial" w:cs="Arial" w:eastAsia="Arial" w:hAnsi="Arial"/>
          <w:sz w:val="18"/>
          <w:szCs w:val="18"/>
          <w:color w:val="auto"/>
        </w:rPr>
      </w:pPr>
    </w:p>
    <w:p>
      <w:pPr>
        <w:ind w:left="1520" w:hanging="864"/>
        <w:spacing w:after="0" w:line="207" w:lineRule="exact"/>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Employee Director</w:t>
      </w:r>
      <w:r>
        <w:rPr>
          <w:rFonts w:ascii="Arial" w:cs="Arial" w:eastAsia="Arial" w:hAnsi="Arial"/>
          <w:sz w:val="18"/>
          <w:szCs w:val="18"/>
          <w:color w:val="auto"/>
        </w:rPr>
        <w:t>” means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within the meaning of Rule 16b</w:t>
      </w:r>
      <w:r>
        <w:rPr>
          <w:rFonts w:ascii="MS PGothic" w:cs="MS PGothic" w:eastAsia="MS PGothic" w:hAnsi="MS PGothic"/>
          <w:sz w:val="18"/>
          <w:szCs w:val="18"/>
          <w:color w:val="auto"/>
        </w:rPr>
        <w:t>‑</w:t>
      </w:r>
      <w:r>
        <w:rPr>
          <w:rFonts w:ascii="Arial" w:cs="Arial" w:eastAsia="Arial" w:hAnsi="Arial"/>
          <w:sz w:val="18"/>
          <w:szCs w:val="18"/>
          <w:color w:val="auto"/>
        </w:rPr>
        <w:t>3(b)(3) under the Exchange Act.</w:t>
      </w:r>
    </w:p>
    <w:p>
      <w:pPr>
        <w:spacing w:after="0" w:line="265" w:lineRule="exact"/>
        <w:rPr>
          <w:rFonts w:ascii="Arial" w:cs="Arial" w:eastAsia="Arial" w:hAnsi="Arial"/>
          <w:sz w:val="18"/>
          <w:szCs w:val="18"/>
          <w:color w:val="auto"/>
        </w:rPr>
      </w:pPr>
    </w:p>
    <w:p>
      <w:pPr>
        <w:ind w:left="1560" w:hanging="904"/>
        <w:spacing w:after="0" w:line="207" w:lineRule="exact"/>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w:t>
      </w:r>
      <w:r>
        <w:rPr>
          <w:rFonts w:ascii="Arial" w:cs="Arial" w:eastAsia="Arial" w:hAnsi="Arial"/>
          <w:sz w:val="18"/>
          <w:szCs w:val="18"/>
          <w:color w:val="auto"/>
        </w:rPr>
        <w:t>” means any Option that is not an Incentive Option.</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Award to purchase Stock granted pursuant to Section 5 of the Plan.</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Outside Director</w:t>
      </w:r>
      <w:r>
        <w:rPr>
          <w:rFonts w:ascii="Arial" w:cs="Arial" w:eastAsia="Arial" w:hAnsi="Arial"/>
          <w:sz w:val="16"/>
          <w:szCs w:val="16"/>
          <w:color w:val="auto"/>
        </w:rPr>
        <w:t>” means a member of the Board who satisfies the requirements of an outside director for purposes of Section 162(m)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65" w:lineRule="exact"/>
        <w:rPr>
          <w:rFonts w:ascii="Arial" w:cs="Arial" w:eastAsia="Arial" w:hAnsi="Arial"/>
          <w:sz w:val="16"/>
          <w:szCs w:val="16"/>
          <w:color w:val="auto"/>
        </w:rPr>
      </w:pPr>
    </w:p>
    <w:p>
      <w:pPr>
        <w:ind w:left="660" w:hanging="4"/>
        <w:spacing w:after="0" w:line="311" w:lineRule="auto"/>
        <w:tabs>
          <w:tab w:leader="none" w:pos="15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Corporation</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the chain.</w:t>
      </w:r>
    </w:p>
    <w:p>
      <w:pPr>
        <w:spacing w:after="0" w:line="181" w:lineRule="exact"/>
        <w:rPr>
          <w:sz w:val="20"/>
          <w:szCs w:val="20"/>
          <w:color w:val="auto"/>
        </w:rPr>
      </w:pPr>
    </w:p>
    <w:p>
      <w:pPr>
        <w:ind w:left="1580" w:hanging="924"/>
        <w:spacing w:after="0"/>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any eligible person to whom an Award has been granted under this Plan.</w:t>
      </w:r>
    </w:p>
    <w:p>
      <w:pPr>
        <w:spacing w:after="0" w:line="238"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an Award of shares of Stock pursuant to Section 6 of the Plan that is subject to restrictions as described therein.</w:t>
      </w:r>
    </w:p>
    <w:p>
      <w:pPr>
        <w:spacing w:after="0" w:line="248" w:lineRule="exact"/>
        <w:rPr>
          <w:rFonts w:ascii="Arial" w:cs="Arial" w:eastAsia="Arial" w:hAnsi="Arial"/>
          <w:sz w:val="16"/>
          <w:szCs w:val="16"/>
          <w:color w:val="auto"/>
        </w:rPr>
      </w:pPr>
    </w:p>
    <w:p>
      <w:pPr>
        <w:ind w:left="660" w:right="320" w:hanging="4"/>
        <w:spacing w:after="0" w:line="277"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of the right to receive a share of Stock granted pursuant to Section 6 of the Plan that is subject to restrictions as described therein.</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no par value common stock of the Company.</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(other than the Company), foreign or domestic, in an unbroken chain of corporations beginning with the Company if each of the corporations (other than the last corporation in the unbroken chain) owns stock possessing more than 50% of the total combined voting power of all classes of stock in one of the other corporations in the chain.</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Company’s then outstanding securities ordinarily entitled to vote in the election of Directors.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Authority</w:t>
      </w:r>
      <w:r>
        <w:rPr>
          <w:rFonts w:ascii="Arial" w:cs="Arial" w:eastAsia="Arial" w:hAnsi="Arial"/>
          <w:sz w:val="18"/>
          <w:szCs w:val="18"/>
          <w:color w:val="auto"/>
        </w:rPr>
        <w:t>. The Plan shall be administered by the Board or by the Committee. If at any time no Committee shall be in office, then the Board shall exercise the functions of the Committee specified in the Plan. The Board may exercise any or all of the functions of the Committee specified in the Plan, except that:</w:t>
      </w:r>
    </w:p>
    <w:p>
      <w:pPr>
        <w:spacing w:after="0" w:line="181" w:lineRule="exact"/>
        <w:rPr>
          <w:sz w:val="20"/>
          <w:szCs w:val="20"/>
          <w:color w:val="auto"/>
        </w:rPr>
      </w:pPr>
    </w:p>
    <w:p>
      <w:pPr>
        <w:ind w:left="660" w:hanging="4"/>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such time as any Award is subject to the limitations under Section 162(m) of the Code and regulations promulgated thereunder, the Plan shall be administered by a Committee consisting solely of Outside Directors;</w:t>
      </w:r>
    </w:p>
    <w:p>
      <w:pPr>
        <w:spacing w:after="0" w:line="170" w:lineRule="exact"/>
        <w:rPr>
          <w:rFonts w:ascii="Arial" w:cs="Arial" w:eastAsia="Arial" w:hAnsi="Arial"/>
          <w:sz w:val="18"/>
          <w:szCs w:val="18"/>
          <w:color w:val="auto"/>
        </w:rPr>
      </w:pPr>
    </w:p>
    <w:p>
      <w:pPr>
        <w:ind w:left="660" w:right="440" w:hanging="4"/>
        <w:spacing w:after="0" w:line="223" w:lineRule="exact"/>
        <w:tabs>
          <w:tab w:leader="none" w:pos="10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such time as the Company and its affiliates are subject to the limitations under Section 16(b) of the Exchange Act, the Committee shall consist solely of Non</w:t>
      </w:r>
      <w:r>
        <w:rPr>
          <w:rFonts w:ascii="MS PGothic" w:cs="MS PGothic" w:eastAsia="MS PGothic" w:hAnsi="MS PGothic"/>
          <w:sz w:val="18"/>
          <w:szCs w:val="18"/>
          <w:color w:val="auto"/>
        </w:rPr>
        <w:t>‑</w:t>
      </w:r>
      <w:r>
        <w:rPr>
          <w:rFonts w:ascii="Arial" w:cs="Arial" w:eastAsia="Arial" w:hAnsi="Arial"/>
          <w:sz w:val="18"/>
          <w:szCs w:val="18"/>
          <w:color w:val="auto"/>
        </w:rPr>
        <w:t>Employee Directors; and</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20" w:hanging="4"/>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Plan shall be administered by a Committee that is comprised solely of members who satisfy the applicable requirements of any stock exchange on which the Stock may then be listed.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foregoing, references in the Plan to the Committee shall also include the Board, to the extent the context permits.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Powers</w:t>
      </w:r>
      <w:r>
        <w:rPr>
          <w:rFonts w:ascii="Arial" w:cs="Arial" w:eastAsia="Arial" w:hAnsi="Arial"/>
          <w:sz w:val="18"/>
          <w:szCs w:val="18"/>
          <w:color w:val="auto"/>
        </w:rPr>
        <w:t>. The Committee shall have the power and authority to grant Awards pursuant to the terms of the Plan. In particular, the Committee shall have the authority:</w:t>
      </w:r>
    </w:p>
    <w:p>
      <w:pPr>
        <w:spacing w:after="0" w:line="170" w:lineRule="exact"/>
        <w:rPr>
          <w:sz w:val="20"/>
          <w:szCs w:val="20"/>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Recipients</w:t>
      </w:r>
      <w:r>
        <w:rPr>
          <w:rFonts w:ascii="Arial" w:cs="Arial" w:eastAsia="Arial" w:hAnsi="Arial"/>
          <w:sz w:val="18"/>
          <w:szCs w:val="18"/>
          <w:color w:val="auto"/>
        </w:rPr>
        <w:t>. To select Recipients to whom Awards may from time to time be granted hereunder;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Amount</w:t>
      </w:r>
      <w:r>
        <w:rPr>
          <w:rFonts w:ascii="Arial" w:cs="Arial" w:eastAsia="Arial" w:hAnsi="Arial"/>
          <w:sz w:val="17"/>
          <w:szCs w:val="17"/>
          <w:color w:val="auto"/>
        </w:rPr>
        <w:t>. To determine the number of shares of Stock, units or other measures to be covered by each such Award granted hereunder;</w:t>
      </w:r>
    </w:p>
    <w:p>
      <w:pPr>
        <w:spacing w:after="0" w:line="236" w:lineRule="exact"/>
        <w:rPr>
          <w:rFonts w:ascii="Arial" w:cs="Arial" w:eastAsia="Arial" w:hAnsi="Arial"/>
          <w:sz w:val="17"/>
          <w:szCs w:val="17"/>
          <w:color w:val="auto"/>
        </w:rPr>
      </w:pPr>
    </w:p>
    <w:p>
      <w:pPr>
        <w:ind w:left="660" w:right="360" w:hanging="4"/>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To determine the terms and conditions, not inconsistent with the terms of the Plan, of any Award granted hereunder (including, but not limited to, any restriction on any Award and/or the Stock relating thereto);</w:t>
      </w:r>
    </w:p>
    <w:p>
      <w:pPr>
        <w:spacing w:after="0" w:line="170" w:lineRule="exact"/>
        <w:rPr>
          <w:rFonts w:ascii="Arial" w:cs="Arial" w:eastAsia="Arial" w:hAnsi="Arial"/>
          <w:sz w:val="18"/>
          <w:szCs w:val="18"/>
          <w:color w:val="auto"/>
        </w:rPr>
      </w:pPr>
    </w:p>
    <w:p>
      <w:pPr>
        <w:ind w:left="660" w:hanging="4"/>
        <w:spacing w:after="0" w:line="259" w:lineRule="auto"/>
        <w:tabs>
          <w:tab w:leader="none" w:pos="10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 Acceleration</w:t>
      </w:r>
      <w:r>
        <w:rPr>
          <w:rFonts w:ascii="Arial" w:cs="Arial" w:eastAsia="Arial" w:hAnsi="Arial"/>
          <w:sz w:val="18"/>
          <w:szCs w:val="18"/>
          <w:color w:val="auto"/>
        </w:rPr>
        <w:t>. To amend the terms of any Award theretofore granted, prospectively or retroactively, to the extent such amendment is consistent with the terms of the Plan, including to accelerate the date on which any Award becomes exercisable or vested and to accelerate the lapse of restrictions on any Award; provided that no such amendment shall impair the rights of any Recipient without his, her or its consent except to the extent authorized under the Plan;</w:t>
      </w:r>
    </w:p>
    <w:p>
      <w:pPr>
        <w:spacing w:after="0" w:line="186" w:lineRule="exact"/>
        <w:rPr>
          <w:rFonts w:ascii="Arial" w:cs="Arial" w:eastAsia="Arial" w:hAnsi="Arial"/>
          <w:sz w:val="18"/>
          <w:szCs w:val="18"/>
          <w:color w:val="auto"/>
        </w:rPr>
      </w:pPr>
    </w:p>
    <w:p>
      <w:pPr>
        <w:ind w:left="660" w:right="40" w:hanging="4"/>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Substitution</w:t>
      </w:r>
      <w:r>
        <w:rPr>
          <w:rFonts w:ascii="Arial" w:cs="Arial" w:eastAsia="Arial" w:hAnsi="Arial"/>
          <w:sz w:val="18"/>
          <w:szCs w:val="18"/>
          <w:color w:val="auto"/>
        </w:rPr>
        <w:t>. To substitute new Awards for previously granted Awards; provided, however, that substituting new Awards for previously granted Options having higher exercise prices shall not be permitted without prior shareholder approval;</w:t>
      </w:r>
    </w:p>
    <w:p>
      <w:pPr>
        <w:spacing w:after="0" w:line="170" w:lineRule="exact"/>
        <w:rPr>
          <w:rFonts w:ascii="Arial" w:cs="Arial" w:eastAsia="Arial" w:hAnsi="Arial"/>
          <w:sz w:val="18"/>
          <w:szCs w:val="18"/>
          <w:color w:val="auto"/>
        </w:rPr>
      </w:pPr>
    </w:p>
    <w:p>
      <w:pPr>
        <w:ind w:left="660" w:right="920" w:hanging="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To make any other determination and take any other action that the Committee deems necessary or desirable for the administration of the Plan; and</w:t>
      </w:r>
    </w:p>
    <w:p>
      <w:pPr>
        <w:spacing w:after="0" w:line="170" w:lineRule="exact"/>
        <w:rPr>
          <w:rFonts w:ascii="Arial" w:cs="Arial" w:eastAsia="Arial" w:hAnsi="Arial"/>
          <w:sz w:val="18"/>
          <w:szCs w:val="18"/>
          <w:color w:val="auto"/>
        </w:rPr>
      </w:pPr>
    </w:p>
    <w:p>
      <w:pPr>
        <w:ind w:left="660" w:right="380" w:hanging="4"/>
        <w:spacing w:after="0" w:line="264" w:lineRule="auto"/>
        <w:tabs>
          <w:tab w:leader="none" w:pos="10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Rules</w:t>
      </w:r>
      <w:r>
        <w:rPr>
          <w:rFonts w:ascii="Arial" w:cs="Arial" w:eastAsia="Arial" w:hAnsi="Arial"/>
          <w:sz w:val="18"/>
          <w:szCs w:val="18"/>
          <w:color w:val="auto"/>
        </w:rPr>
        <w:t>. To adopt, alter and repeal such administrative rules, guidelines and practices governing the Plan as it shall, from time to time, deem advisable; to interpret the terms and provisions of the Plan and any Award issued under the Plan (and any Agreements relating thereto); and to otherwise supervise the administration of the Plan.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applicable law or the applicable rules of a stock exchange, the Committee may delegate the authority to exercise the powers specified in Section 2.2(a), (b) and (c) above to the Vice President of Human Resources or any Executive Officer of the Company; provided, however, that such authority shall not be exercised by anyone other than the Committee with respect to persons who are either the chief executive officer, chief financial officer, or any other Executive Officer of the Company or with respect to any Director of the Company.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Decisions Binding; Limitation on Liability; Indemnification</w:t>
      </w:r>
      <w:r>
        <w:rPr>
          <w:rFonts w:ascii="Arial" w:cs="Arial" w:eastAsia="Arial" w:hAnsi="Arial"/>
          <w:sz w:val="16"/>
          <w:szCs w:val="16"/>
          <w:color w:val="auto"/>
        </w:rPr>
        <w:t>. All decisions made by the Committee (or its delegate to the extent provided in Section 2.3) pursuant to the provisions of the Plan shall be final, conclusive and binding on all persons, including the Company and Recipients. No member of the Board or the Committee, nor any officer or Employee of the Company acting on behalf of the Board or the Committee, shall be personally liable for any action, determination, or interpretation taken or made in good faith with respect to the Plan. To the full extent permitted by law, each member and former member of the Board and the Committee and each person to whom the Board or the Committee delegates or has delegated authority under this Plan shall be indemnified by the Company against and from any loss, liability, judgment, damages, cost and reasonable expense incurred by such member, former member or other person by reason of any action taken, failure to act, interpretation or determination made in good faith under or with respect to this Plan.</w:t>
      </w:r>
    </w:p>
    <w:p>
      <w:pPr>
        <w:spacing w:after="0" w:line="16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Stock Subject to Plan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Shares Reserved for Issuance</w:t>
      </w:r>
      <w:r>
        <w:rPr>
          <w:rFonts w:ascii="Arial" w:cs="Arial" w:eastAsia="Arial" w:hAnsi="Arial"/>
          <w:sz w:val="17"/>
          <w:szCs w:val="17"/>
          <w:color w:val="auto"/>
        </w:rPr>
        <w:t>. The total number of shares of Stock reserved and available for distribution under the Plan shall be three million (3,000,000) shares of Stock of the Company, which may be used for any Option or any type of other Award granted under the Plan. Such shares shall consist of authorized and unissued shares of Stock of the Company. Shares of Stock subject to Awards shall be counted against the number of shares in the first sentence of this Section 3.1 as one share of Stock for every one share of Stock subject to such Award.</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 Counting</w:t>
      </w:r>
      <w:r>
        <w:rPr>
          <w:rFonts w:ascii="Arial" w:cs="Arial" w:eastAsia="Arial" w:hAnsi="Arial"/>
          <w:sz w:val="18"/>
          <w:szCs w:val="18"/>
          <w:color w:val="auto"/>
        </w:rPr>
        <w:t>. If any shares of Stock become available as a result of canceled, unexercised, lapsed or terminated Awards under this Plan or by reason of the purchase by or forfeiture of an Award to the Company, such shares of Stock again shall be available for distribution in connection with future Awards under the Plan. Upon a Stock</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Stock exercise of an Award, the following shares of Stock shall not become available for future distribution under the Plan: shares of Stock withheld for the payment of the exercise price of an Award, shares of Stock withheld for the payment of taxes on an Award, or shares of Stock withheld in any similar transaction.</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Upon any change in the outstanding shares of Stock after the Effective Date by reason of any stock dividend, stock split, reverse stock split, reclassification, combination, exchange of shares or other similar recapitalization of the Company, there shall be an appropriate adjustment to (a) the number or kind of shares of Stock or other securities issued or reserved for issuance pursuant to the Plan or pursuant to outstanding Awards, (b) the exercise price of any Option or other Award, and/or (c) any other affected terms of such Awards. Notwithstanding the foregoing, no fractional shares shall be issued or paid for. However, no adjustment shall be made under this Section 3.3 upon the issuance by the Company of any warrants, rights or options to acquire additional Stock or of securities convertible into Stock unless such warrants, rights, options or convertible securities are issued to all shareholders of the Company on a proportionate basis.</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Effect of Award</w:t>
      </w:r>
      <w:r>
        <w:rPr>
          <w:rFonts w:ascii="Arial" w:cs="Arial" w:eastAsia="Arial" w:hAnsi="Arial"/>
          <w:sz w:val="18"/>
          <w:szCs w:val="18"/>
          <w:color w:val="auto"/>
        </w:rPr>
        <w:t>. The grant of an Award pursuant to the Plan shall not limit in any way the right or power of the Company to make adjustments, reclassifications, reorganizations or changes of its capital or business structure or to merge, exchange or consolidate or to dissolve, liquidate or transfer all or any part of its business or assets.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Application of Code Section 409A</w:t>
      </w:r>
      <w:r>
        <w:rPr>
          <w:rFonts w:ascii="Arial" w:cs="Arial" w:eastAsia="Arial" w:hAnsi="Arial"/>
          <w:sz w:val="16"/>
          <w:szCs w:val="16"/>
          <w:color w:val="auto"/>
        </w:rPr>
        <w:t>. If and to the extent that any provision of an Award is required to comply with Section 409A of the Code, such provision shall be administered and interpreted in a manner consistent with the requirements of Section 409A. If and solely to the extent that any such provision of an Award as currently written would conflict with Section 409A of the Code, the Committee shall have the authority, without the consent of the Recipient, to administer such provision and to amend the Award with respect to such provision to the extent the Committee deems necessary for the purposes of avoiding any portion of amounts owed to the Recipient being retroactively included in the taxable income of the Recipient for any prior taxable year.</w:t>
      </w:r>
    </w:p>
    <w:p>
      <w:pPr>
        <w:spacing w:after="0" w:line="15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Eligibility</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Officers, other Employees of the Company and its Subsidiaries, members of the Board, and Consultants who are responsible for or contribute to the management, growth and/or profitability of the business of the Company and its Subsidiaries, as determined by the Committee, are eligible to be granted Awards under the Plan. Recipients under the Plan shall be selected from time to time by the Committee, in its sole discretion or as otherwise provided in Section 2.3 of the Plan, from among those eligible.</w:t>
      </w:r>
    </w:p>
    <w:p>
      <w:pPr>
        <w:spacing w:after="0" w:line="18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Option Awards</w:t>
      </w:r>
    </w:p>
    <w:p>
      <w:pPr>
        <w:spacing w:after="0" w:line="229"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Option Types</w:t>
      </w:r>
      <w:r>
        <w:rPr>
          <w:rFonts w:ascii="Arial" w:cs="Arial" w:eastAsia="Arial" w:hAnsi="Arial"/>
          <w:sz w:val="18"/>
          <w:szCs w:val="18"/>
          <w:color w:val="auto"/>
        </w:rPr>
        <w:t>. Each Option shall be evidenced by a written Agreement, in such form as the Committee may approve from time to time, which Agreement shall be subject to the provisions of this Plan and to such other terms and conditions as the Committee may deem appropriate. The Options granted under the Plan may be either Incentive Options or Non</w:t>
      </w:r>
      <w:r>
        <w:rPr>
          <w:rFonts w:ascii="MS PGothic" w:cs="MS PGothic" w:eastAsia="MS PGothic" w:hAnsi="MS PGothic"/>
          <w:sz w:val="18"/>
          <w:szCs w:val="18"/>
          <w:color w:val="auto"/>
        </w:rPr>
        <w:t>‑</w:t>
      </w:r>
      <w:r>
        <w:rPr>
          <w:rFonts w:ascii="Arial" w:cs="Arial" w:eastAsia="Arial" w:hAnsi="Arial"/>
          <w:sz w:val="18"/>
          <w:szCs w:val="18"/>
          <w:color w:val="auto"/>
        </w:rPr>
        <w:t>Qualified Options. No Incentive Option may be issued more than ten (10) years after the date the Plan is approved by the shareholders of the Company.</w:t>
      </w:r>
    </w:p>
    <w:p>
      <w:pPr>
        <w:spacing w:after="0" w:line="204"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Options</w:t>
      </w:r>
      <w:r>
        <w:rPr>
          <w:rFonts w:ascii="Arial" w:cs="Arial" w:eastAsia="Arial" w:hAnsi="Arial"/>
          <w:sz w:val="18"/>
          <w:szCs w:val="18"/>
          <w:color w:val="auto"/>
        </w:rPr>
        <w:t>. To the extent that any Option or portion of an Option does not qualify as an Incentive Option, it shall constitute a separate Non</w:t>
      </w:r>
      <w:r>
        <w:rPr>
          <w:rFonts w:ascii="MS PGothic" w:cs="MS PGothic" w:eastAsia="MS PGothic" w:hAnsi="MS PGothic"/>
          <w:sz w:val="18"/>
          <w:szCs w:val="18"/>
          <w:color w:val="auto"/>
        </w:rPr>
        <w:t>‑</w:t>
      </w:r>
      <w:r>
        <w:rPr>
          <w:rFonts w:ascii="Arial" w:cs="Arial" w:eastAsia="Arial" w:hAnsi="Arial"/>
          <w:sz w:val="18"/>
          <w:szCs w:val="18"/>
          <w:color w:val="auto"/>
        </w:rPr>
        <w:t>Qualified Option.</w:t>
      </w:r>
    </w:p>
    <w:p>
      <w:pPr>
        <w:spacing w:after="0" w:line="203"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Incentive Options; Interpretation</w:t>
      </w:r>
      <w:r>
        <w:rPr>
          <w:rFonts w:ascii="Arial" w:cs="Arial" w:eastAsia="Arial" w:hAnsi="Arial"/>
          <w:sz w:val="17"/>
          <w:szCs w:val="17"/>
          <w:color w:val="auto"/>
        </w:rPr>
        <w:t>. Notwithstanding anything in the Plan to the contrary, no term of the Plan relating to an Incentive Option shall be interpreted, amended or altered, nor shall any discretion or authority granted under the Plan be so exercised, so as to disqualify either the Plan or any Incentive Option under Section 422 of the Code. The preceding sentence shall not preclude any modification or amendment to an outstanding Incentive Option, whether or not such modification or amendment results in disqualification of such Option as an Incentive Option, to the extent that the Committee determines that such modification or amendment is necessary or appropriate.</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Options granted under the Plan shall be subject to the following terms and conditions, as applicable, and shall contain such additional terms and conditions, not inconsistent with the terms of the Plan, as the Committee shall deem desirable:</w:t>
      </w:r>
    </w:p>
    <w:p>
      <w:pPr>
        <w:spacing w:after="0" w:line="170" w:lineRule="exact"/>
        <w:rPr>
          <w:sz w:val="20"/>
          <w:szCs w:val="20"/>
          <w:color w:val="auto"/>
        </w:rPr>
      </w:pPr>
    </w:p>
    <w:p>
      <w:pPr>
        <w:ind w:left="660" w:right="540" w:hanging="4"/>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Options</w:t>
      </w:r>
      <w:r>
        <w:rPr>
          <w:rFonts w:ascii="Arial" w:cs="Arial" w:eastAsia="Arial" w:hAnsi="Arial"/>
          <w:sz w:val="18"/>
          <w:szCs w:val="18"/>
          <w:color w:val="auto"/>
        </w:rPr>
        <w:t>. The aggregate Fair Market Value (determined as of the time the Option is granted) of the Stock with respect to which an Incentive Option under this Plan or any other plan of the Company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80"/>
        <w:spacing w:after="0" w:line="221" w:lineRule="exact"/>
        <w:rPr>
          <w:sz w:val="20"/>
          <w:szCs w:val="20"/>
          <w:color w:val="auto"/>
        </w:rPr>
      </w:pPr>
      <w:r>
        <w:rPr>
          <w:rFonts w:ascii="Arial" w:cs="Arial" w:eastAsia="Arial" w:hAnsi="Arial"/>
          <w:sz w:val="18"/>
          <w:szCs w:val="18"/>
          <w:color w:val="auto"/>
        </w:rPr>
        <w:t>and any Subsidiary or Parent Corporation is exercisable for the first time by a person during any calendar year shall not exceed $100,000. To the extent any Option is exercisable in excess of the foregoing limit in any calendar year, such portion of the Option that is in excess of $100,000 shall be a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w:t>
      </w:r>
    </w:p>
    <w:p>
      <w:pPr>
        <w:spacing w:after="0" w:line="202" w:lineRule="exact"/>
        <w:rPr>
          <w:sz w:val="20"/>
          <w:szCs w:val="20"/>
          <w:color w:val="auto"/>
        </w:rPr>
      </w:pPr>
    </w:p>
    <w:p>
      <w:pPr>
        <w:ind w:left="660" w:right="80" w:hanging="4"/>
        <w:spacing w:after="0" w:line="272" w:lineRule="auto"/>
        <w:tabs>
          <w:tab w:leader="none" w:pos="105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Option Exercise Price</w:t>
      </w:r>
      <w:r>
        <w:rPr>
          <w:rFonts w:ascii="Arial" w:cs="Arial" w:eastAsia="Arial" w:hAnsi="Arial"/>
          <w:sz w:val="17"/>
          <w:szCs w:val="17"/>
          <w:color w:val="auto"/>
        </w:rPr>
        <w:t>. Subject to the last two sentences of this Section 5.4(b), the exercise price per share of Stock purchasable under an Option shall be determined by the Committee at the time of grant and, if the Committee does not fix the exercise price of the Option, the exercise price shall be 100% of the Fair Market Value of the Stock on the date of grant. However, the exercise price of an Option shall not be less than 100% of the Fair Market Value of the Stock on the date of grant of such Option. If an Employee owns or is deemed to own (by reason of the attribution rules applicable under Section 424(d) of the Code) more than 10% of the combined voting power of all classes of capital stock of the Company or any Parent Corporation or Subsidiary and an Incentive Option is granted to such Employee, the Incentive Option exercise price shall be no less than 110% of the Fair Market Value of the Stock on the date of grant of such Incentive Option.</w:t>
      </w:r>
    </w:p>
    <w:p>
      <w:pPr>
        <w:spacing w:after="0" w:line="177" w:lineRule="exact"/>
        <w:rPr>
          <w:rFonts w:ascii="Arial" w:cs="Arial" w:eastAsia="Arial" w:hAnsi="Arial"/>
          <w:sz w:val="17"/>
          <w:szCs w:val="17"/>
          <w:color w:val="auto"/>
        </w:rPr>
      </w:pPr>
    </w:p>
    <w:p>
      <w:pPr>
        <w:ind w:left="660" w:right="100" w:hanging="4"/>
        <w:spacing w:after="0" w:line="293"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Subject to the last two sentences of this Section 5.4(c), the Committee shall fix the term of each Option and, if the Committee does not fix the term of an Option, the term shall be ten (10) years from the date the Option is granted, subject to earlier termination as otherwise provided herein. However, no Option shall be exercisable more than ten (10) years after the date of grant of such Option. If an Employee owns or is deemed to own (by reason of the attribution rules of Section 424(d) of the Code) more than 10% of the combined voting power of all classes of capital stock of the Company or any Parent Corporation or Subsidiary and an Incentive Option is granted to such Employee, the term of such Incentive Option shall be no more than five (5) years from the date of grant of such Incentive Option.</w:t>
      </w:r>
    </w:p>
    <w:p>
      <w:pPr>
        <w:spacing w:after="0" w:line="164" w:lineRule="exact"/>
        <w:rPr>
          <w:rFonts w:ascii="Arial" w:cs="Arial" w:eastAsia="Arial" w:hAnsi="Arial"/>
          <w:sz w:val="16"/>
          <w:szCs w:val="16"/>
          <w:color w:val="auto"/>
        </w:rPr>
      </w:pPr>
    </w:p>
    <w:p>
      <w:pPr>
        <w:ind w:left="1040" w:hanging="384"/>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An Option shall be exercisable in accordance with such terms and conditions and during such periods as determined by the</w:t>
      </w:r>
    </w:p>
    <w:p>
      <w:pPr>
        <w:spacing w:after="0" w:line="34" w:lineRule="exact"/>
        <w:rPr>
          <w:rFonts w:ascii="Arial" w:cs="Arial" w:eastAsia="Arial" w:hAnsi="Arial"/>
          <w:sz w:val="17"/>
          <w:szCs w:val="17"/>
          <w:color w:val="auto"/>
        </w:rPr>
      </w:pPr>
    </w:p>
    <w:p>
      <w:pPr>
        <w:ind w:left="660"/>
        <w:spacing w:after="0" w:line="270" w:lineRule="auto"/>
        <w:rPr>
          <w:rFonts w:ascii="Arial" w:cs="Arial" w:eastAsia="Arial" w:hAnsi="Arial"/>
          <w:sz w:val="17"/>
          <w:szCs w:val="17"/>
          <w:color w:val="auto"/>
        </w:rPr>
      </w:pPr>
      <w:r>
        <w:rPr>
          <w:rFonts w:ascii="Arial" w:cs="Arial" w:eastAsia="Arial" w:hAnsi="Arial"/>
          <w:sz w:val="17"/>
          <w:szCs w:val="17"/>
          <w:color w:val="auto"/>
        </w:rPr>
        <w:t>Committee at or after grant, subject to the restrictions stated in Section 5.4(a) above. The Committee may also grant Options that become exercisable upon the attainment of specified performance goals over a specified performance period. If the Committee does not determine the time at which an Option shall be exercisable, such Option shall be exercisable in equal installments of up to 20% of the shares of Stock subject to the Option on and after the first anniversary of the date of grant of the Option and up to an additional 20% of the shares of Stock subject to the Option on and after the second, third, fourth and fifth anniversary dates of the date of grant of the Option, subject to earlier termination as otherwise provided herein. Notwithstanding anything in the Plan to the contrary, no Option shall be exercisable after the expiration of its term.</w:t>
      </w:r>
    </w:p>
    <w:p>
      <w:pPr>
        <w:spacing w:after="0" w:line="178" w:lineRule="exact"/>
        <w:rPr>
          <w:rFonts w:ascii="Arial" w:cs="Arial" w:eastAsia="Arial" w:hAnsi="Arial"/>
          <w:sz w:val="17"/>
          <w:szCs w:val="17"/>
          <w:color w:val="auto"/>
        </w:rPr>
      </w:pPr>
    </w:p>
    <w:p>
      <w:pPr>
        <w:ind w:left="660" w:right="100" w:hanging="4"/>
        <w:spacing w:after="0" w:line="286"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An Option may be exercised, in whole or in part, at any time during the Option term, by giving written notice of exercise to the Company, specifying the number of shares of Stock to be purchased. Such notice shall be accompanied by payment in full of the exercise price, either by certified or bank check, or by any other form of legal consideration deemed sufficient by the Committee and consistent with the Plan’s purpose and applicable law, including to the extent permitted by applicable law, delivery of irrevocable instructions to a broker acceptable to the Company to promptly deliver to the Company the amount of sale or loan proceeds to pay the entire exercise price and any tax withholding resulting from such exercise. As determined by the Committee at the time of grant or exercise, in its sole discretion, payment in full or in part may also be made by tendering, by either actual delivery of Stock or attestation, Stock already owned by the Recipient for a period of time greater than six (6) months (or such other period established from time to time by the Committee in order to avoid adverse accounting treatment under generally accepted accounting principles) and that is valued at Fair Market Value as of such time; provided, however, that in the case of an Incentive Option, the right to make a payment in the form of already owned shares of Stock may be authorized only at the time the Incentive Option is granted. No Stock shall be issued upon exercise of an Option until full payment therefor has been made. A Recipient shall generally have the rights to dividends and other rights of a shareholder with respect to Stock subject to the Option after the Recipient has given written notice of exercise, has paid in full for such Stock, and, if requested, has given the representation described in Section 11.1 of the Plan.</w:t>
      </w:r>
    </w:p>
    <w:p>
      <w:pPr>
        <w:spacing w:after="0" w:line="174" w:lineRule="exact"/>
        <w:rPr>
          <w:rFonts w:ascii="Arial" w:cs="Arial" w:eastAsia="Arial" w:hAnsi="Arial"/>
          <w:sz w:val="16"/>
          <w:szCs w:val="16"/>
          <w:color w:val="auto"/>
        </w:rPr>
      </w:pPr>
    </w:p>
    <w:p>
      <w:pPr>
        <w:ind w:left="1020" w:hanging="36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Transferability of 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60" w:firstLine="5"/>
        <w:spacing w:after="0" w:line="324" w:lineRule="auto"/>
        <w:tabs>
          <w:tab w:leader="none" w:pos="2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Incentive Option shall be transferable by the Recipient otherwise than by will or by the laws of descent and distribution, and an Incentive Option shall be exercisable during a Recipient’s lifetime only by such Recipient.</w:t>
      </w:r>
    </w:p>
    <w:p>
      <w:pPr>
        <w:spacing w:after="0" w:line="170" w:lineRule="exact"/>
        <w:rPr>
          <w:rFonts w:ascii="Arial" w:cs="Arial" w:eastAsia="Arial" w:hAnsi="Arial"/>
          <w:sz w:val="18"/>
          <w:szCs w:val="18"/>
          <w:color w:val="auto"/>
        </w:rPr>
      </w:pPr>
    </w:p>
    <w:p>
      <w:pPr>
        <w:ind w:left="1300" w:firstLine="5"/>
        <w:spacing w:after="0" w:line="311" w:lineRule="auto"/>
        <w:tabs>
          <w:tab w:leader="none" w:pos="21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Committee may, in its discretion, authorize all or a portion of any Nonqualified Option to be granted to a Recipient to be on terms which permit transfer by such Recipient to: (A) the spouse, children or grandchildren of the Recipient (“Immediate Family Members”), (B) a trust or trusts for the exclusive benefit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100"/>
        <w:spacing w:after="0" w:line="321" w:lineRule="auto"/>
        <w:rPr>
          <w:sz w:val="20"/>
          <w:szCs w:val="20"/>
          <w:color w:val="auto"/>
        </w:rPr>
      </w:pPr>
      <w:r>
        <w:rPr>
          <w:rFonts w:ascii="Arial" w:cs="Arial" w:eastAsia="Arial" w:hAnsi="Arial"/>
          <w:sz w:val="17"/>
          <w:szCs w:val="17"/>
          <w:color w:val="auto"/>
        </w:rPr>
        <w:t>of such Immediate Family Members, or (C) a partnership or partnerships in which such Immediate Family Members are the only partners, provided that: (1) there is no consideration for any such transfer, (2) the Option pursuant to which such Stock is granted has been approved by the Committee and expressly provides for transfer in a manner consistent with this Section 5.4(f)(ii), and (3) subsequent transfers of a transferred Option shall be prohibited. Following transfer, any such Option shall continue to be subject to the same terms and conditions as were applicable immediately before the transfer, provided that the term “Recipient” herein shall in such event be deemed to refer to the transferee, except that the events of termination of employment and service and the provisions of Sections 5.4(g) and (h) of this Plan shall continue to be applied with respect to the original Recipient, following which the Option shall be exercisable by the transferee only to the extent, and for the periods, specified in such Sections.</w:t>
      </w:r>
    </w:p>
    <w:p>
      <w:pPr>
        <w:spacing w:after="0" w:line="177" w:lineRule="exact"/>
        <w:rPr>
          <w:sz w:val="20"/>
          <w:szCs w:val="20"/>
          <w:color w:val="auto"/>
        </w:rPr>
      </w:pPr>
    </w:p>
    <w:p>
      <w:pPr>
        <w:ind w:left="1300" w:right="60" w:firstLine="5"/>
        <w:spacing w:after="0" w:line="244" w:lineRule="exact"/>
        <w:tabs>
          <w:tab w:leader="none" w:pos="22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Qualified Options may be transferred to the spouse or former spouse of the Recipient to the extent provided in a domestic relations order issued in accordance with applicable state law.</w:t>
      </w:r>
    </w:p>
    <w:p>
      <w:pPr>
        <w:spacing w:after="0" w:line="215" w:lineRule="exact"/>
        <w:rPr>
          <w:rFonts w:ascii="Arial" w:cs="Arial" w:eastAsia="Arial" w:hAnsi="Arial"/>
          <w:sz w:val="18"/>
          <w:szCs w:val="18"/>
          <w:color w:val="auto"/>
        </w:rPr>
      </w:pPr>
    </w:p>
    <w:p>
      <w:pPr>
        <w:ind w:left="660" w:right="80" w:hanging="4"/>
        <w:spacing w:after="0" w:line="218" w:lineRule="exact"/>
        <w:tabs>
          <w:tab w:leader="none" w:pos="105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Termination by Death or Disability</w:t>
      </w:r>
      <w:r>
        <w:rPr>
          <w:rFonts w:ascii="Arial" w:cs="Arial" w:eastAsia="Arial" w:hAnsi="Arial"/>
          <w:sz w:val="17"/>
          <w:szCs w:val="17"/>
          <w:color w:val="auto"/>
        </w:rPr>
        <w:t>. Unless the Option Agreement provides otherwise or the Committee determines otherwise, if a Recipient’s employment by or service to the Company or any Subsidiary or Parent Corporation terminates by reason of the Recipient’s death or Disability, the Option may thereafter be exercised, to the extent it was exercisable at the time of death or Disability (or on such accelerated basis as the Committee shall determine at or after grant), by the Recipient or the legal representative of the estate or by the legatee of the Recipient under the will of the Recipient, but it may not be exercised after one year from the date of such Disability or death or the expiration of the stated term of the Option, whichever period is shorter. In the event of termination of employment or service by reason of the Recipient’s death or Disability, if an Incentive Option is exercised after the expiration of the exercise periods that apply for purposes of Section 422 of the Code, the Option will thereafter be treated as a Non</w:t>
      </w:r>
      <w:r>
        <w:rPr>
          <w:rFonts w:ascii="MS PGothic" w:cs="MS PGothic" w:eastAsia="MS PGothic" w:hAnsi="MS PGothic"/>
          <w:sz w:val="17"/>
          <w:szCs w:val="17"/>
          <w:color w:val="auto"/>
        </w:rPr>
        <w:t>‑</w:t>
      </w:r>
      <w:r>
        <w:rPr>
          <w:rFonts w:ascii="Arial" w:cs="Arial" w:eastAsia="Arial" w:hAnsi="Arial"/>
          <w:sz w:val="17"/>
          <w:szCs w:val="17"/>
          <w:color w:val="auto"/>
        </w:rPr>
        <w:t>Qualified Option. All Options or portions thereof that are not vested at the time of termination shall automatically terminate at such time.</w:t>
      </w:r>
    </w:p>
    <w:p>
      <w:pPr>
        <w:spacing w:after="0" w:line="203" w:lineRule="exact"/>
        <w:rPr>
          <w:rFonts w:ascii="Arial" w:cs="Arial" w:eastAsia="Arial" w:hAnsi="Arial"/>
          <w:sz w:val="17"/>
          <w:szCs w:val="17"/>
          <w:color w:val="auto"/>
        </w:rPr>
      </w:pPr>
    </w:p>
    <w:p>
      <w:pPr>
        <w:ind w:left="660" w:right="60" w:hanging="4"/>
        <w:spacing w:after="0" w:line="257" w:lineRule="auto"/>
        <w:tabs>
          <w:tab w:leader="none" w:pos="105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Unless the Option Agreement provides otherwise or the Committee determines otherwise, if a Recipient’s employment by or service to the Company or any Subsidiary or Parent Corporation terminates for any reason other than the Recipient’s death or Disability, the Option may thereafter be exercised by the Recipient to the extent it was exercisable at the time of such termination for three months from the date of such termination or the expiration of the stated term of the Option, whichever period is shorter, and the portions of all Options that are not vested at the time of termination shall automatically terminate at such time.</w:t>
      </w:r>
    </w:p>
    <w:p>
      <w:pPr>
        <w:spacing w:after="0" w:line="188" w:lineRule="exact"/>
        <w:rPr>
          <w:rFonts w:ascii="Arial" w:cs="Arial" w:eastAsia="Arial" w:hAnsi="Arial"/>
          <w:sz w:val="18"/>
          <w:szCs w:val="18"/>
          <w:color w:val="auto"/>
        </w:rPr>
      </w:pPr>
    </w:p>
    <w:p>
      <w:pPr>
        <w:ind w:left="660" w:right="20" w:hanging="4"/>
        <w:spacing w:after="0" w:line="312" w:lineRule="auto"/>
        <w:tabs>
          <w:tab w:leader="none" w:pos="101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Option Cancellation or Repurchase</w:t>
      </w:r>
      <w:r>
        <w:rPr>
          <w:rFonts w:ascii="Arial" w:cs="Arial" w:eastAsia="Arial" w:hAnsi="Arial"/>
          <w:sz w:val="16"/>
          <w:szCs w:val="16"/>
          <w:color w:val="auto"/>
        </w:rPr>
        <w:t>. Notwithstanding any other provisions of the Plan or any Agreement evidencing any outstanding Option, the Company shall not be permitted to cancel any outstanding Options in exchange for the issuance of any other Award or to repurchase outstanding Options if the per share exercise price of the Option is higher than the Fair Market Value of the Stock subject to the Options.</w:t>
      </w:r>
    </w:p>
    <w:p>
      <w:pPr>
        <w:spacing w:after="0" w:line="14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Awards of Restricted Stock and Restricted Stock Units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w:t>
      </w:r>
      <w:r>
        <w:rPr>
          <w:rFonts w:ascii="Arial" w:cs="Arial" w:eastAsia="Arial" w:hAnsi="Arial"/>
          <w:sz w:val="16"/>
          <w:szCs w:val="16"/>
          <w:color w:val="auto"/>
        </w:rPr>
        <w:t>. Awards of Restricted Stock and Restricted Stock Units may be granted either alone or in addition to other Awards granted under the Plan. The Committee shall determine to whom Restricted Stock and Restricted Stock Units will be granted, the number of shares subject to Awards of Restricted Stock or Restricted Stock Units, the times or other conditions within which such an Award may be subject to forfeiture, and all other conditions of Awards of Restricted Stock or Restricted Stock Units in addition to those contained in Section 6.4 of the Plan. The Committee may also grant Restricted Stock and Restricted Stock Units in which the restrictions lapse upon the attainment of specified performance goals over a specified performance period.</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of Restricted Stock or Restricted Stock Units shall be evidenced by a written Agreement, in such form as the Committee may approve from time to time, which Agreement shall be subject to the provisions of this Plan and to such other terms and conditions as the Committee deems appropriate. The Recipient of an Award of shares of Restricted Stock or Restricted Stock Units shall not have any rights with respect to such Award unless and until such Recipient has executed an Agreement evidencing the Award, has delivered a fully executed copy thereof to the Company, and has otherwise complied with its then applicable terms and conditions.</w:t>
      </w:r>
    </w:p>
    <w:p>
      <w:pPr>
        <w:spacing w:after="0" w:line="18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Restricted Stock Award Certificate</w:t>
      </w:r>
      <w:r>
        <w:rPr>
          <w:rFonts w:ascii="Arial" w:cs="Arial" w:eastAsia="Arial" w:hAnsi="Arial"/>
          <w:sz w:val="17"/>
          <w:szCs w:val="17"/>
          <w:color w:val="auto"/>
        </w:rPr>
        <w:t>. Subject to the last sentence of this Section 6.3, each Recipient of a Restricted Stock Award shall be issued a stock certificate in respect of shares of Restricted Stock awarded under the Plan. Such certificate shall be registered in the name of the Recipient and shall bear an appropriate legend referring to the terms, conditions and restrictions applicable to such Award, substantially in the following form: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Daktronics, Inc. 2015 Stock Incentive Plan and an Agreement entered into between the registered owner and the Company. Copies of such Plan and Agreement are on file in the offices of the Secretary of the Company.</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Committee shall require that the stock certificates evidencing such shares of Stock be held in custody by the Company or its designated agent for that purpose until the restrictions thereon shall have lapsed, and that, as a condition of any Restricted Stock Award, the Recipient shall have delivered a stock power, endorsed in blank, relating to the Stock covered by such Award. The Company may issue shares of Restricted Stock without a stock certificate in book entry form if it determines it can reasonably do so in compliance with the restrictions set forth in the Agreement governing such Restricted Stock Award.</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Restrictions and Conditions on Restricted Stock Awards</w:t>
      </w:r>
      <w:r>
        <w:rPr>
          <w:rFonts w:ascii="Arial" w:cs="Arial" w:eastAsia="Arial" w:hAnsi="Arial"/>
          <w:sz w:val="18"/>
          <w:szCs w:val="18"/>
          <w:color w:val="auto"/>
        </w:rPr>
        <w:t>. The shares of Restricted Stock awarded pursuant to the Plan shall be subject to the following restrictions and conditions:</w:t>
      </w:r>
    </w:p>
    <w:p>
      <w:pPr>
        <w:spacing w:after="0" w:line="170" w:lineRule="exact"/>
        <w:rPr>
          <w:sz w:val="20"/>
          <w:szCs w:val="20"/>
          <w:color w:val="auto"/>
        </w:rPr>
      </w:pPr>
    </w:p>
    <w:p>
      <w:pPr>
        <w:ind w:left="660" w:right="20" w:hanging="4"/>
        <w:spacing w:after="0" w:line="297"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Restriction Period</w:t>
      </w:r>
      <w:r>
        <w:rPr>
          <w:rFonts w:ascii="Arial" w:cs="Arial" w:eastAsia="Arial" w:hAnsi="Arial"/>
          <w:sz w:val="16"/>
          <w:szCs w:val="16"/>
          <w:color w:val="auto"/>
        </w:rPr>
        <w:t>. Subject to the provisions of this Plan and the Award Agreement, during a period set by the Committee commencing with the date of a Restricted Stock Award (the “Restriction Period”), the Recipient shall not be permitted to sell, transfer, pledge or assign shares of Restricted Stock awarded under the Plan. If the Committee does not set a Restriction Period for any Restricted Stock Award, the Recipient shall not be permitted to sell, transfer, pledge or assign shares of Restricted Stock awarded under the Plan until the first anniversary date of the grant date of the Restricted Stock Award. Within these limits, the Committee may provide for the lapse of such restrictions in installments where deemed appropriate.</w:t>
      </w:r>
    </w:p>
    <w:p>
      <w:pPr>
        <w:spacing w:after="0" w:line="158" w:lineRule="exact"/>
        <w:rPr>
          <w:rFonts w:ascii="Arial" w:cs="Arial" w:eastAsia="Arial" w:hAnsi="Arial"/>
          <w:sz w:val="16"/>
          <w:szCs w:val="16"/>
          <w:color w:val="auto"/>
        </w:rPr>
      </w:pPr>
    </w:p>
    <w:p>
      <w:pPr>
        <w:ind w:left="660" w:hanging="4"/>
        <w:spacing w:after="0" w:line="272" w:lineRule="auto"/>
        <w:tabs>
          <w:tab w:leader="none" w:pos="105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Rights as Shareholder</w:t>
      </w:r>
      <w:r>
        <w:rPr>
          <w:rFonts w:ascii="Arial" w:cs="Arial" w:eastAsia="Arial" w:hAnsi="Arial"/>
          <w:sz w:val="17"/>
          <w:szCs w:val="17"/>
          <w:color w:val="auto"/>
        </w:rPr>
        <w:t>. Except as provided in Sections 6.4(a) and (c), or as otherwise provided in an applicable Award Agreement, the Recipient shall have, with respect to the shares of Restricted Stock, all of the rights of a shareholder of the Company, including the right to vote the shares and the right to receive any cash dividends. The Committee, in its sole discretion or as otherwise required by application of Section 409A of the Code, may require the payment of cash dividends to be deferred and, if the Committee so determines, reinvested in additional shares of Restricted Stock (to the extent shares are available under Section 3.1 of the Plan). Certificates for shares of unrestricted Stock shall be delivered to the Recipient promptly after, and only after, the period of forfeiture shall have expired without forfeiture in respect of such shares of Restricted Stock and any other conditions to the vesting of the Restricted Stock have been met.</w:t>
      </w:r>
    </w:p>
    <w:p>
      <w:pPr>
        <w:spacing w:after="0" w:line="177" w:lineRule="exact"/>
        <w:rPr>
          <w:rFonts w:ascii="Arial" w:cs="Arial" w:eastAsia="Arial" w:hAnsi="Arial"/>
          <w:sz w:val="17"/>
          <w:szCs w:val="17"/>
          <w:color w:val="auto"/>
        </w:rPr>
      </w:pPr>
    </w:p>
    <w:p>
      <w:pPr>
        <w:ind w:left="660" w:right="200" w:hanging="4"/>
        <w:spacing w:after="0" w:line="31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Performance Restrictions</w:t>
      </w:r>
      <w:r>
        <w:rPr>
          <w:rFonts w:ascii="Arial" w:cs="Arial" w:eastAsia="Arial" w:hAnsi="Arial"/>
          <w:sz w:val="16"/>
          <w:szCs w:val="16"/>
          <w:color w:val="auto"/>
        </w:rPr>
        <w:t>. Notwithstanding Section 6.4(b) above, any Award of Restricted Stock based on the achievement of performance goals shall not be considered outstanding for any purpose, and no dividends, voting or other rights of a shareholder shall attach to such shares until such time as the performance goals have been satisfied and the shares are issued to the Recipient without restriction.</w:t>
      </w:r>
    </w:p>
    <w:p>
      <w:pPr>
        <w:spacing w:after="0" w:line="146" w:lineRule="exact"/>
        <w:rPr>
          <w:rFonts w:ascii="Arial" w:cs="Arial" w:eastAsia="Arial" w:hAnsi="Arial"/>
          <w:sz w:val="16"/>
          <w:szCs w:val="16"/>
          <w:color w:val="auto"/>
        </w:rPr>
      </w:pPr>
    </w:p>
    <w:p>
      <w:pPr>
        <w:ind w:left="660" w:right="40" w:hanging="4"/>
        <w:spacing w:after="0" w:line="302" w:lineRule="auto"/>
        <w:tabs>
          <w:tab w:leader="none" w:pos="105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to the extent provided in the applicable Award Agreement, upon termination of employment or service of a Recipient for any reason during the Restriction Period, all shares of Restricted Stock then subject to restriction shall automatically terminate and be forfeited by the Recipient. The Committee may, in its sole discretion, when it finds that a waiver would be in the best interest of the Company, waive in whole or in part any or all remaining restrictions with respect to the Recipient’s shares of Restricted Stock.</w:t>
      </w:r>
    </w:p>
    <w:p>
      <w:pPr>
        <w:spacing w:after="0" w:line="154" w:lineRule="exact"/>
        <w:rPr>
          <w:rFonts w:ascii="Arial" w:cs="Arial" w:eastAsia="Arial" w:hAnsi="Arial"/>
          <w:sz w:val="16"/>
          <w:szCs w:val="16"/>
          <w:color w:val="auto"/>
        </w:rPr>
      </w:pPr>
    </w:p>
    <w:p>
      <w:pPr>
        <w:ind w:left="660" w:right="840" w:hanging="4"/>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Award Agreement, Restricted Stock Awards may not be sold, assigned, transferred, pledged or otherwise encumbered during the Restriction Period.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Terms and Conditions of Awards of Restricted Stock Units</w:t>
      </w:r>
      <w:r>
        <w:rPr>
          <w:rFonts w:ascii="Arial" w:cs="Arial" w:eastAsia="Arial" w:hAnsi="Arial"/>
          <w:sz w:val="18"/>
          <w:szCs w:val="18"/>
          <w:color w:val="auto"/>
        </w:rPr>
        <w:t>. The shares of Restricted Stock Units awarded pursuant to the Plan shall be subject to the following restrictions and conditions:</w:t>
      </w:r>
    </w:p>
    <w:p>
      <w:pPr>
        <w:spacing w:after="0" w:line="170" w:lineRule="exact"/>
        <w:rPr>
          <w:sz w:val="20"/>
          <w:szCs w:val="20"/>
          <w:color w:val="auto"/>
        </w:rPr>
      </w:pPr>
    </w:p>
    <w:p>
      <w:pPr>
        <w:ind w:left="660" w:right="40" w:hanging="4"/>
        <w:spacing w:after="0" w:line="273"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At the time of the grant of Restricted Stock Units, the Committee may impose such restrictions or conditions to the vesting of such Restricted Stock Units as it, in its sole discretion, deems appropriate, to be contained in the Award Agreement. If the Committee does not provide for a vesting period for Restricted Stock Units, the Restrictive Stock Units shall vest on the first anniversary date of the grant date of the Restricted Stock Unit. The Committee may divide Restricted Stock Units into classes and assign different vesting conditions and periods to each class. If all conditions to the vesting of a Restricted Stock Unit are satisfied, and except as provided in Section 6.5(c), upon the satisfaction of all vesting conditions with respect to a Restricted Stock Unit, such Restricted Stock Unit shall vest.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80" w:hanging="4"/>
        <w:spacing w:after="0" w:line="277" w:lineRule="auto"/>
        <w:tabs>
          <w:tab w:leader="none" w:pos="10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Shares Upon Vesting</w:t>
      </w:r>
      <w:r>
        <w:rPr>
          <w:rFonts w:ascii="Arial" w:cs="Arial" w:eastAsia="Arial" w:hAnsi="Arial"/>
          <w:sz w:val="18"/>
          <w:szCs w:val="18"/>
          <w:color w:val="auto"/>
        </w:rPr>
        <w:t>. Upon the vesting of Restricted Stock Units, the Recipient shall be entitled to receive, within 30 days following the date on which such Restricted Stock Units vest, one share of Stock for each Restricted Stock Unit that so vests.</w:t>
      </w:r>
    </w:p>
    <w:p>
      <w:pPr>
        <w:spacing w:after="0" w:line="170" w:lineRule="exact"/>
        <w:rPr>
          <w:rFonts w:ascii="Arial" w:cs="Arial" w:eastAsia="Arial" w:hAnsi="Arial"/>
          <w:sz w:val="18"/>
          <w:szCs w:val="18"/>
          <w:color w:val="auto"/>
        </w:rPr>
      </w:pPr>
    </w:p>
    <w:p>
      <w:pPr>
        <w:ind w:left="660" w:right="240" w:hanging="4"/>
        <w:spacing w:after="0" w:line="25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to the extent provided in the applicable Award Agreement, upon termination of a Recipient’s employment or service for any reason, all Restricted Stock Units shall automatically terminate and be forfeited by the Recipient. The Committee may, in its sole discretion, when it finds that a waiver would be in the best interest of the Company, waive in whole or in part any or all remaining restrictions with respect to the Recipient’s Restricted Stock Units.</w:t>
      </w:r>
    </w:p>
    <w:p>
      <w:pPr>
        <w:spacing w:after="0" w:line="186" w:lineRule="exact"/>
        <w:rPr>
          <w:rFonts w:ascii="Arial" w:cs="Arial" w:eastAsia="Arial" w:hAnsi="Arial"/>
          <w:sz w:val="18"/>
          <w:szCs w:val="18"/>
          <w:color w:val="auto"/>
        </w:rPr>
      </w:pPr>
    </w:p>
    <w:p>
      <w:pPr>
        <w:ind w:left="660" w:right="100" w:hanging="4"/>
        <w:spacing w:after="0" w:line="277" w:lineRule="auto"/>
        <w:tabs>
          <w:tab w:leader="none" w:pos="10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Award Agreement, Restricted Stock Units may not be sold, assigned, transferred, pledged or otherwise encumbered during the Restriction Period.</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Deferred Stock Awards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Grant</w:t>
      </w:r>
      <w:r>
        <w:rPr>
          <w:rFonts w:ascii="Arial" w:cs="Arial" w:eastAsia="Arial" w:hAnsi="Arial"/>
          <w:sz w:val="17"/>
          <w:szCs w:val="17"/>
          <w:color w:val="auto"/>
        </w:rPr>
        <w:t>. Deferred Stock may be awarded either alone or in addition to other Awards granted under the Plan. The Committee shall determine the duration of the period (the “Deferral Period”) during which, and the conditions under which, receipt of the Deferred Stock will be deferred, and the other terms and conditions of the Award consistent with the terms of the Plan, in addition to those contained in Section 7.2 of the Plan. If the Committee does not determine a Deferred Period for Deferred Stock, the Deferral Period shall be one anniversary date after the date the Deferred Stock is granted. The Committee may also condition the receipt of Deferred Stock upon the attainment of specified performance goals. Each Award of Deferred Stock shall be confirmed by, and subject to the terms of, an Agreement executed by the Company and the Recipient.</w:t>
      </w:r>
    </w:p>
    <w:p>
      <w:pPr>
        <w:spacing w:after="0" w:line="1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Terms and Conditions</w:t>
      </w:r>
      <w:r>
        <w:rPr>
          <w:rFonts w:ascii="Arial" w:cs="Arial" w:eastAsia="Arial" w:hAnsi="Arial"/>
          <w:sz w:val="16"/>
          <w:szCs w:val="16"/>
          <w:color w:val="auto"/>
        </w:rPr>
        <w:t>. Shares of Deferred Stock awarded pursuant to this Plan shall be subject to the following terms and conditions:</w:t>
      </w:r>
    </w:p>
    <w:p>
      <w:pPr>
        <w:spacing w:after="0" w:line="225" w:lineRule="exact"/>
        <w:rPr>
          <w:sz w:val="20"/>
          <w:szCs w:val="20"/>
          <w:color w:val="auto"/>
        </w:rPr>
      </w:pPr>
    </w:p>
    <w:p>
      <w:pPr>
        <w:ind w:left="660" w:right="120" w:hanging="4"/>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applicable Award Agreement, Deferred Stock Awards may not be sold, assigned, transferred, pledged or otherwise encumbered during the Deferral Period. At the expiration of the Deferral Period, share certificates shall be delivered to the Recipient in a number equal to the shares covered by the Deferred Stock Award.</w:t>
      </w:r>
    </w:p>
    <w:p>
      <w:pPr>
        <w:spacing w:after="0" w:line="181" w:lineRule="exact"/>
        <w:rPr>
          <w:rFonts w:ascii="Arial" w:cs="Arial" w:eastAsia="Arial" w:hAnsi="Arial"/>
          <w:sz w:val="18"/>
          <w:szCs w:val="18"/>
          <w:color w:val="auto"/>
        </w:rPr>
      </w:pPr>
    </w:p>
    <w:p>
      <w:pPr>
        <w:ind w:left="660" w:right="380" w:hanging="4"/>
        <w:spacing w:after="0" w:line="342" w:lineRule="auto"/>
        <w:tabs>
          <w:tab w:leader="none" w:pos="105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An Award of Deferred Stock shall not be considered outstanding for any purpose, and no dividends, voting or other rights of a shareholder shall attach to such shares until such time as the Deferral Period has ended and the shares are issued to the Recipient.</w:t>
      </w:r>
    </w:p>
    <w:p>
      <w:pPr>
        <w:spacing w:after="0" w:line="123" w:lineRule="exact"/>
        <w:rPr>
          <w:rFonts w:ascii="Arial" w:cs="Arial" w:eastAsia="Arial" w:hAnsi="Arial"/>
          <w:sz w:val="16"/>
          <w:szCs w:val="16"/>
          <w:color w:val="auto"/>
        </w:rPr>
      </w:pPr>
    </w:p>
    <w:p>
      <w:pPr>
        <w:ind w:left="660" w:hanging="4"/>
        <w:spacing w:after="0" w:line="279"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 Except as provided in the applicable Award Agreement, upon termination of employment or service for any reason during the Deferral Period, the Award of Deferred Stock shall automatically terminate and be forfeited by the Recipient. The Committee may, in its sole discretion, when it finds that a waiver would be in the best interest of the Company, waive in whole or in part any or all of the remaining deferral limitations imposed hereunder with respect to any or all of the Recipient’s Deferred Stock.</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Change in Control Termination</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Automatic Acceleration</w:t>
      </w:r>
      <w:r>
        <w:rPr>
          <w:rFonts w:ascii="Arial" w:cs="Arial" w:eastAsia="Arial" w:hAnsi="Arial"/>
          <w:sz w:val="17"/>
          <w:szCs w:val="17"/>
          <w:color w:val="auto"/>
        </w:rPr>
        <w:t>. Upon the occurrence of a Change in Control Termination, except as otherwise provided in an applicable Agreement, all outstanding Awards granted to a Recipient that have not theretofore vested shall immediately vest, and all restrictions on such Awards shall immediately lapse, and each Option granted to a Recipient that is outstanding at such time shall be come fully and immediately exercisable.</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Limitation on Change in Control Payments</w:t>
      </w:r>
      <w:r>
        <w:rPr>
          <w:rFonts w:ascii="Arial" w:cs="Arial" w:eastAsia="Arial" w:hAnsi="Arial"/>
          <w:sz w:val="18"/>
          <w:szCs w:val="18"/>
          <w:color w:val="auto"/>
        </w:rPr>
        <w:t>. Notwithstanding anything in Section 8.1 or Section 9 of the Plan to the contrary, if, with respect to a Recipient, the acceleration of the exercisability of an Option or the payment of cash in exchange for all or part of an Award as provided in Section 8.1 or Section 9 (which acceleration or payment could be deemed a “parachute payment” within the meaning of Section 280G(b)(2) of the Code), together with any other payments which such Recipient has the right to receive, would constitute a “parachute payment” (as defined in Section 280G(b)(2) of the Code) then, unless otherwise provided in the applicable Award Agreement, such acceleration of exercisability or vesting and payments pursuant to the Plan shall be reduced to the largest amount as, in the sole judgment of the Committee, will result in no portion of such payments being subject to the excise tax imposed by Section 4999 of the Code.</w:t>
      </w:r>
    </w:p>
    <w:p>
      <w:pPr>
        <w:spacing w:after="0" w:line="1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Additional Change in Control Provisions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provisions of Section 8, upon the occurrence of a Change in Control, the Committee shall be obligated to do one of the following in order to protect the interests of Recipients upon a Change in Control:</w:t>
      </w:r>
    </w:p>
    <w:p>
      <w:pPr>
        <w:spacing w:after="0" w:line="170" w:lineRule="exact"/>
        <w:rPr>
          <w:sz w:val="20"/>
          <w:szCs w:val="20"/>
          <w:color w:val="auto"/>
        </w:rPr>
      </w:pPr>
    </w:p>
    <w:p>
      <w:pPr>
        <w:ind w:left="660" w:right="120" w:hanging="4"/>
        <w:spacing w:after="0" w:line="308"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Substitution of Award</w:t>
      </w:r>
      <w:r>
        <w:rPr>
          <w:rFonts w:ascii="Arial" w:cs="Arial" w:eastAsia="Arial" w:hAnsi="Arial"/>
          <w:sz w:val="17"/>
          <w:szCs w:val="17"/>
          <w:color w:val="auto"/>
        </w:rPr>
        <w:t>. Make appropriate provision for the protection of outstanding Awards granted under this Plan by the substitution, in lieu of such Awards, of other Awards, which other Awards are designed to preserve the value of the Awards granted under the Plan;</w:t>
      </w:r>
    </w:p>
    <w:p>
      <w:pPr>
        <w:spacing w:after="0" w:line="146" w:lineRule="exact"/>
        <w:rPr>
          <w:rFonts w:ascii="Arial" w:cs="Arial" w:eastAsia="Arial" w:hAnsi="Arial"/>
          <w:sz w:val="17"/>
          <w:szCs w:val="17"/>
          <w:color w:val="auto"/>
        </w:rPr>
      </w:pPr>
    </w:p>
    <w:p>
      <w:pPr>
        <w:jc w:val="both"/>
        <w:ind w:left="660" w:right="120" w:hanging="4"/>
        <w:spacing w:after="0" w:line="312" w:lineRule="auto"/>
        <w:tabs>
          <w:tab w:leader="none" w:pos="105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Cancellation of Options</w:t>
      </w:r>
      <w:r>
        <w:rPr>
          <w:rFonts w:ascii="Arial" w:cs="Arial" w:eastAsia="Arial" w:hAnsi="Arial"/>
          <w:sz w:val="16"/>
          <w:szCs w:val="16"/>
          <w:color w:val="auto"/>
        </w:rPr>
        <w:t>. With respect to any Option, declare, at least 20 days before the Change in Control, and provide written notice to each Recipient of the declaration, that each outstanding Option, whether or not then exercisable, shall be cancelled at the time of, or immediately prior to the occurrence of, the Change in Control (unless it shall have been exercised prior to the occurrence of the Change in Control); and/or</w:t>
      </w:r>
    </w:p>
    <w:p>
      <w:pPr>
        <w:spacing w:after="0" w:line="146" w:lineRule="exact"/>
        <w:rPr>
          <w:rFonts w:ascii="Arial" w:cs="Arial" w:eastAsia="Arial" w:hAnsi="Arial"/>
          <w:sz w:val="16"/>
          <w:szCs w:val="16"/>
          <w:color w:val="auto"/>
        </w:rPr>
      </w:pPr>
    </w:p>
    <w:p>
      <w:pPr>
        <w:ind w:left="660" w:right="180" w:hanging="4"/>
        <w:spacing w:after="0" w:line="30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Cash Payment</w:t>
      </w:r>
      <w:r>
        <w:rPr>
          <w:rFonts w:ascii="Arial" w:cs="Arial" w:eastAsia="Arial" w:hAnsi="Arial"/>
          <w:sz w:val="16"/>
          <w:szCs w:val="16"/>
          <w:color w:val="auto"/>
        </w:rPr>
        <w:t>. Cause payment to be made, within 20 days after a Change in Control, in exchange for each cancelled Award to each Recipient of an Award that is cancelled, of an amount of cash equal to the Fair Market Value for each share of Stock covered by the cancelled Award, except that with respect to any cancelled Option, cash equal to the amount (if any) by which the per share transaction consideration, taking into account such factors as the Committee deems appropriate in determining this value, exceeds the exercise price per share of Stock covered by such Option.</w:t>
      </w:r>
    </w:p>
    <w:p>
      <w:pPr>
        <w:spacing w:after="0" w:line="1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Notwithstanding the foregoing, no Recipient of an Award shall be entitled to the payment provided in this Section 9 if such Award has expired or was cancelled pursuant to the terms of the Plan or the applicable Agreement.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Substitute Awards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Purpose</w:t>
      </w:r>
      <w:r>
        <w:rPr>
          <w:rFonts w:ascii="Arial" w:cs="Arial" w:eastAsia="Arial" w:hAnsi="Arial"/>
          <w:sz w:val="17"/>
          <w:szCs w:val="17"/>
          <w:color w:val="auto"/>
        </w:rPr>
        <w:t>. Awards may be granted under this Plan from time to time in substitution for Awards held by Employees of other corporations who are about to become Employees of the Company, or any Parent Corporation or Subsidiary thereof, or whose employer is about to become a Subsidiary of the Company, as the result of a merger or consolidation of the Company or its Subsidiary with another corporation, the acquisition by the Company or its Subsidiary of all or substantially all the assets of another corporation, the acquisition by the Company or its Subsidiary of at least 50% of the issued and outstanding stock of another corporation, or such other similar corporate transaction as determined by the Committee, in its sole discretion.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To the extent permitted by applicable law, the terms and conditions of the substitute Award granted pursuant to Section 10.1 may vary from the terms and conditions set forth in this Plan to such extent as the Committee at the time of the grant may deem appropriate to conform, in whole or in part, to the provisions of the Stock Awards in substitution for which they are granted; provided, however, with respect to Incentive Options, unless otherwise determined by the Committee, no such variation shall be permitted that affects the status of any such substitute Option as an Incentive Option.</w:t>
      </w:r>
    </w:p>
    <w:p>
      <w:pPr>
        <w:spacing w:after="0" w:line="15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General Provisions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No Stock will be issued pursuant to the Plan unless in compliance with applicable legal requirements including, without limitation, those relating to securities laws and stock exchange listing requirements. The Committee may require each Recipient receiving Stock pursuant to an Award under the Plan to represent to and agree with the Company in writing that such person is acquiring the Stock without a view to distribution thereof.</w:t>
      </w:r>
    </w:p>
    <w:p>
      <w:pPr>
        <w:spacing w:after="0" w:line="147"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Stop Transfer Orders</w:t>
      </w:r>
      <w:r>
        <w:rPr>
          <w:rFonts w:ascii="Arial" w:cs="Arial" w:eastAsia="Arial" w:hAnsi="Arial"/>
          <w:sz w:val="17"/>
          <w:szCs w:val="17"/>
          <w:color w:val="auto"/>
        </w:rPr>
        <w:t>. All certificates for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and any applicable federal or state securities laws, and the Committee may cause a legend or legends to be put on any such certificates to make appropriate reference to such restrictions. The issuance of Stock may be effected on a non</w:t>
      </w:r>
      <w:r>
        <w:rPr>
          <w:rFonts w:ascii="MS PGothic" w:cs="MS PGothic" w:eastAsia="MS PGothic" w:hAnsi="MS PGothic"/>
          <w:sz w:val="17"/>
          <w:szCs w:val="17"/>
          <w:color w:val="auto"/>
        </w:rPr>
        <w:t>‑</w:t>
      </w:r>
      <w:r>
        <w:rPr>
          <w:rFonts w:ascii="Arial" w:cs="Arial" w:eastAsia="Arial" w:hAnsi="Arial"/>
          <w:sz w:val="17"/>
          <w:szCs w:val="17"/>
          <w:color w:val="auto"/>
        </w:rPr>
        <w:t>certificated basis to the extent not prohibited by applicable law or the applicable rules of any stock exchange upon which the Stock is then traded.</w:t>
      </w:r>
    </w:p>
    <w:p>
      <w:pPr>
        <w:spacing w:after="0" w:line="20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 Rights as a Shareholder</w:t>
      </w:r>
      <w:r>
        <w:rPr>
          <w:rFonts w:ascii="Arial" w:cs="Arial" w:eastAsia="Arial" w:hAnsi="Arial"/>
          <w:sz w:val="16"/>
          <w:szCs w:val="16"/>
          <w:color w:val="auto"/>
        </w:rPr>
        <w:t>. Unless otherwise provided by the Committee, in the Plan or in an Award Agreement or in any other written agreement between a Recipient and the Company or a Subsidiary of the Company, no Award shall entitle the Recipient to any cash dividend, voting or other rights of a shareholder of the Company unless and until the date of issuance under the Plan of any shares of Stock that are subject to such Award.</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Effect of Transfer/Leave of Absence</w:t>
      </w:r>
      <w:r>
        <w:rPr>
          <w:rFonts w:ascii="Arial" w:cs="Arial" w:eastAsia="Arial" w:hAnsi="Arial"/>
          <w:sz w:val="16"/>
          <w:szCs w:val="16"/>
          <w:color w:val="auto"/>
        </w:rPr>
        <w:t>. For purposes of any Incentive Option, the following events shall not be deemed a termination of employment: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300" w:hanging="4"/>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A transfer of an Employee from the Company to a Parent Corporation or a Subsidiary, or a transfer of an Employee from a Parent Corporation or a Subsidiary to the Company or any other Parent Corporation or Subsidiary;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A leave of absence approved in writing by the Company; and;</w:t>
      </w:r>
    </w:p>
    <w:p>
      <w:pPr>
        <w:spacing w:after="0" w:line="225" w:lineRule="exact"/>
        <w:rPr>
          <w:rFonts w:ascii="Arial" w:cs="Arial" w:eastAsia="Arial" w:hAnsi="Arial"/>
          <w:sz w:val="18"/>
          <w:szCs w:val="18"/>
          <w:color w:val="auto"/>
        </w:rPr>
      </w:pPr>
    </w:p>
    <w:p>
      <w:pPr>
        <w:ind w:left="660" w:right="220" w:hanging="4"/>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Military Leave</w:t>
      </w:r>
      <w:r>
        <w:rPr>
          <w:rFonts w:ascii="Arial" w:cs="Arial" w:eastAsia="Arial" w:hAnsi="Arial"/>
          <w:sz w:val="18"/>
          <w:szCs w:val="18"/>
          <w:color w:val="auto"/>
        </w:rPr>
        <w:t>. A military leave in which the Employee’s right to reemployment is guaranteed under the provisions of the Uniform Services Employment and Reemployment Rights Act (USERRA) and regulations promulgated thereunder.</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Tax Withholding</w:t>
      </w:r>
      <w:r>
        <w:rPr>
          <w:rFonts w:ascii="Arial" w:cs="Arial" w:eastAsia="Arial" w:hAnsi="Arial"/>
          <w:sz w:val="16"/>
          <w:szCs w:val="16"/>
          <w:color w:val="auto"/>
        </w:rPr>
        <w:t>. Each Recipient shall, no later than the date as of which any part of the value of an Award first becomes includable as compensation in the gross income of the Recipient for federal income tax purposes, pay to the Company, or make arrangements satisfactory to the Committee regarding payment of, any federal, state or local taxes of any kind required by law to be withheld with respect to the Award. The obligations of the Company under the Plan shall be conditional on such payment or arrangements, and the Company, any Parent Corporation and any Subsidiary shall, to the extent permitted by law, have the right to deduct any such taxes from any payment of any kind otherwise due from it to the Recipient. If the terms of an Award so permit, a Recipient may elect by written notice to the Company to satisfy part or all of the withholding tax requirements associated with the Award by:</w:t>
      </w:r>
    </w:p>
    <w:p>
      <w:pPr>
        <w:spacing w:after="0" w:line="165" w:lineRule="exact"/>
        <w:rPr>
          <w:sz w:val="20"/>
          <w:szCs w:val="20"/>
          <w:color w:val="auto"/>
        </w:rPr>
      </w:pPr>
    </w:p>
    <w:p>
      <w:pPr>
        <w:ind w:left="1040" w:hanging="384"/>
        <w:spacing w:after="0"/>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Retain Stock</w:t>
      </w:r>
      <w:r>
        <w:rPr>
          <w:rFonts w:ascii="Arial" w:cs="Arial" w:eastAsia="Arial" w:hAnsi="Arial"/>
          <w:sz w:val="16"/>
          <w:szCs w:val="16"/>
          <w:color w:val="auto"/>
        </w:rPr>
        <w:t>. Authorizing the Company to retain from the number of shares of Stock that would otherwise be deliverable to the Recipient; or</w:t>
      </w:r>
    </w:p>
    <w:p>
      <w:pPr>
        <w:spacing w:after="0" w:line="248" w:lineRule="exact"/>
        <w:rPr>
          <w:rFonts w:ascii="Arial" w:cs="Arial" w:eastAsia="Arial" w:hAnsi="Arial"/>
          <w:sz w:val="16"/>
          <w:szCs w:val="16"/>
          <w:color w:val="auto"/>
        </w:rPr>
      </w:pPr>
    </w:p>
    <w:p>
      <w:pPr>
        <w:ind w:left="660" w:right="220" w:hanging="4"/>
        <w:spacing w:after="0" w:line="286" w:lineRule="auto"/>
        <w:tabs>
          <w:tab w:leader="none" w:pos="105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Delivering of Held Stock</w:t>
      </w:r>
      <w:r>
        <w:rPr>
          <w:rFonts w:ascii="Arial" w:cs="Arial" w:eastAsia="Arial" w:hAnsi="Arial"/>
          <w:sz w:val="17"/>
          <w:szCs w:val="17"/>
          <w:color w:val="auto"/>
        </w:rPr>
        <w:t>. Delivering to the Company from Stock already owned by the Recipient, that number of shares of Stock having an aggregate Fair Market Value equal to part or all of the tax payable by the Recipient under this Section, and if shares of Stock are withheld, the amount withheld shall not exceed the minimum required federal, state and FICA withholding amount.</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such election shall be in accordance with, and subject to, applicable tax and securities laws, regulations and rulings, accounting rules, regulations and requirement and any other rules or regulations established by the Committee.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Right to Employment, Service or Awards</w:t>
      </w:r>
      <w:r>
        <w:rPr>
          <w:rFonts w:ascii="Arial" w:cs="Arial" w:eastAsia="Arial" w:hAnsi="Arial"/>
          <w:sz w:val="16"/>
          <w:szCs w:val="16"/>
          <w:color w:val="auto"/>
        </w:rPr>
        <w:t>. The granting of an Award under the Plan shall impose no obligation on the Company, its Subsidiary or any Parent Corporation to continue the employment of a Recipient and shall not lessen or affect the Company’s, its Subsidiary’s or its Parent Corporation’s right to terminate the employment of such Recipient. Nothing in the Plan shall interfere with or limit in any way the right of the Company, the Board or the Company’s shareholders to terminate the directorship of any Director at any time, nor confer upon any Director any right to continue to serve as a Director of the Company. Nothing in the Plan shall interfere with or limit in any way the right of the Company or the Board to terminate the service of any Consultant at any time, nor confer upon any Consultant any right to continue to serve as a Consultant to the Company. No Recipient or other person shall have any claim to be granted any Award, and there is no obligation for uniform treatment of Recipients or holders or beneficiaries of Awards. The terms and conditions of Awards and the Committee’s determinations and interpretations with respect thereto need not be the same with respect to each Recipient.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Recipient under an Award shall not be deemed a part of a Recipient’s regular, recurring compensation for purposes of any termination, indemnity or severance pay laws and shall not be included in, nor have any effect on, the determination of benefits under any other employee benefit plan, contract or similar arrangement provided by the Company, its Subsidiary or its Parent Corporation,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all successors and assigns of the Company and a Recipient including, without limitation, the estate of such Recipient and the executor, administrator or trustee of such estate, or any receiver or trustee in bankruptcy or representative of the Recipient’s creditors.</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Nontransferability of Awards; Designation of Beneficiary</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60" w:hanging="4"/>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Unless otherwise expressly provided in this Plan or in the applicable Award Agreement, no Award or interest in an Award may be sold, assigned, pledged (as collateral for a loan or as security for the performance of an obligation or for any other purpose) or transferred by a Recipient or made subject to attachment 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spacing w:after="0" w:line="221" w:lineRule="exact"/>
        <w:rPr>
          <w:sz w:val="20"/>
          <w:szCs w:val="20"/>
          <w:color w:val="auto"/>
        </w:rPr>
      </w:pPr>
      <w:r>
        <w:rPr>
          <w:rFonts w:ascii="Arial" w:cs="Arial" w:eastAsia="Arial" w:hAnsi="Arial"/>
          <w:sz w:val="17"/>
          <w:szCs w:val="17"/>
          <w:color w:val="auto"/>
        </w:rPr>
        <w:t>similar proceedings otherwise than by will or by the applicable laws of descent and distribution, except to the extent a Recipient designates one or more beneficiaries on a Company</w:t>
      </w:r>
      <w:r>
        <w:rPr>
          <w:rFonts w:ascii="MS PGothic" w:cs="MS PGothic" w:eastAsia="MS PGothic" w:hAnsi="MS PGothic"/>
          <w:sz w:val="17"/>
          <w:szCs w:val="17"/>
          <w:color w:val="auto"/>
        </w:rPr>
        <w:t>‑</w:t>
      </w:r>
      <w:r>
        <w:rPr>
          <w:rFonts w:ascii="Arial" w:cs="Arial" w:eastAsia="Arial" w:hAnsi="Arial"/>
          <w:sz w:val="17"/>
          <w:szCs w:val="17"/>
          <w:color w:val="auto"/>
        </w:rPr>
        <w:t>approved form, as set forth in Section 11.9(b) of this Plan, who may exercise the Award or receive payment under the Award after the Recipient’s death, and during a Recipient’s lifetime, an Award may be exercised only by the Recipient.</w:t>
      </w:r>
    </w:p>
    <w:p>
      <w:pPr>
        <w:spacing w:after="0" w:line="202" w:lineRule="exact"/>
        <w:rPr>
          <w:sz w:val="20"/>
          <w:szCs w:val="20"/>
          <w:color w:val="auto"/>
        </w:rPr>
      </w:pPr>
    </w:p>
    <w:p>
      <w:pPr>
        <w:ind w:left="660" w:right="40" w:hanging="4"/>
        <w:spacing w:after="0" w:line="276" w:lineRule="auto"/>
        <w:tabs>
          <w:tab w:leader="none" w:pos="105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A Recipient may designate a beneficiary to succeed to the Recipient’s Awards under the Plan in the event of the Recipient’s death by filing a beneficiary form with the Company and, upon the death of the Recipient, such beneficiary shall succeed to the rights of the Recipient to the extent permitted by law, the terms of this Plan and the applicable Award Agreement. In the absence of a validly designated beneficiary who is living at the time of the Recipient’s death, the Recipient’s executor or administrator of the Recipient’s estate shall succeed to the Awards, which shall be transferable by will or pursuant to laws of descent and distribution.</w:t>
      </w:r>
    </w:p>
    <w:p>
      <w:pPr>
        <w:spacing w:after="0" w:line="17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International Recipients</w:t>
      </w:r>
      <w:r>
        <w:rPr>
          <w:rFonts w:ascii="Arial" w:cs="Arial" w:eastAsia="Arial" w:hAnsi="Arial"/>
          <w:sz w:val="17"/>
          <w:szCs w:val="17"/>
          <w:color w:val="auto"/>
        </w:rPr>
        <w:t>. With respect to Recipients who reside or work outside the United States of America, the Committee may, in its sole discretion, amend the terms of the Plan or adopt such modifications, procedures or subplans with respect to such Recipients as are necessary or desirable to ensure the viability of the benefits of the Plan, comply with applicable foreign laws or obtain more favorable tax or other treatment for a Recipient, the Company, a Subsidiary or a Parent Corporation; provided, however, that no such changes shall apply to the Awards to Recipients who may be “covered employees” under Section 162(m) of the Code or any successor thereto unless consistent with the provisions thereof.</w:t>
      </w:r>
    </w:p>
    <w:p>
      <w:pPr>
        <w:spacing w:after="0" w:line="1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No Trust or Fund</w:t>
      </w:r>
      <w:r>
        <w:rPr>
          <w:rFonts w:ascii="Arial" w:cs="Arial" w:eastAsia="Arial" w:hAnsi="Arial"/>
          <w:sz w:val="17"/>
          <w:szCs w:val="17"/>
          <w:color w:val="auto"/>
        </w:rPr>
        <w:t>. The Plan is intended to constitute an “unfunded” plan. Nothing contained herein shall require the Company to segregate any monies, other property, or shares of Stock, or to create any trusts, or to make any special deposits for any immediate or deferred amounts payable to any Recipient, and no Recipient shall have any rights that are greater than those of a general unsecured creditor of the Company.</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held illegal or invalid for any reason, such illegality or invalidity shall not affect the remaining parts of the Plan or Award Agreement, and such Plan or Award Agreement shall be construed and enforced as if the illegal or invalid provision had not been included.</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 Amendments and Termination</w:t>
      </w:r>
    </w:p>
    <w:p>
      <w:pPr>
        <w:spacing w:after="0" w:line="229" w:lineRule="exact"/>
        <w:rPr>
          <w:sz w:val="20"/>
          <w:szCs w:val="20"/>
          <w:color w:val="auto"/>
        </w:rPr>
      </w:pPr>
    </w:p>
    <w:p>
      <w:pPr>
        <w:ind w:left="660" w:right="80" w:hanging="4"/>
        <w:spacing w:after="0" w:line="264"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Plan shall commence on the Effective Date and shall terminate on September 2, 2020 or at such earlier date as the Committee shall determine, and no Award may be granted under the Plan after September 2, 2020. The termination of this Plan shall not affect any Awards then outstanding under the Plan.</w:t>
      </w:r>
    </w:p>
    <w:p>
      <w:pPr>
        <w:spacing w:after="0" w:line="181" w:lineRule="exact"/>
        <w:rPr>
          <w:rFonts w:ascii="Arial" w:cs="Arial" w:eastAsia="Arial" w:hAnsi="Arial"/>
          <w:sz w:val="18"/>
          <w:szCs w:val="18"/>
          <w:color w:val="auto"/>
        </w:rPr>
      </w:pPr>
    </w:p>
    <w:p>
      <w:pPr>
        <w:ind w:left="660" w:hanging="4"/>
        <w:spacing w:after="0" w:line="288" w:lineRule="auto"/>
        <w:tabs>
          <w:tab w:leader="none" w:pos="105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Board may amend, alter or discontinue the Plan, but no amendment, alteration, or discontinuation shall be made which would impair the rights of a Recipient under an Award theretofore granted without the Recipient’s or Recipient’s consent. The Board shall obtain approval of the Company’s shareholders for any amendment that would require such approval in order to satisfy the requirements of Section 162(m) of the Code, Section 422 of the Code, stock exchange rules or other applicable law. The Committee may amend the terms of any Award theretofore granted prospectively or retroactively; however, subject to Sections 3, 8 and 9 of the Plan, no such amendment shall impair the rights of any Recipient without his, her or its consent. Adjustments made by the Committee pursuant to Section 3.2 (relating to share counting), Section 3.3 (relating to adjustments of Stock) and Section 9 shall not be subject to the limitations of this Section 12. Notwithstanding the foregoing provisions of this Section 12, neither the Plan nor any outstanding Option shall be amended to decrease the exercise price of such Award unless first approved by the requisite vote of the shareholders, and neither the Plan nor any outstanding Agreement shall be amended in any way that would cause an outstanding Award that is not subject to the tax described in Section 409A of the Code to be subject to such tax.</w:t>
      </w:r>
    </w:p>
    <w:p>
      <w:pPr>
        <w:spacing w:after="0" w:line="16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that federal laws do not otherwise control, this Plan and all determinations made and actions taken under this Plan shall be governed by the laws of the State of South Dakota, without regard to the conflicts of law provisions thereof, and construed accordingly.</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Effective Date of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on the date it is approved by the Company’s shareholders, which was September 2,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58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79584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219"/>
          </w:cols>
          <w:pgMar w:left="240" w:top="125" w:right="1440"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32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793242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24"/>
    </w:lvl>
  </w:abstractNum>
  <w:abstractNum w:abstractNumId="1">
    <w:nsid w:val="3A95F874"/>
    <w:multiLevelType w:val="hybridMultilevel"/>
    <w:lvl w:ilvl="0">
      <w:lvlJc w:val="left"/>
      <w:lvlText w:val="[%1]"/>
      <w:numFmt w:val="upperLetter"/>
      <w:start w:val="24"/>
    </w:lvl>
  </w:abstractNum>
  <w:abstractNum w:abstractNumId="2">
    <w:nsid w:val="8138641"/>
    <w:multiLevelType w:val="hybridMultilevel"/>
    <w:lvl w:ilvl="0">
      <w:lvlJc w:val="left"/>
      <w:lvlText w:val="1"/>
      <w:numFmt w:val="bullet"/>
      <w:start w:val="1"/>
    </w:lvl>
  </w:abstractNum>
  <w:abstractNum w:abstractNumId="3">
    <w:nsid w:val="1E7FF521"/>
    <w:multiLevelType w:val="hybridMultilevel"/>
    <w:lvl w:ilvl="0">
      <w:lvlJc w:val="left"/>
      <w:lvlText w:val="2"/>
      <w:numFmt w:val="bullet"/>
      <w:start w:val="1"/>
    </w:lvl>
  </w:abstractNum>
  <w:abstractNum w:abstractNumId="4">
    <w:nsid w:val="7C3DBD3D"/>
    <w:multiLevelType w:val="hybridMultilevel"/>
    <w:lvl w:ilvl="0">
      <w:lvlJc w:val="left"/>
      <w:lvlText w:val="3"/>
      <w:numFmt w:val="bullet"/>
      <w:start w:val="1"/>
    </w:lvl>
  </w:abstractNum>
  <w:abstractNum w:abstractNumId="5">
    <w:nsid w:val="737B8DDC"/>
    <w:multiLevelType w:val="hybridMultilevel"/>
    <w:lvl w:ilvl="0">
      <w:lvlJc w:val="left"/>
      <w:lvlText w:val="4"/>
      <w:numFmt w:val="bullet"/>
      <w:start w:val="1"/>
    </w:lvl>
  </w:abstractNum>
  <w:abstractNum w:abstractNumId="6">
    <w:nsid w:val="6CEAF087"/>
    <w:multiLevelType w:val="hybridMultilevel"/>
    <w:lvl w:ilvl="0">
      <w:lvlJc w:val="left"/>
      <w:lvlText w:val="5"/>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bullet"/>
      <w:start w:val="1"/>
    </w:lvl>
  </w:abstractNum>
  <w:abstractNum w:abstractNumId="9">
    <w:nsid w:val="3006C83E"/>
    <w:multiLevelType w:val="hybridMultilevel"/>
    <w:lvl w:ilvl="0">
      <w:lvlJc w:val="left"/>
      <w:lvlText w:val="2"/>
      <w:numFmt w:val="bullet"/>
      <w:start w:val="1"/>
    </w:lvl>
  </w:abstractNum>
  <w:abstractNum w:abstractNumId="10">
    <w:nsid w:val="614FD4A1"/>
    <w:multiLevelType w:val="hybridMultilevel"/>
    <w:lvl w:ilvl="0">
      <w:lvlJc w:val="left"/>
      <w:lvlText w:val="3"/>
      <w:numFmt w:val="bullet"/>
      <w:start w:val="1"/>
    </w:lvl>
  </w:abstractNum>
  <w:abstractNum w:abstractNumId="11">
    <w:nsid w:val="419AC241"/>
    <w:multiLevelType w:val="hybridMultilevel"/>
    <w:lvl w:ilvl="0">
      <w:lvlJc w:val="left"/>
      <w:lvlText w:val="4"/>
      <w:numFmt w:val="bullet"/>
      <w:start w:val="1"/>
    </w:lvl>
  </w:abstractNum>
  <w:abstractNum w:abstractNumId="12">
    <w:nsid w:val="5577F8E1"/>
    <w:multiLevelType w:val="hybridMultilevel"/>
    <w:lvl w:ilvl="0">
      <w:lvlJc w:val="left"/>
      <w:lvlText w:val="%1."/>
      <w:numFmt w:val="decimal"/>
      <w:start w:val="2"/>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lvl w:ilvl="1">
      <w:lvlJc w:val="left"/>
      <w:lvlText w:val="(%2)"/>
      <w:numFmt w:val="decimal"/>
      <w:start w:val="1"/>
    </w:lvl>
  </w:abstractNum>
  <w:abstractNum w:abstractNumId="16">
    <w:nsid w:val="77465F01"/>
    <w:multiLevelType w:val="hybridMultilevel"/>
    <w:lvl w:ilvl="0">
      <w:lvlJc w:val="left"/>
      <w:lvlText w:val="(%1)"/>
      <w:numFmt w:val="decimal"/>
      <w:start w:val="7"/>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2"/>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
    <w:nsid w:val="4B588F54"/>
    <w:multiLevelType w:val="hybridMultilevel"/>
    <w:lvl w:ilvl="0">
      <w:lvlJc w:val="left"/>
      <w:lvlText w:val="%1"/>
      <w:numFmt w:val="lowerLetter"/>
      <w:start w:val="1"/>
    </w:lvl>
    <w:lvl w:ilvl="1">
      <w:lvlJc w:val="left"/>
      <w:lvlText w:val="(%2)"/>
      <w:numFmt w:val="lowerRoman"/>
      <w:start w:val="2"/>
    </w:lvl>
  </w:abstractNum>
  <w:abstractNum w:abstractNumId="35">
    <w:nsid w:val="542289EC"/>
    <w:multiLevelType w:val="hybridMultilevel"/>
    <w:lvl w:ilvl="0">
      <w:lvlJc w:val="left"/>
      <w:lvlText w:val="(%1)"/>
      <w:numFmt w:val="lowerLetter"/>
      <w:start w:val="6"/>
    </w:lvl>
    <w:lvl w:ilvl="1">
      <w:lvlJc w:val="left"/>
      <w:lvlText w:val="(%2)"/>
      <w:numFmt w:val="lowerRoman"/>
      <w:start w:val="1"/>
    </w:lvl>
  </w:abstractNum>
  <w:abstractNum w:abstractNumId="36">
    <w:nsid w:val="6DE91B18"/>
    <w:multiLevelType w:val="hybridMultilevel"/>
    <w:lvl w:ilvl="0">
      <w:lvlJc w:val="left"/>
      <w:lvlText w:val="(%1)"/>
      <w:numFmt w:val="lowerLetter"/>
      <w:start w:val="12"/>
    </w:lvl>
    <w:lvl w:ilvl="1">
      <w:lvlJc w:val="left"/>
      <w:lvlText w:val="(%2)"/>
      <w:numFmt w:val="lowerRoman"/>
      <w:start w:val="1"/>
    </w:lvl>
  </w:abstractNum>
  <w:abstractNum w:abstractNumId="37">
    <w:nsid w:val="38437FDB"/>
    <w:multiLevelType w:val="hybridMultilevel"/>
    <w:lvl w:ilvl="0">
      <w:lvlJc w:val="left"/>
      <w:lvlText w:val="(%1)"/>
      <w:numFmt w:val="lowerLetter"/>
      <w:start w:val="15"/>
    </w:lvl>
    <w:lvl w:ilvl="1">
      <w:lvlJc w:val="left"/>
      <w:lvlText w:val="(%2)"/>
      <w:numFmt w:val="lowerRoman"/>
      <w:start w:val="1"/>
    </w:lvl>
  </w:abstractNum>
  <w:abstractNum w:abstractNumId="38">
    <w:nsid w:val="7644A45C"/>
    <w:multiLevelType w:val="hybridMultilevel"/>
    <w:lvl w:ilvl="0">
      <w:lvlJc w:val="left"/>
      <w:lvlText w:val="(%1)"/>
      <w:numFmt w:val="lowerLetter"/>
      <w:start w:val="21"/>
    </w:lvl>
  </w:abstractNum>
  <w:abstractNum w:abstractNumId="39">
    <w:nsid w:val="32FFF902"/>
    <w:multiLevelType w:val="hybridMultilevel"/>
    <w:lvl w:ilvl="0">
      <w:lvlJc w:val="left"/>
      <w:lvlText w:val="(%1)"/>
      <w:numFmt w:val="lowerLetter"/>
      <w:start w:val="27"/>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3"/>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2"/>
    </w:lvl>
    <w:lvl w:ilvl="1">
      <w:lvlJc w:val="left"/>
      <w:lvlText w:val="(%2)"/>
      <w:numFmt w:val="lowerRoman"/>
      <w:start w:val="1"/>
    </w:lvl>
  </w:abstractNum>
  <w:abstractNum w:abstractNumId="45">
    <w:nsid w:val="79A1DEAA"/>
    <w:multiLevelType w:val="hybridMultilevel"/>
    <w:lvl w:ilvl="0">
      <w:lvlJc w:val="left"/>
      <w:lvlText w:val="%1"/>
      <w:numFmt w:val="lowerLetter"/>
      <w:start w:val="1"/>
    </w:lvl>
    <w:lvl w:ilvl="1">
      <w:lvlJc w:val="left"/>
      <w:lvlText w:val="(%2)"/>
      <w:numFmt w:val="lowerLetter"/>
      <w:start w:val="61"/>
    </w:lvl>
  </w:abstractNum>
  <w:abstractNum w:abstractNumId="46">
    <w:nsid w:val="75C6C33A"/>
    <w:multiLevelType w:val="hybridMultilevel"/>
    <w:lvl w:ilvl="0">
      <w:lvlJc w:val="left"/>
      <w:lvlText w:val="(%1)"/>
      <w:numFmt w:val="lowerLetter"/>
      <w:start w:val="7"/>
    </w:lvl>
    <w:lvl w:ilvl="1">
      <w:lvlJc w:val="left"/>
      <w:lvlText w:val="%2"/>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lowerLetter"/>
      <w:start w:val="2"/>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2019-12-06T10:03:56Z</dcterms:created>
  <dcterms:modified xsi:type="dcterms:W3CDTF">2019-12-06T10:03:56Z</dcterms:modified>
</cp:coreProperties>
</file>