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8" w:lineRule="exact"/>
        <w:rPr>
          <w:sz w:val="24"/>
          <w:szCs w:val="24"/>
          <w:color w:val="auto"/>
        </w:rPr>
      </w:pPr>
    </w:p>
    <w:p>
      <w:pPr>
        <w:jc w:val="center"/>
        <w:ind w:right="3360"/>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ANNUAL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April 29, 2017</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Pr>
          <w:p>
            <w:pPr>
              <w:spacing w:after="0"/>
              <w:rPr>
                <w:sz w:val="16"/>
                <w:szCs w:val="16"/>
                <w:color w:val="auto"/>
              </w:rPr>
            </w:pPr>
          </w:p>
        </w:tc>
        <w:tc>
          <w:tcPr>
            <w:tcW w:w="6800" w:type="dxa"/>
            <w:vAlign w:val="bottom"/>
            <w:gridSpan w:val="3"/>
          </w:tcPr>
          <w:p>
            <w:pPr>
              <w:jc w:val="center"/>
              <w:ind w:right="4539"/>
              <w:spacing w:after="0"/>
              <w:rPr>
                <w:sz w:val="20"/>
                <w:szCs w:val="20"/>
                <w:color w:val="auto"/>
              </w:rPr>
            </w:pPr>
            <w:r>
              <w:rPr>
                <w:rFonts w:ascii="Arial" w:cs="Arial" w:eastAsia="Arial" w:hAnsi="Arial"/>
                <w:sz w:val="16"/>
                <w:szCs w:val="16"/>
                <w:b w:val="1"/>
                <w:bCs w:val="1"/>
                <w:color w:val="auto"/>
                <w:w w:val="92"/>
              </w:rPr>
              <w:t>Daktronics, Inc.</w:t>
            </w: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51"/>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South Dakota</w:t>
            </w:r>
          </w:p>
        </w:tc>
        <w:tc>
          <w:tcPr>
            <w:tcW w:w="6800" w:type="dxa"/>
            <w:vAlign w:val="bottom"/>
            <w:gridSpan w:val="3"/>
          </w:tcPr>
          <w:p>
            <w:pPr>
              <w:jc w:val="right"/>
              <w:ind w:right="2319"/>
              <w:spacing w:after="0"/>
              <w:rPr>
                <w:sz w:val="20"/>
                <w:szCs w:val="20"/>
                <w:color w:val="auto"/>
              </w:rPr>
            </w:pPr>
            <w:r>
              <w:rPr>
                <w:rFonts w:ascii="Arial" w:cs="Arial" w:eastAsia="Arial" w:hAnsi="Arial"/>
                <w:sz w:val="16"/>
                <w:szCs w:val="16"/>
                <w:b w:val="1"/>
                <w:bCs w:val="1"/>
                <w:color w:val="auto"/>
              </w:rPr>
              <w:t>46-0306862</w:t>
            </w:r>
          </w:p>
        </w:tc>
      </w:tr>
      <w:tr>
        <w:trPr>
          <w:trHeight w:val="33"/>
        </w:trPr>
        <w:tc>
          <w:tcPr>
            <w:tcW w:w="4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3"/>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4"/>
              </w:rPr>
              <w:t>(State or other jurisdiction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3"/>
              </w:rPr>
              <w:t>incorporation or organization)</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505"/>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2"/>
              </w:rPr>
              <w:t>201 Daktronics Drive</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10"/>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88"/>
              </w:rPr>
              <w:t>Brookings SD</w:t>
            </w:r>
          </w:p>
        </w:tc>
        <w:tc>
          <w:tcPr>
            <w:tcW w:w="6800" w:type="dxa"/>
            <w:vAlign w:val="bottom"/>
            <w:gridSpan w:val="3"/>
          </w:tcPr>
          <w:p>
            <w:pPr>
              <w:jc w:val="right"/>
              <w:ind w:right="2519"/>
              <w:spacing w:after="0"/>
              <w:rPr>
                <w:sz w:val="20"/>
                <w:szCs w:val="20"/>
                <w:color w:val="auto"/>
              </w:rPr>
            </w:pPr>
            <w:r>
              <w:rPr>
                <w:rFonts w:ascii="Arial" w:cs="Arial" w:eastAsia="Arial" w:hAnsi="Arial"/>
                <w:sz w:val="16"/>
                <w:szCs w:val="16"/>
                <w:b w:val="1"/>
                <w:bCs w:val="1"/>
                <w:color w:val="auto"/>
              </w:rPr>
              <w:t>57006</w:t>
            </w:r>
          </w:p>
        </w:tc>
      </w:tr>
      <w:tr>
        <w:trPr>
          <w:trHeight w:val="33"/>
        </w:trPr>
        <w:tc>
          <w:tcPr>
            <w:tcW w:w="4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jc w:val="center"/>
              <w:ind w:left="919"/>
              <w:spacing w:after="0"/>
              <w:rPr>
                <w:sz w:val="20"/>
                <w:szCs w:val="20"/>
                <w:color w:val="auto"/>
              </w:rPr>
            </w:pPr>
            <w:r>
              <w:rPr>
                <w:rFonts w:ascii="Arial" w:cs="Arial" w:eastAsia="Arial" w:hAnsi="Arial"/>
                <w:sz w:val="16"/>
                <w:szCs w:val="16"/>
                <w:color w:val="auto"/>
                <w:w w:val="94"/>
              </w:rPr>
              <w:t>(Address of principal executive offices)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2"/>
        </w:trPr>
        <w:tc>
          <w:tcPr>
            <w:tcW w:w="4620" w:type="dxa"/>
            <w:vAlign w:val="bottom"/>
          </w:tcPr>
          <w:p>
            <w:pPr>
              <w:spacing w:after="0"/>
              <w:rPr>
                <w:sz w:val="18"/>
                <w:szCs w:val="18"/>
                <w:color w:val="auto"/>
              </w:rPr>
            </w:pPr>
          </w:p>
        </w:tc>
        <w:tc>
          <w:tcPr>
            <w:tcW w:w="6800" w:type="dxa"/>
            <w:vAlign w:val="bottom"/>
            <w:gridSpan w:val="3"/>
          </w:tcPr>
          <w:p>
            <w:pPr>
              <w:jc w:val="center"/>
              <w:ind w:right="4539"/>
              <w:spacing w:after="0"/>
              <w:rPr>
                <w:sz w:val="20"/>
                <w:szCs w:val="20"/>
                <w:color w:val="auto"/>
              </w:rPr>
            </w:pPr>
            <w:r>
              <w:rPr>
                <w:rFonts w:ascii="Arial" w:cs="Arial" w:eastAsia="Arial" w:hAnsi="Arial"/>
                <w:sz w:val="16"/>
                <w:szCs w:val="16"/>
                <w:b w:val="1"/>
                <w:bCs w:val="1"/>
                <w:color w:val="auto"/>
                <w:w w:val="93"/>
              </w:rPr>
              <w:t>(605) 692-0200</w:t>
            </w: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78"/>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51"/>
        </w:trPr>
        <w:tc>
          <w:tcPr>
            <w:tcW w:w="462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Title of Each Class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4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Common Stock, No Par Value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r>
        <w:trPr>
          <w:trHeight w:val="257"/>
        </w:trPr>
        <w:tc>
          <w:tcPr>
            <w:tcW w:w="4620" w:type="dxa"/>
            <w:vAlign w:val="bottom"/>
          </w:tcPr>
          <w:p>
            <w:pPr>
              <w:ind w:left="40"/>
              <w:spacing w:after="0"/>
              <w:rPr>
                <w:sz w:val="20"/>
                <w:szCs w:val="20"/>
                <w:color w:val="auto"/>
              </w:rPr>
            </w:pPr>
            <w:r>
              <w:rPr>
                <w:rFonts w:ascii="Arial" w:cs="Arial" w:eastAsia="Arial" w:hAnsi="Arial"/>
                <w:sz w:val="16"/>
                <w:szCs w:val="16"/>
                <w:color w:val="auto"/>
              </w:rPr>
              <w:t>Common Stock Purchase Rights</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94" w:lineRule="exact"/>
        <w:rPr>
          <w:sz w:val="24"/>
          <w:szCs w:val="24"/>
          <w:color w:val="auto"/>
        </w:rPr>
      </w:pPr>
    </w:p>
    <w:p>
      <w:pPr>
        <w:spacing w:after="0"/>
        <w:tabs>
          <w:tab w:leader="none" w:pos="77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spacing w:after="0"/>
        <w:tabs>
          <w:tab w:leader="none" w:pos="79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12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360" w:space="720"/>
            <w:col w:w="5340"/>
          </w:cols>
          <w:pgMar w:left="240" w:top="468" w:right="239" w:bottom="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360" w:space="720"/>
            <w:col w:w="5340"/>
          </w:cols>
          <w:pgMar w:left="240" w:top="468" w:right="239" w:bottom="0" w:gutter="0" w:footer="0" w:header="0"/>
          <w:type w:val="continuous"/>
        </w:sectPr>
      </w:pPr>
    </w:p>
    <w:p>
      <w:pPr>
        <w:ind w:left="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68" w:right="239" w:bottom="0" w:gutter="0" w:footer="0" w:header="0"/>
          <w:type w:val="continuous"/>
        </w:sectPr>
      </w:pPr>
    </w:p>
    <w:p>
      <w:pPr>
        <w:spacing w:after="0" w:line="25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6" w:lineRule="exact"/>
        <w:rPr>
          <w:sz w:val="24"/>
          <w:szCs w:val="24"/>
          <w:color w:val="auto"/>
        </w:rPr>
      </w:pPr>
    </w:p>
    <w:p>
      <w:pPr>
        <w:spacing w:after="0"/>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The aggregate market value of the registrant's common stock held by non-affiliates at October 29, 2016 (which is the last business day at the Registrant’s most recently completed second quarter), computed by reference to the closing sales price of the Registrant’s common stock on the NASDAQ Stock Market on such date, was approximately $369,635,310.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June 5, 2017 was 44,183,666.</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20"/>
          </w:cols>
          <w:pgMar w:left="240" w:top="468" w:right="239" w:bottom="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6"/>
          <w:szCs w:val="16"/>
          <w:color w:val="auto"/>
        </w:rPr>
        <w:t>Portions of the Registrant’s Proxy Statement for its Annual Meeting of Shareholders to be held August 30, 2017 are incorporated by reference in Part III of the Form 10-K, as indicated in Items 10 through 14 of Part III.</w:t>
      </w:r>
    </w:p>
    <w:p>
      <w:pPr>
        <w:sectPr>
          <w:pgSz w:w="11900" w:h="16838" w:orient="portrait"/>
          <w:cols w:equalWidth="0" w:num="1">
            <w:col w:w="11420"/>
          </w:cols>
          <w:pgMar w:left="240" w:top="130"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 THE FISCAL YEAR ENDED APRIL 29, 2017</w:t>
      </w: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30"/>
        </w:trPr>
        <w:tc>
          <w:tcPr>
            <w:tcW w:w="986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r>
      <w:tr>
        <w:trPr>
          <w:trHeight w:val="520"/>
        </w:trPr>
        <w:tc>
          <w:tcPr>
            <w:tcW w:w="13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760" w:type="dxa"/>
            <w:vAlign w:val="bottom"/>
            <w:gridSpan w:val="6"/>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ITEM 1A.</w:t>
              </w:r>
            </w:hyperlink>
          </w:p>
        </w:tc>
        <w:tc>
          <w:tcPr>
            <w:tcW w:w="620" w:type="dxa"/>
            <w:vAlign w:val="bottom"/>
            <w:gridSpan w:val="2"/>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ITEM 1B.</w:t>
              </w:r>
            </w:hyperlink>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UNRESOLVED STAFF COMMENTS</w:t>
              </w:r>
            </w:hyperlink>
          </w:p>
        </w:tc>
        <w:tc>
          <w:tcPr>
            <w:tcW w:w="5660" w:type="dxa"/>
            <w:vAlign w:val="bottom"/>
            <w:gridSpan w:val="12"/>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ITEM 2.</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5660" w:type="dxa"/>
            <w:vAlign w:val="bottom"/>
            <w:gridSpan w:val="12"/>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ITEM 3.</w:t>
              </w:r>
            </w:hyperlink>
          </w:p>
        </w:tc>
        <w:tc>
          <w:tcPr>
            <w:tcW w:w="760" w:type="dxa"/>
            <w:vAlign w:val="bottom"/>
            <w:gridSpan w:val="6"/>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ITEM 4.</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MINE SAFETY DISCLOSURES</w:t>
              </w:r>
            </w:hyperlink>
          </w:p>
        </w:tc>
        <w:tc>
          <w:tcPr>
            <w:tcW w:w="6060" w:type="dxa"/>
            <w:vAlign w:val="bottom"/>
            <w:gridSpan w:val="14"/>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13</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PART II</w:t>
              </w:r>
            </w:hyperlink>
          </w:p>
        </w:tc>
        <w:tc>
          <w:tcPr>
            <w:tcW w:w="72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ITEM 5.</w:t>
              </w:r>
            </w:hyperlink>
          </w:p>
        </w:tc>
        <w:tc>
          <w:tcPr>
            <w:tcW w:w="760" w:type="dxa"/>
            <w:vAlign w:val="bottom"/>
            <w:gridSpan w:val="6"/>
          </w:tcPr>
          <w:p>
            <w:pPr>
              <w:spacing w:after="0"/>
              <w:rPr>
                <w:sz w:val="21"/>
                <w:szCs w:val="21"/>
                <w:color w:val="auto"/>
              </w:rPr>
            </w:pPr>
          </w:p>
        </w:tc>
        <w:tc>
          <w:tcPr>
            <w:tcW w:w="760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MARKET FOR REGISTRANT’S COMMON EQUITY, RELATED STOCKHOLDER MATTERS AND</w:t>
              </w:r>
            </w:hyperlink>
          </w:p>
        </w:tc>
        <w:tc>
          <w:tcPr>
            <w:tcW w:w="88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60" w:type="dxa"/>
            <w:vAlign w:val="bottom"/>
            <w:gridSpan w:val="11"/>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ISSUER PURCHASES OF EQUITY SECURITIES</w:t>
              </w:r>
            </w:hyperlink>
          </w:p>
        </w:tc>
        <w:tc>
          <w:tcPr>
            <w:tcW w:w="4720" w:type="dxa"/>
            <w:vAlign w:val="bottom"/>
            <w:gridSpan w:val="11"/>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14</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6.</w:t>
              </w:r>
            </w:hyperlink>
          </w:p>
        </w:tc>
        <w:tc>
          <w:tcPr>
            <w:tcW w:w="760" w:type="dxa"/>
            <w:vAlign w:val="bottom"/>
            <w:gridSpan w:val="6"/>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SELECTED FINANCIAL DATA</w:t>
              </w:r>
            </w:hyperlink>
          </w:p>
        </w:tc>
        <w:tc>
          <w:tcPr>
            <w:tcW w:w="1340" w:type="dxa"/>
            <w:vAlign w:val="bottom"/>
            <w:gridSpan w:val="3"/>
          </w:tcPr>
          <w:p>
            <w:pPr>
              <w:spacing w:after="0"/>
              <w:rPr>
                <w:sz w:val="21"/>
                <w:szCs w:val="21"/>
                <w:color w:val="auto"/>
              </w:rPr>
            </w:pPr>
          </w:p>
        </w:tc>
        <w:tc>
          <w:tcPr>
            <w:tcW w:w="4720" w:type="dxa"/>
            <w:vAlign w:val="bottom"/>
            <w:gridSpan w:val="11"/>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7.</w:t>
              </w:r>
            </w:hyperlink>
          </w:p>
        </w:tc>
        <w:tc>
          <w:tcPr>
            <w:tcW w:w="760" w:type="dxa"/>
            <w:vAlign w:val="bottom"/>
            <w:gridSpan w:val="6"/>
          </w:tcPr>
          <w:p>
            <w:pPr>
              <w:spacing w:after="0"/>
              <w:rPr>
                <w:sz w:val="21"/>
                <w:szCs w:val="21"/>
                <w:color w:val="auto"/>
              </w:rPr>
            </w:pPr>
          </w:p>
        </w:tc>
        <w:tc>
          <w:tcPr>
            <w:tcW w:w="774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MANAGEMENT’S DISCUSSION AND ANALYSIS OF FINANCIAL CONDITION AND RESULTS OF</w:t>
              </w:r>
            </w:hyperlink>
          </w:p>
        </w:tc>
        <w:tc>
          <w:tcPr>
            <w:tcW w:w="74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OPERATIONS</w:t>
              </w:r>
            </w:hyperlink>
          </w:p>
        </w:tc>
        <w:tc>
          <w:tcPr>
            <w:tcW w:w="7380" w:type="dxa"/>
            <w:vAlign w:val="bottom"/>
            <w:gridSpan w:val="19"/>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ITEM 7A.</w:t>
              </w:r>
            </w:hyperlink>
          </w:p>
        </w:tc>
        <w:tc>
          <w:tcPr>
            <w:tcW w:w="620" w:type="dxa"/>
            <w:vAlign w:val="bottom"/>
            <w:gridSpan w:val="2"/>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QUANTITATIVE AND QUALITATIVE DISCLOSURES ABOUT MARKET RISK</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8.</w:t>
              </w:r>
            </w:hyperlink>
          </w:p>
        </w:tc>
        <w:tc>
          <w:tcPr>
            <w:tcW w:w="140" w:type="dxa"/>
            <w:vAlign w:val="bottom"/>
            <w:gridSpan w:val="4"/>
          </w:tcPr>
          <w:p>
            <w:pPr>
              <w:spacing w:after="0"/>
              <w:rPr>
                <w:sz w:val="21"/>
                <w:szCs w:val="21"/>
                <w:color w:val="auto"/>
              </w:rPr>
            </w:pPr>
          </w:p>
        </w:tc>
        <w:tc>
          <w:tcPr>
            <w:tcW w:w="620" w:type="dxa"/>
            <w:vAlign w:val="bottom"/>
            <w:gridSpan w:val="2"/>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ITEM 9.</w:t>
              </w:r>
            </w:hyperlink>
          </w:p>
        </w:tc>
        <w:tc>
          <w:tcPr>
            <w:tcW w:w="760" w:type="dxa"/>
            <w:vAlign w:val="bottom"/>
            <w:gridSpan w:val="6"/>
          </w:tcPr>
          <w:p>
            <w:pPr>
              <w:spacing w:after="0"/>
              <w:rPr>
                <w:sz w:val="21"/>
                <w:szCs w:val="21"/>
                <w:color w:val="auto"/>
              </w:rPr>
            </w:pPr>
          </w:p>
        </w:tc>
        <w:tc>
          <w:tcPr>
            <w:tcW w:w="794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CHANGES IN AND DISAGREEMENTS WITH ACCOUNTANTS ON ACCOUNTING AND FINANCIAL</w:t>
              </w:r>
            </w:hyperlink>
          </w:p>
        </w:tc>
        <w:tc>
          <w:tcPr>
            <w:tcW w:w="5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80" w:type="dxa"/>
            <w:vAlign w:val="bottom"/>
            <w:gridSpan w:val="2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DISCLOSURE</w:t>
              </w:r>
            </w:hyperlink>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63</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ITEM 9A.</w:t>
              </w:r>
            </w:hyperlink>
          </w:p>
        </w:tc>
        <w:tc>
          <w:tcPr>
            <w:tcW w:w="620" w:type="dxa"/>
            <w:vAlign w:val="bottom"/>
            <w:gridSpan w:val="2"/>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CONTROLS AND PROCEDURES</w:t>
              </w:r>
            </w:hyperlink>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63</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ITEM 9B.</w:t>
              </w:r>
            </w:hyperlink>
          </w:p>
        </w:tc>
        <w:tc>
          <w:tcPr>
            <w:tcW w:w="620" w:type="dxa"/>
            <w:vAlign w:val="bottom"/>
            <w:gridSpan w:val="2"/>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OTHER INFORMATION</w:t>
              </w:r>
            </w:hyperlink>
          </w:p>
        </w:tc>
        <w:tc>
          <w:tcPr>
            <w:tcW w:w="720" w:type="dxa"/>
            <w:vAlign w:val="bottom"/>
            <w:gridSpan w:val="3"/>
          </w:tcPr>
          <w:p>
            <w:pPr>
              <w:spacing w:after="0"/>
              <w:rPr>
                <w:sz w:val="21"/>
                <w:szCs w:val="21"/>
                <w:color w:val="auto"/>
              </w:rPr>
            </w:pPr>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520"/>
        </w:trPr>
        <w:tc>
          <w:tcPr>
            <w:tcW w:w="76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620" w:type="dxa"/>
            <w:vAlign w:val="bottom"/>
            <w:gridSpan w:val="2"/>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10.</w:t>
              </w:r>
            </w:hyperlink>
          </w:p>
        </w:tc>
        <w:tc>
          <w:tcPr>
            <w:tcW w:w="84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ITEM 11.</w:t>
              </w:r>
            </w:hyperlink>
          </w:p>
        </w:tc>
        <w:tc>
          <w:tcPr>
            <w:tcW w:w="680" w:type="dxa"/>
            <w:vAlign w:val="bottom"/>
            <w:gridSpan w:val="4"/>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4"/>
              </w:rPr>
            </w:pPr>
            <w:hyperlink w:anchor="page68">
              <w:r>
                <w:rPr>
                  <w:rFonts w:ascii="Arial" w:cs="Arial" w:eastAsia="Arial" w:hAnsi="Arial"/>
                  <w:sz w:val="18"/>
                  <w:szCs w:val="18"/>
                  <w:color w:val="0000EE"/>
                  <w:w w:val="94"/>
                </w:rPr>
                <w:t>EXECUTIVE COMPENSATION</w:t>
              </w:r>
            </w:hyperlink>
          </w:p>
        </w:tc>
        <w:tc>
          <w:tcPr>
            <w:tcW w:w="3360" w:type="dxa"/>
            <w:vAlign w:val="bottom"/>
            <w:gridSpan w:val="7"/>
          </w:tcPr>
          <w:p>
            <w:pPr>
              <w:spacing w:after="0"/>
              <w:rPr>
                <w:sz w:val="21"/>
                <w:szCs w:val="21"/>
                <w:color w:val="auto"/>
              </w:rPr>
            </w:pPr>
          </w:p>
        </w:tc>
        <w:tc>
          <w:tcPr>
            <w:tcW w:w="2700" w:type="dxa"/>
            <w:vAlign w:val="bottom"/>
            <w:gridSpan w:val="7"/>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12.</w:t>
              </w:r>
            </w:hyperlink>
          </w:p>
        </w:tc>
        <w:tc>
          <w:tcPr>
            <w:tcW w:w="84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SECURITY OWNERSHIP OF CERTAIN BENEFICIAL OWNERS AND MANAGEMENT AND RELATED</w:t>
              </w:r>
            </w:hyperlink>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STOCKHOLDER MATTERS</w:t>
              </w:r>
            </w:hyperlink>
          </w:p>
        </w:tc>
        <w:tc>
          <w:tcPr>
            <w:tcW w:w="5820" w:type="dxa"/>
            <w:vAlign w:val="bottom"/>
            <w:tcBorders>
              <w:top w:val="single" w:sz="8" w:color="0000EE"/>
            </w:tcBorders>
            <w:gridSpan w:val="14"/>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13.</w:t>
              </w:r>
            </w:hyperlink>
          </w:p>
        </w:tc>
        <w:tc>
          <w:tcPr>
            <w:tcW w:w="84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gridSpan w:val="1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14.</w:t>
              </w:r>
            </w:hyperlink>
          </w:p>
        </w:tc>
        <w:tc>
          <w:tcPr>
            <w:tcW w:w="848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PRINCIPAL ACCOUNTANT FEES AND SERVICES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69">
              <w:r>
                <w:rPr>
                  <w:rFonts w:ascii="Arial" w:cs="Arial" w:eastAsia="Arial" w:hAnsi="Arial"/>
                  <w:sz w:val="18"/>
                  <w:szCs w:val="18"/>
                  <w:b w:val="1"/>
                  <w:bCs w:val="1"/>
                  <w:color w:val="0000EE"/>
                  <w:w w:val="98"/>
                </w:rPr>
                <w:t>PART IV</w:t>
              </w:r>
            </w:hyperlink>
          </w:p>
        </w:tc>
        <w:tc>
          <w:tcPr>
            <w:tcW w:w="6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38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15.</w:t>
              </w:r>
            </w:hyperlink>
          </w:p>
        </w:tc>
        <w:tc>
          <w:tcPr>
            <w:tcW w:w="8480" w:type="dxa"/>
            <w:vAlign w:val="bottom"/>
            <w:gridSpan w:val="2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 AND FINANCIAL STATEMENT SCHEDULES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66</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1100" w:type="dxa"/>
            <w:vAlign w:val="bottom"/>
            <w:gridSpan w:val="7"/>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SIGNATURES</w:t>
              </w:r>
            </w:hyperlink>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67</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60"/>
          </w:cols>
          <w:pgMar w:left="280" w:top="580" w:right="6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Annual Report on Form 10-K (including exhibits and any information incorporated by reference herein) (the "Form 10-K" or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(xi.) the amount and frequency of warranty claims; and (xii.)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“Item 1A. Risk Factors” and “Item 7. Management’s Discussion and Analysis of Financial Condition and Results of Operations,” and those factors discussed in detail in our other filings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Daktronics, Inc. (the “Company”, “Daktronics”, “we”, “our”, or “us”) is the world's industry leader in designing and manufacturing electronic scoreboards, programmable display systems and large screen video displays for sporting, commercial and transportation applications. We serve our customers by providing the highest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 traded company, offering shares under the symbol DAKT on the NASDAQ National Market system. Today, Daktronics has grown from a small company operating out of a garage to the world leader in the display industry.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organized our business into five segments: Commercial, Live Events, High School Park and Recreation, Transportation, and International. These segments are based on the type of customer or geography and are the same as our business units. Financial information concerning these segments is set forth in this Form 10-K in "Part II, Item 7. Management’s Discussion and Analysis of Financial Condition and Results of Operations" and "Note 2. Segment Reporting" of the Notes to our Consolidated Financial Statements included in this Form 10-K.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make significant investments to complement and develop our existing innovative, high quality products. We employ engineering expertise with electrical, mechanical, and software design capabilities. In addition, we invest in quality and reliability capabilities, process development and testing capabilities, and sourcing processes.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strive to grow into new geographic markets by strategically adding resources and emerging markets. Two of our targeted acquisitions were in fiscal 2015 and 2016; these acquisitions support our long-term growth objectives which are to increase sales and profitability. For more information regarding these acquisitions, see "Note 4. Business Combinations" of the Notes to our Consolidated Financial Statements included in this Form 10-K.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quarterly and current reports and any amendments to those reports are filed with the Securities and Exchange Commission (“SEC”) and are available at http://investor.daktronics.com. We post each of these documents on our website as soon as reasonably practicable after it is electronically filed with the SEC. These reports are also found on the SEC’s website at www.sec.gov. Information contained on our website is not deemed to be incorporated by reference into this Report or filed with the SEC.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all our customers' large format display needs could be met in a complete, integrated system. This has proved to be a key factor in Daktronics becoming a leader in large electronic displays.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engaged in a full range of activities: marketing and sales, engineering and product development, manufacturing, technical contracting, professional services and customer service and support. Each of those activities is described below:</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Marketing and Sales. </w:t>
      </w:r>
      <w:r>
        <w:rPr>
          <w:rFonts w:ascii="Arial" w:cs="Arial" w:eastAsia="Arial" w:hAnsi="Arial"/>
          <w:sz w:val="17"/>
          <w:szCs w:val="17"/>
          <w:color w:val="auto"/>
        </w:rPr>
        <w:t>Our sales force is comprised of direct sales staff and resellers located throughout the world supporting all customer types in both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 We primarily use a direct sales force for large integrated display systems sales in professional sports, colleges and universities, and commercial spectacular projects. We also use our direct sales force to sell third-party advertising and transportation applications. We utilize resellers outside North America for large integrated system sales where we do not have a direct sales presence. The majority of the products sold by resellers in North America are standard catalog products. We support our resellers through direct mail advertising, trade journal advertising, product and installation training, trade show exhibitions and accessibility to our regional sales or service teams and demonstration equipment.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Engineering and Product Development. </w:t>
      </w:r>
      <w:r>
        <w:rPr>
          <w:rFonts w:ascii="Arial" w:cs="Arial" w:eastAsia="Arial" w:hAnsi="Arial"/>
          <w:sz w:val="17"/>
          <w:szCs w:val="17"/>
          <w:color w:val="auto"/>
        </w:rPr>
        <w:t>The large format electronic display industry is characterized by ongoing product innovations and developments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complementary services. To remain competitive, we have a tradition of applying engineering resources throughout our business to anticipate and respond rapidly to the system needs in the marketplace. We employ engineers and technicians in the areas of mechanical and electrical design; applications engineering; software design; quality design; and customer and product support. We assign product managers to each product family to assist our sales staff in training and implementing product improvements which ensures each product is designed for maximum reliability and serviceability. We employ process engineers to assist in quality and reliability processing in our product design testing and manufacturing areas.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Manufacturing. </w:t>
      </w:r>
      <w:r>
        <w:rPr>
          <w:rFonts w:ascii="Arial" w:cs="Arial" w:eastAsia="Arial" w:hAnsi="Arial"/>
          <w:sz w:val="16"/>
          <w:szCs w:val="16"/>
          <w:color w:val="auto"/>
        </w:rPr>
        <w:t>A majority of our products are manufactured in the United States, specifically in South Dakota and Minnesota. We also have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 China, Belgium, and Ireland. We perform component manufacturing, system manufacturing (metal fabrication, electronic assembly, sub-assembly and final assembly) and testing in-house for most of our products to control quality, improve response time and maximize cost-effectiveness. Our manufacturing facilities are somewhat aligned with our business segments' sales, marketing, and product development to accelerate technology improvements and improve our cost structure. Given the cyclical nature of some parts of our business and dispersed sales geography, we balance and maintain our ability to manufacture the same products across our plants so we can efficiently utilize our capacity and reduce supply chain costs. A key strategy of ours is to increase standardization and commonality of parts and manufacturing processes across product lines through product platform strategies. Our manufacturing facilities have embraced lean manufacturing techniques throughout all areas. For more details on our facilities, see "Item 2. Properties."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Technical Contracting. </w:t>
      </w:r>
      <w:r>
        <w:rPr>
          <w:rFonts w:ascii="Arial" w:cs="Arial" w:eastAsia="Arial" w:hAnsi="Arial"/>
          <w:sz w:val="17"/>
          <w:szCs w:val="17"/>
          <w:color w:val="auto"/>
        </w:rPr>
        <w:t>We serve as a technical contractor for larger display system installations requiring custom designs and innovative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in a number of jurisdictions as a general contractor.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Our professional services are essential to continued market penetration and growth. Professional services include event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creation, product maintenance, marketing assistance, training on hardware and software, control room design, and continuing technical support for operators.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Customer Service and Support. </w:t>
      </w:r>
      <w:r>
        <w:rPr>
          <w:rFonts w:ascii="Arial" w:cs="Arial" w:eastAsia="Arial" w:hAnsi="Arial"/>
          <w:sz w:val="18"/>
          <w:szCs w:val="18"/>
          <w:color w:val="auto"/>
        </w:rPr>
        <w:t>We offer limited warranties on our products, ranging from one to 10 years, against failure due to defective parts or</w:t>
      </w:r>
      <w:r>
        <w:rPr>
          <w:rFonts w:ascii="Arial" w:cs="Arial" w:eastAsia="Arial" w:hAnsi="Arial"/>
          <w:sz w:val="18"/>
          <w:szCs w:val="18"/>
          <w:i w:val="1"/>
          <w:iCs w:val="1"/>
          <w:color w:val="auto"/>
        </w:rPr>
        <w:t xml:space="preserve"> </w:t>
      </w:r>
      <w:r>
        <w:rPr>
          <w:rFonts w:ascii="Arial" w:cs="Arial" w:eastAsia="Arial" w:hAnsi="Arial"/>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changes in volume of service during our seasonal peaks.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two principal components of our systems are the display and the controller,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controller is comprised of computer hardware and software products designed to compile information provided by the operator and other integrated sources to display information, graphics or animation on the displays. We customize our products according to the design specifications of the customer and the conditions of the environment in which our products function.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product families, all of which include control systems and software:</w:t>
      </w:r>
    </w:p>
    <w:p>
      <w:pPr>
        <w:spacing w:after="0" w:line="252"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Scoreboards and timing systems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Message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(intelligent transportation systems) dynamic message signs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Space availability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Audio systems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Out-of-Home Advertising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 and price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Dynamic messaging systems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described below: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Video Displays. </w:t>
      </w:r>
      <w:r>
        <w:rPr>
          <w:rFonts w:ascii="Arial" w:cs="Arial" w:eastAsia="Arial" w:hAnsi="Arial"/>
          <w:sz w:val="18"/>
          <w:szCs w:val="18"/>
          <w:color w:val="auto"/>
        </w:rPr>
        <w:t>These displays are comprised of a large number of full-color pixels capable of showing various levels of video, graphics and animation plus</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controllers. 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mount technology (surface mount vs. through hole).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LED ribbon board displays are ultra-slim, customizable displays that accommodate curved and 360° installations. These displays are used for end zones, sidelines, encircling a stadium, outfields, concourses, stadium exterior or other linear applications. For new construction projects, our ProRail® attachment system is combined with ribbon board technology to provide improved sight lines for fans. Digital ribbon boards generally serve as a revenue generation source for teams and facilities through advertising, as well as another location to display information such as scoring and statistics.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mobile and modular display systems are transportable and are comprised of lightweight individual LED video panels less than a square meter in size and are assembled together to form a display in a customizable size. These displays are used for touring shows and live events market.</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display technology may be integrated with architectural mesh to deliver a dynamic communication medium that provides a semi-transparent viewing experience within a building. These displays can be mounted over a solid facade or in front of windows resulting in a finished solution that is free from visible cabling and deliver a clean, semi-transparent view. These displays are less than one inch in depth and provide an elegant, refined structural appearance.</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line of freeform LED displays is architectural lighting and display products. The ProPixel® freeform products use mountable LED elements to transform ordinary structures into stunning visual landmarks. A flexible mounting platform allows designers to transform any structure into a full-motion video display.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 components for video displays in live event applications are our Show Control Software Suite, proprietary digital media players and video processors. These control components provide advanced capabilities for the display of live video and real time content on our displays. The Show Control Software Suite can operate entire networks of displays from a single, intuitive control interface. Features allow users to instantly deliver media clips, camera feeds, and streaming information to any display in a network.</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Scoreboards and Timing Systems. </w:t>
      </w:r>
      <w:r>
        <w:rPr>
          <w:rFonts w:ascii="Arial" w:cs="Arial" w:eastAsia="Arial" w:hAnsi="Arial"/>
          <w:sz w:val="17"/>
          <w:szCs w:val="17"/>
          <w:color w:val="auto"/>
        </w:rPr>
        <w:t>Our line of scoreboards and timing products include indoor and outdoor scoreboards for many different sports, digit</w:t>
      </w:r>
      <w:r>
        <w:rPr>
          <w:rFonts w:ascii="Arial" w:cs="Arial" w:eastAsia="Arial" w:hAnsi="Arial"/>
          <w:sz w:val="17"/>
          <w:szCs w:val="17"/>
          <w:i w:val="1"/>
          <w:iCs w:val="1"/>
          <w:color w:val="auto"/>
        </w:rPr>
        <w:t xml:space="preserve"> </w:t>
      </w:r>
      <w:r>
        <w:rPr>
          <w:rFonts w:ascii="Arial" w:cs="Arial" w:eastAsia="Arial" w:hAnsi="Arial"/>
          <w:sz w:val="17"/>
          <w:szCs w:val="17"/>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offer a variety of controllers complementing our scoreboards and displays. These controllers vary in complexity from the All Sport® 100, a handheld controller for portable scoreboards, to the All Sport® 5000, designed for more sophisticated scoring systems and allowing for more user-defined options.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offer timing systems for sports events, primarily aquatics and track competitions. A component of these systems is our OmniSport® 2000 timing console. The system has the capability to time and rank the competitors and to interface with event management software to facilitate the sporting event. Other timing system components include swimming touchpads, race start systems, and relay take-off platforms.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Message Displays. </w:t>
      </w:r>
      <w:r>
        <w:rPr>
          <w:rFonts w:ascii="Arial" w:cs="Arial" w:eastAsia="Arial" w:hAnsi="Arial"/>
          <w:sz w:val="18"/>
          <w:szCs w:val="18"/>
          <w:color w:val="auto"/>
        </w:rPr>
        <w:t>The key product lines in this group are the Galaxy® and GalaxyPro® and are generally controlled with our Venus® 1500 display</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or Venus Control Suite.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Galaxy® full-matrix displays, available in both indoor and outdoor models, are our leading product line for commercial applications. Galaxy® displays are full color, monochrome, or tri-color, with varying pixel spacing depending on color, size and viewing distance. They are used primarily as message centers to convey information and advertising to consumers.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GalaxyPro® displays are full-matrix outdoor displays capable of displaying text, graphics and animation, as well as prerecorded video clips. The product was developed to meet the video needs of the commercial market, primarily large retail market applications such as auto dealerships and shopping centers. GalaxyPro® displays have varying pixel spacing and are capable of producing 68 billion colors.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Venus® 1500 display control software is used to control the creation of messages and graphic sequences for uploading to the Galaxy® and GalaxyPro® displays. This software is designed to be user friendly and applicable to all general advertising or message applications. We also provide software kits, allowing system integrators to write their own software using the Venus® 1500 to communicate to the displays.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ITS Dynamic Message Signs (DMS). </w:t>
      </w:r>
      <w:r>
        <w:rPr>
          <w:rFonts w:ascii="Arial" w:cs="Arial" w:eastAsia="Arial" w:hAnsi="Arial"/>
          <w:sz w:val="18"/>
          <w:szCs w:val="18"/>
          <w:color w:val="auto"/>
        </w:rPr>
        <w:t>DMS products include a wide range of LED displays for road management, mass transit and aviation applications.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Vanguard® family of dynamic message displays is typically used to direct traffic and inform motorists. These displays are used over freeways, on arterial roads, near bridges, at toll booths and in other locations. We have also developed a control system for these displays to help transportation agencies manage large networks of displays.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Space Availability Displays. </w:t>
      </w:r>
      <w:r>
        <w:rPr>
          <w:rFonts w:ascii="Arial" w:cs="Arial" w:eastAsia="Arial" w:hAnsi="Arial"/>
          <w:sz w:val="17"/>
          <w:szCs w:val="17"/>
          <w:color w:val="auto"/>
        </w:rPr>
        <w:t>This product line is our digit and directional displays, which are primarily marketed and sold for use in parking facilities. They</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multi-line displays delivered in vertical cabinets or drop-in digit panels designed to be mounted in existing structures or signs.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Audio Systems. </w:t>
      </w:r>
      <w:r>
        <w:rPr>
          <w:rFonts w:ascii="Arial" w:cs="Arial" w:eastAsia="Arial" w:hAnsi="Arial"/>
          <w:sz w:val="16"/>
          <w:szCs w:val="16"/>
          <w:color w:val="auto"/>
        </w:rPr>
        <w:t>Our audio systems include both standard and custom options. Standard audio systems are designed to meet the needs of a variety of outdoor</w:t>
      </w:r>
      <w:r>
        <w:rPr>
          <w:rFonts w:ascii="Arial" w:cs="Arial" w:eastAsia="Arial" w:hAnsi="Arial"/>
          <w:sz w:val="16"/>
          <w:szCs w:val="16"/>
          <w:i w:val="1"/>
          <w:iCs w:val="1"/>
          <w:color w:val="auto"/>
        </w:rPr>
        <w:t xml:space="preserve"> </w:t>
      </w:r>
      <w:r>
        <w:rPr>
          <w:rFonts w:ascii="Arial" w:cs="Arial" w:eastAsia="Arial" w:hAnsi="Arial"/>
          <w:sz w:val="16"/>
          <w:szCs w:val="16"/>
          <w:color w:val="auto"/>
        </w:rPr>
        <w:t>sports venues based on the size and configuration of the facility. Custom indoor and outdoor systems are for larger venues and venues with unique seating configurations. Our sound systems are often integrated into an overall venue solution for scoring, timing, message display and/or video capability.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Out-of-Home Advertising Displays. </w:t>
      </w:r>
      <w:r>
        <w:rPr>
          <w:rFonts w:ascii="Arial" w:cs="Arial" w:eastAsia="Arial" w:hAnsi="Arial"/>
          <w:sz w:val="18"/>
          <w:szCs w:val="18"/>
          <w:color w:val="auto"/>
        </w:rPr>
        <w:t>Our line of out-of-home advertising displays includes billboards and street furniture displays.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line of digital billboards offers a unique display solution for the Out-of-Home (“OOH”) advertising industry. The products are used to display images which change at regular intervals. These systems include many features unique to the outdoor advertising market, such as our patented mounting system, self-adjusting brightness, improved energy consumption, and enhanced network security.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Visiconn® system and Venus Control Suite are the software applications for controlling content and playback loops for digital billboard applications. This system can transform any Internet-ready computer into a secure, global control center for multiple LED displays, flat panel monitors and other display technologies.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line of street furniture engages people with advertising content at eye level as they walk through campuses, cityscapes, and outlet malls. This design enhances the message and complements surrounding architecture. These advertising light boxes are our most flexible solution for digital OOH campaigns.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Digit and Price Displays. </w:t>
      </w:r>
      <w:r>
        <w:rPr>
          <w:rFonts w:ascii="Arial" w:cs="Arial" w:eastAsia="Arial" w:hAnsi="Arial"/>
          <w:sz w:val="18"/>
          <w:szCs w:val="18"/>
          <w:color w:val="auto"/>
        </w:rPr>
        <w:t>This product line includes our DataTime® and Fuelight™ displays. The DataTime® product line consists of outdoor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Dynamic Messaging Systems(DMS)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dynamic messaging systems include indoor networked solutions for retailers, convenience stores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These solutions allow customers to broadcast advertising campaigns and other information through the software, media players and visual hardware. Some of our DSM solutions are marketed through our subsidiary ADFLOW,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Materials used in the production of our video display systems are sourced from around the world. We source some of our materials from a limited number of suppliers due to the proprietary nature of the materials. The loss of a key supplier or a defect in the supplied material could have an adverse impact on our business and operations.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or hold licenses to use numerous patents, copyrights, and trademarks on a global basis. Our policy is to protect our competitive position by filing U.S. and international patent applications to protect technology and improvements that we consider important to the development of our business. This will allow us to pursue infringement claims against competitors for protection due to patent violations.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several displays, controllers, and subcontracted structure builds, each of which can occur on varied schedules per the customer's needs. Net sales and gross profit percentages also have fluctuated due to other seasonal factors, including the impact of holidays, which primarily affects our third fiscal quarter.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regarding working capital items, see “Management’s Discussion and Analysis of Financial Condition and Results of Operations-Liquidity and Capital Resources” in Part II, Item 7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large and diverse worldwide customer base, ranging from local main street business owners to the owners and operators of premier professional sports arenas. Our customers are important to us, and we strive to serve them over the long-term to earn their future business. The loss of one or more customers could have an adverse effect on us. While we are not economically dependent on any single customer, within our Commercial business unit digital billboard niche, two major customers account for more than 50 percent of sales. See "Note 2. Segment Reporting" of the Notes to our Consolidated Financial Statements included in this Form 10-K for our primary markets and customers of each business unit.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backlog consists of contractually binding sales agreements or purchase orders we expect to fill within the next 24 months. 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 Because order backlog may be subject to extended delivery schedules, orders may be canceled, and orders have varied estimated profitability, our backlog is not necessarily indicative of future net sales or net income. Backlog can fluctuate due to large order booking timing and seasonality. Backlog is not a measure defined by U.S. generally accepted accounting principles ("GAAP"), and our methodology for determining backlog may vary from the methodology used by other companies in determining their backlog amounts.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and other countries, various laws, regulations and ordinances restrict the installation of outdoor signs and displays, particularly in the commercial market. These laws and regulations impose greater restrictions on electronic displays versus non-electronic displays due to alleged concerns over aesthetics or driver safety. These factors may prevent or inhibit us from selling products to some prospective customers.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products and production processes require the storage, use and disposal of a variety of hazardous chemicals under applicable laws.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global supply chain and sales distribution channels subject us to various trade compliance regulations. These requirements include certification of country of origin, classification within the various tariff codes, and compliance with other specific product or country import/export regulations.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these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encounter a wide variety of competitors that vary by product, geographic area, and business unit. Our competitors are both United States and foreign companies and range in size and product offerings. Some of our competitors compete in certain markets by providing lower-cost display systems, which are of a lesser quality with lower product performance or include less customer support. Other competitors use sponsorships as a means to win the business at a location.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ability to compete depends upon product quality and features, technical expertise, service breadth, and cost-effective solutions.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engineering and product development capability and experience are very important factors to continue to develop the most up-to-date digital displays and control system solutions desired by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April 29, 2017, we employed approximately 2,405 full-time employees and approximately 304 part-time and temporary employees. Of these employees, approximately 935 were in manufacturing, 565 were in sales and marketing, 548 were in customer service, 405 were in engineering and 256 were in general and administrative. None of our employees are represented by a collective bargaining agreement. We believe employee relations are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factors that are discussed below, as well as the matters that are generally set forth in this Form 10-K and the documents incorporated by reference herein, could materially and adversely affect the Company’s business, results of operations and financial condition.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operate in highly competitive markets and face significant competition and pricing pressure. If we are unable to keep up with the rapidly changing product market or compete effectively, we could lose market share and large project orders, and our results of operations could be negatively impacted.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electronic display industry is characterized by ongoing product improvement, innovations and development. We compete against products produced in foreign countries and the United States. In addition, our products compete with other forms of advertising, such as television, print media and fixed display signs. Our competitors may develop cheaper, more efficient products, or they may be willing to charge lower prices to increase their market share. Some competitors have more capital and other resources, which may allow them to take advantage of acquisition opportunities or adapt more quickly to changes in customer requirements. To remain competitive, we must anticipate and respond quickly to our customers’ needs, enhance our existing products, introduce new products and features, and continue to price our products competitively.</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on a quarterly and annual basis are likely to fluctuate and are substantially affected by the size and timing of large contract order awards and conversion to net sales.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sales and earnings have varied in the past and are likely to vary in the future. When awarded large contracts, primarily in the college and professional sports facilities markets, the OOH niche, transportation market, and the large spectacular niche, the timing and amount could cause material fluctuations in our net sales and earnings. Awards of large contracts and their timing and amount are difficult to predict, may not be repeatable, and are outside of our control. Operating results in one quarter or fiscal year may not be indicative of future operating results. Some factors that may cause our operating results to vary include:</w:t>
      </w:r>
    </w:p>
    <w:p>
      <w:pPr>
        <w:spacing w:after="0" w:line="18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product introductions;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product mix;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capacity utilization;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or cancellations of orders.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actual results could differ from the estimates and assumptions used to prepare our financial statements, which could have a material impact on our financial condition and results of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is required under U.S. GAAP to make estimates and assumptions as of the dates of our financial statements. These estimates and assumptions affect the recognition of contract revenue, costs, profits or losses in applying the principles of percentage of completion; estimated amounts for warranty costs; the collectability of billed and unbilled accounts receivable and the amount of any allowance for doubtful accounts; the continuing utility of our property and equipment; the amount of estimated liabilities; the valuation of assets acquired plus liabilities, goodwill, and intangible assets assumed in acquisitions; the valuation of our deferred tax assets; and the valuation of stock-based compensation. If management's estimates and assumptions are not reasonable, our financial condition or results of operation could be adversely affected.</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Unanticipated warranty and other costs for defective products could adversely affect our financial condition and results of operations and reputation.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During fiscal 2016, we discovered a warranty issue caused by a mechanical device failure within a module for displays primarily in our OOH application built prior to fiscal 2013. We increased our accrued warranty obligations by $1.8 million during fiscal 2017, $9.2 million during fiscal 2016 and $1.2 million during fiscal 2015 for probable and reasonably estimable costs to remediate this issue. See "Note 17. Commitments and Contingencies" of the Notes to our Consolidated Financial Statements included in the Form 10-K for more information regarding our warranty accrual.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The time required to remediate a claim may take time and could result in lost or deferred revenue, lead to costly warranty expenses, and could have a material adverse impact on our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enter into fixed-price contracts on a regular basis, which could reduce our profits.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strategy, we enter into capped or fixed-price contracts. Because of the complexity of many of our client contracts, accurately estimating the cost, scope and duration of a particular contract can be a difficult task. If our actual costs exceed original estimates on fixed-price contracts, our profits will be reduced. Because of the large scale, customer timelines, seasonality of our business or long duration of some contracts, unanticipated cost increases may occur as a result of several factors including, but not limited to: increases in the cost or shortages of materials or labor; unanticipated technical problems; required project modifications not initiated by the customer; suppliers’ or subcontractors’ failure to perform or delay in performing their obligations; and capacity constraints. In addition to increased costs, these factors could delay delivery of products which may result in the assessment of liquidated damages or other contractual damages. Unanticipated costs that we are unable to pass on to our customers or our payment of delay damages under fixed contracts would negatively impact our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Many of our products have long sales, delivery and acceptance cycles. In addition, our backlog is subject to order cancellations and delays. Orders normally contain cancellation provisions to permit our recovery of costs expended and a pro-rata portion of the profit. If projects are delayed, revenue recognition can occur over longer periods of time, and projects may remain in the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events resulting in credit losses could have a material adverse impact on our financial results.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portions of our sales are to customers who place large orders for custom products. We closely monitor the credit worthiness of our customers and have not, to date, experienced significant credit losses. We mitigate our exposure to credit risk, to some extent, by requiring deposits, payments prior to shipment, progress payments and letters of credit. However, because some of our exposure to credit losses is outside of our control, unanticipated events resulting in credit losses could have a material adverse impact on our operating results.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a single-source or a limited number of suppliers for our raw materials and components, and the loss of any of these suppliers or an increase in cost of raw materials could harm our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obtain some of our raw materials from one or a limited number of suppliers. If we cannot obtain key raw materials from our suppliers, the raw materials may not be readily available from other suppliers, other suppliers may not agree to supply the materials to us on terms as favorable as the terms we currently receive, or the raw materials from any other suppliers may not be of adequate and consistent quality. Although we believe our supply of raw materials is adequate for the needs of our business, we cannot assure that new sources of supply will be available when needed. Any interruption in our supply of raw materials could affect our ability to manufacture our products until a new source of supply is located and, therefore, could have a material adverse effect on our business, financial condition or results of operations.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we purchase various raw materials and components in order to manufacture our products. Historically, fluctuations in the prices of these raw materials and components have not had a material impact on our business. In the future, however, if we experience increases in the price of raw materials and components and are unable to pass on those increases to our customers, it could negatively affect our business, financial condition or results of operations.</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Global geopolitical changes expose our operations to risks and uncertainties, including unfavorable political developments, economic changes, unfavorable trading policies, and additional compliance with foreign and domestic governmental regulations or requirements.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United States and foreign operations, sales, earnings, and strategies for profitable growth can be adversely affected by changes in treaty and trade relationships, changes in monetary and fiscal policies, changes in laws and regulations, or other activities of the United States and other foreign governments, agencies, and similar organizations. These conditions include, but are not limited to, changes in a country's or region's economic or political conditions; pricing and marketing of products; local labor conditions and regulations; reduced protection of intellectual property rights; changes in the regulatory or legal environment; restrictions and foreign exchange rate fluctuations; and burdensome taxes and tariffs and other trade regulations or barriers. Other exposures and uncertainties exist include changing social conditions and attitudes, terrorism, or political hostilities and war. The likelihood of such occurrences and their overall effect on us vary greatly from country to country and are not predictable.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Weakened global economic conditions may adversely affect our industry, business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overall performance depends in part on worldwide economic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conditions affect consumer spending and could adversely affect our customers’ ability or willingness to purchase our products, delay prospective customers’ purchasing decisions, reduce the value of their contracts, or affect attrition rates, all of which could adversely affect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tax law changes may adversely affect our business, financial condition and 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income tax laws of the United States and its various state and local governments as well as several foreign jurisdictions. Our future income taxes could be materially adversely affected by changes in the mix of earnings amongst countries with differing statutory tax rates, changes in the valuation of deferred tax assets and liabilities, changes in tax laws, or the outcome of income tax audits and any related litigation.</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Further changes in the tax laws of the United States and foreign jurisdictions could arise, including tax reform in the United States and the base erosion and profit shifting (“BEPS”) project undertaken by the Organisation for Economic Co-operation and Development (“OECD”). Both the United States tax reform and the OECD proposed recommendations, in some cases, would make substantial changes to numerous long-standing tax positions and principles. These contemplated changes could increase tax uncertainty and may adversely affect our business, financial condition and results of operations.</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future results may be affected by legal compliance risks related to the United States Foreign Corrupt Practices Act and other anti-bribery and anti-corruption laws for the countries in which we operate.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required to comply with the United States Foreign Corrupt Practices Act, which prohibits United States companies from engaging in bribery or making other prohibited payments to foreign officials for the purpose of obtaining or retaining business, and other similar regulations in other areas of the world. It also requires us to maintain specific record-keeping standards and adequate internal accounting controls. In addition, we are subject to similar requirements in other countries. Bribery, corruption, and trade laws and regulations, and the enforcement thereof, are increasing in frequency, complexity and severity on a global basis. Although we have internal policies and procedures with the intention of providing reasonable assurance of compliance with these laws and regulations, our employees, contractors, agents and licensees involved in our international sales may take actions in violations of such policies. If our employees, agents, distributors, suppliers and other third parties with whom we do business violate anti-bribery, anti-corruption or similar laws and regulations, we may incur severe fines, penalties and reputational damage.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fail to continue to attract, develop and retain key management personnel, which could negatively impact our operating results.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utilize our capacity efficiently or accurately plan our capacity requirements, which may negatively affect our business and operating results.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increase our production capacity and the overhead supporting production based on anticipated market demand. Market demand, however, has not always developed as expected or remained at a consistent level. This underutilization risk can potentially decrease our profitability and result in the impairment of certain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are among those that could complicate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demand for and mix of products that our customers buy;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 and train our manufacturing staff in advance of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pace of technological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variability in our manufacturing productivity;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 for components used in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geography of the order and related shipping methods;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 lead times for our plant and equipment expenditures.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annually, we filed Forms SD in May 2016 and May 2017 reporting our work performed to gain information on the source of conflict minerals we use. We incurred costs associated with complying with these disclosure requirements. As we continue our due diligence, we may face reputational challenges if we continue to be unable to verify the origins for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18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internal control over financial reporting is found to be ineffective, our financial statements may not be fairly stated, raising concerns for investors and potentially adversely affecting our stock price.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404 of the Sarbanes-Oxley Act of 2002, we are required to evaluate and determine the effectiveness of our internal controls over financial reporting. We have made, and will continue to make, changes to our internal controls and procedures for financial reporting and accounting systems to meet our reporting obligations as a public company. We may encounter problems or delays in completing the review and evaluation, implementing improvements, or receiving a positive attestation from our independent registered public accounting firm. In addition, our assessment of internal controls may identify deficiencies in our internal controls over financial reporting or other matters which may raise concerns for investors and therefore adversely affect our stock price.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goodwill or other intangible assets in connection with our acquisitions become impaired, we could take significant non-cash charges against earnings.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on our consolidated balance sheet as described in "Note 5. Goodwill and Intangible Assets" of the Notes to our Consolidated Financial Statements included in this Form 10-K.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 During fiscal 2017, we recorded a technology and customer list intangible asset impairment of $0.8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 pose financial, management and other risks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routinely explore acquiring other businesses and assets. Periodically, we may also consider disposing of certain assets, subsidiaries, or lines of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Acquisitions or divestitures present financial, managerial and operational challenges. These include, but are not limited to, the following:</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with integrating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with the integration of different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personnel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 of unknown liabilities and indemnification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disputes with the buyers or sellers;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involved in evaluating or modifying the financial systems of an acquired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establishment of appropriate internal controls.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engage in any acquisitions or divestitures or that we will be able to do so on terms that will result in any expected benefits.</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terms and conditions of our credit facility impose restrictions on our operations, and if we default on our credit facility, it could have a material adverse effect on our results of operations and financial condition and make us vulnerable to adverse economic or industry conditions.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and conditions of our credit facilities impose restrictions limiting our ability to incur debt, merge, sell assets, make distributions (including cash dividends) and create or incur liens. The availability of credit facilities is also subject to certain covenants as explained in “Item 7 - Management’s Discussion and Analysis of Financial Condition and Results of Operations.” A breach of any of these covenants could result in an event of default under our credit facility. Upon the occurrence of an event of default, the lender could elect to declare any and all amounts outstanding under such facility to be immediately due and payable and terminate all commitments to extend further credit. For additional information on financing agreements, see "Note 9. Financing Agreements" of the Notes to our Consolidated Financial Statements included in this Form 10-K.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foreseeable future, it is anticipated that borrowings from our existing credit facilities and cash provided by operating activities should provide sufficient funds to finance our capital expenditures, working capital and otherwise meet operating expenses and debt service requirements. However, if additional capital is required, there can be no assurance we will be able to obtain such capital when needed or on satisfactory terms. Also, market conditions can negatively impact our customers' ability to fund their projects and can impact our vendors, suppliers, and subcontractors and may not allow them to perform their obligations to us.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particular project and we are unable to obtain a bond or letter of credit on terms acceptable to us,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unable to protect our intellectual property rights effectively, or we may infringe upon the intellectual property of others, either of which may have a material adverse effect on our operating results and financial condition.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 even if we ultimately prevail.</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intellectual property of others also has an impact on our ability to offer some of our products and services for specific uses or at competitive prices. Competitors' patents or other intellectual property may limit our ability to offer products or services to our customers. Any infringement or claimed infringement of the intellectual property rights of others could result in litigation and adversely affect our ability to continue to provide, or could increase the cost of providing, products and services.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outcome of pending and future claims or litigation can have a material adverse impact on our business, financial condition,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be a party to litigation in the normal course of business. Litigation and regulatory proceedings are subject to inherent uncertainties, and unfavorable rulings can and do occur. Pending or future claims against us could result in professional liability, product liability, criminal liability, warranty obligations or other liabilities to the extent we are not insured against a loss or our insurance fails to provide adequate coverage. Also, a well-publicized actual or perceived threat of litigation could adversely affect our reputation and reduce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systems could fail or their security could be compromised, causing a material adverse effect on our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heavily on digital technologies for the successful operation of our business and for the collection and retention of business data. Any failure of our digital systems, or any breach of our systems’ security measures,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programming issues, and/or human errors or other similar events. Any misappropriation, loss or other unauthorized disclosure of confidential or personally identifiable information, whether by us or by our third-party service providers, could adversely affect our business and operations. Any disruption in our digital technologies could affect our business and operations, including our manufacturing and after sale servicing processes, severely damaging our reputation with customers, suppliers, employees and investors and exposing us to risk of litigation and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protections we have adopted and to which we are subject may discourage takeover offers favored by our shareholders.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articles of incorporation, by-laws and other corporate governance documents and the South Dakota Business Corporation Act (SD Act) contain provisions that could have an anti-takeover effect and discourage, delay or prevent a change in control or an acquisition that many shareholders may find attractive. These provisions make it more difficult for our shareholders to take some corporate actions. These provisions relate to:</w:t>
      </w:r>
    </w:p>
    <w:p>
      <w:pPr>
        <w:spacing w:after="0" w:line="166" w:lineRule="exact"/>
        <w:rPr>
          <w:sz w:val="20"/>
          <w:szCs w:val="20"/>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Board of Directors to issue undesignated shares on terms and with the rights, preferences and designations determined by the Board without shareholder action;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shareholders from electing a majority of the directors at any one meeting of shareholders;</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a shareholder rights plan providing for the exercise of common stock purchase rights when a person becomes the beneficial owner of 15 percent or more of our outstanding common stock (subject to certain exceptions);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SD Act, limitations on the voting rights of shares acquired in specified types of acquisitions and restrictions on specified types of business combinations; and</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SD Act, prohibitions against engaging in a “business combination” with an “interested shareholder” for a period of four years after the date of the transaction in which the person became an interested shareholder unless the business combination is approved.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may deny shareholders the receipt of a premium on their common stock, which in turn may have a depressive effect on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daily trading volume of our common stock has at times been relatively low. If this were to occur in the future, the liquidity and appreciation of our common stock may not meet our shareholders’ expectations, and the prices at which our stock trades may be volatile. The market price of our common stock could be adversely impacted as a result of sales by existing shareholders of a large number of shares of common stock in the market or by the perception such sales could cause.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the market price of our common stock could result in securities litigation claims against us.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has fluctuated and will likely continue to fluctuate, and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which could harm our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we fail to meet or exceed the expectations of securities analysts and investors, or if one or more of the securities analysts who cover us adversely change their recommendation regarding our stock, the market price of our 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and blogs.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executive officers, directors and principal shareholders have the ability to significantly influence all matters submitted to our shareholders for approval.</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Dr. Aelred Kurtenbach served as our Chairman of the Board until September 3, 2014, when he retired. Mr. Reece Kurtenbach, who is Dr. Aelred Kurtenbach's son, serves as our Chairman and Chief Executive Officer. In addition, Dr. Aelred Kurtenbach has two other children who serve as our Vice President of Human Resources and as our Vice President of Manufacturing. Together, these individuals, in the aggregate, beneficially owned 10.2% of our outstanding common stock as of June 5, 2017, assuming the exercise by them of all of their options that were currently exercisable or that vest within 60 days of June 5, 2017. In addition, our other executive officers and directors, in the aggregate, beneficially owned an additional 4.8% of our outstanding common stock as of June 5, 2017, assuming the exercise by them of all of their options currently exercisable or that vest within 60 days of June 5, 2017. While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approval of any merger, consolidation, sale of all or substantially all of our assets or other business combination or reorganization.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and might affect the prevailing market price for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events, including natural disasters, may increase our cost of doing business or disrupt our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occurrence of one or more unexpected events, including war, terrorist acts, fires, tornadoes, floods and severe weather in the United States or in other countries in which we operate may disrupt our operations as well as the operations of our customers. Such acts could create additional uncertainties, forcing customers to reduce, delay, or cancel already planned projects. These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real estate properties are in areas we deem necessary to meet sales, service and operating requirements. We consider all our properties to be both suitable and adequate to meet our requirements for the foreseeable future. A description of our principal facilities is set forth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Owned or</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Square</w:t>
            </w:r>
          </w:p>
        </w:tc>
        <w:tc>
          <w:tcPr>
            <w:tcW w:w="4460" w:type="dxa"/>
            <w:vAlign w:val="bottom"/>
          </w:tcPr>
          <w:p>
            <w:pPr>
              <w:spacing w:after="0"/>
              <w:rPr>
                <w:sz w:val="18"/>
                <w:szCs w:val="18"/>
                <w:color w:val="auto"/>
              </w:rPr>
            </w:pPr>
          </w:p>
        </w:tc>
      </w:tr>
      <w:tr>
        <w:trPr>
          <w:trHeight w:val="234"/>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Facilities</w:t>
            </w: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Leased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Facility Activities</w:t>
            </w:r>
          </w:p>
        </w:tc>
      </w:tr>
      <w:tr>
        <w:trPr>
          <w:trHeight w:val="27"/>
        </w:trPr>
        <w:tc>
          <w:tcPr>
            <w:tcW w:w="2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ind w:left="40"/>
              <w:spacing w:after="0"/>
              <w:rPr>
                <w:sz w:val="20"/>
                <w:szCs w:val="20"/>
                <w:color w:val="auto"/>
              </w:rPr>
            </w:pPr>
            <w:r>
              <w:rPr>
                <w:rFonts w:ascii="Arial" w:cs="Arial" w:eastAsia="Arial" w:hAnsi="Arial"/>
                <w:sz w:val="18"/>
                <w:szCs w:val="18"/>
                <w:color w:val="auto"/>
              </w:rPr>
              <w:t>Brookings, SD, USA</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773,000</w:t>
            </w:r>
          </w:p>
        </w:tc>
        <w:tc>
          <w:tcPr>
            <w:tcW w:w="4460" w:type="dxa"/>
            <w:vAlign w:val="bottom"/>
          </w:tcPr>
          <w:p>
            <w:pPr>
              <w:ind w:left="120"/>
              <w:spacing w:after="0"/>
              <w:rPr>
                <w:sz w:val="20"/>
                <w:szCs w:val="20"/>
                <w:color w:val="auto"/>
              </w:rPr>
            </w:pPr>
            <w:r>
              <w:rPr>
                <w:rFonts w:ascii="Arial" w:cs="Arial" w:eastAsia="Arial" w:hAnsi="Arial"/>
                <w:sz w:val="18"/>
                <w:szCs w:val="18"/>
                <w:color w:val="auto"/>
              </w:rPr>
              <w:t>Corporate Office, Manufacturing, Sales, Service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Redwood Falls, MN, USA</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150,000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Rupelmonde, Belgium</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40,000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Ennistymon, Ireland</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Owned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44,000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Sioux Falls, SD, USA</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4"/>
              </w:rPr>
              <w:t>Leased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295,000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color w:val="auto"/>
              </w:rPr>
              <w:t>Shanghai, China</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4"/>
              </w:rPr>
              <w:t>Leased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90,500</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 Sales, Service, Office</w:t>
            </w:r>
          </w:p>
        </w:tc>
      </w:tr>
      <w:tr>
        <w:trPr>
          <w:trHeight w:val="716"/>
        </w:trPr>
        <w:tc>
          <w:tcPr>
            <w:tcW w:w="2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60" w:type="dxa"/>
            <w:vAlign w:val="bottom"/>
          </w:tcPr>
          <w:p>
            <w:pPr>
              <w:ind w:left="11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remaining sales and service offices located throughout the United States, Canada, Europe, South America, and the Asia-Pacific regions are small offices, generally consisting of less than 10,000 square feet leased under operating leases. These lease obligations expire on various dates, with the longest commitment extending to fiscal 2025. We believe all our leases will be renewable at market terms, at our discretion, or that suitable alternative space would be available to lease under similar terms and conditions. See "Note 17. Commitments and Contingencies" of the Notes to our Consolidated Financial Statements included in the Form 10-K for further information on lease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17. Commitments and Contingencies" of the Notes to our Consolidated Financial Statements included in the Form 10-K for further information on any legal proceedings and claims.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“DAKT.” As of June 5, 2017, we had 1,083 shareholders of record. Following are the high and low sales prices for our common stock for each quarter within the last two fiscal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2017</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2016</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Cash</w:t>
            </w:r>
          </w:p>
        </w:tc>
        <w:tc>
          <w:tcPr>
            <w:tcW w:w="260" w:type="dxa"/>
            <w:vAlign w:val="bottom"/>
          </w:tcPr>
          <w:p>
            <w:pPr>
              <w:spacing w:after="0"/>
              <w:rPr>
                <w:sz w:val="19"/>
                <w:szCs w:val="19"/>
                <w:color w:val="auto"/>
              </w:rPr>
            </w:pPr>
          </w:p>
        </w:tc>
        <w:tc>
          <w:tcPr>
            <w:tcW w:w="14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82"/>
        </w:trPr>
        <w:tc>
          <w:tcPr>
            <w:tcW w:w="2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3"/>
              </w:rPr>
              <w:t>Dividends</w:t>
            </w:r>
          </w:p>
        </w:tc>
        <w:tc>
          <w:tcPr>
            <w:tcW w:w="2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3"/>
              </w:rPr>
              <w:t>Dividends</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Declared</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Low</w:t>
            </w:r>
          </w:p>
        </w:tc>
        <w:tc>
          <w:tcPr>
            <w:tcW w:w="18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1"/>
              </w:rPr>
              <w:t>Declared</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line="264"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8.55</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2540" w:type="dxa"/>
            <w:vAlign w:val="bottom"/>
          </w:tcPr>
          <w:p>
            <w:pPr>
              <w:ind w:left="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 2017, our Board of Directors declared a regular quarterly dividend of $0.07 per share on our common stock payable on June 23, 2017 to holders of record of our common stock on June 13, 2017.</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 In addition, our credit facility imposes limitations on our ability to pay dividends as further described in “Item 7 – Management’s Discussion and Analysis of Financial Condition and Results of Operations – Liquidity and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2016, our Board of Directors approved a stock repurchase program under which Daktronics, Inc. may purchase up to $40 million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the first quarter of fiscal 2017, we repurchased 0.3 million shares of common stock at a total cost of $2 million, and there have been no other purchases during fiscal 2017. We may repurchase up to an additional $38 million of common stock under the current Board authorization.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shows changes during the period from April 28, 2012 to April 29, 2017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11190" cy="3430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119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 below provides selected historical financial data, which should be read in conjunction with "Management's Discussion and Analysis of Financial Condition and Results of Operations" and the Consolidated Financial Statements and the Notes to the Consolidated Financial Statements, which are included in Items 7 and 8 of this Annual Report on Form 10-K. The statement of operations data for the fiscal years ended April 29, 2017, April 30, 2016 and May 2, 2015 and the balance sheet data at April 29, 2017 and April 30, 2016 are derived from, and are qualified by reference to, the audited Consolidated Financial Statements included elsewhere in this Form 10-K. The statement of operations data for the fiscal years ended April 26, 2014 and April 27, 2013 and the balance sheet data at May 2, 2015, April 26, 2014 and April 27, 2013 are derived from audited financial statements that are not included in this Form 10-K.</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586,539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570,168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615,942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551,970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518,322</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140,415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121,019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144,579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141,710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133,894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profit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15,421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2,495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31,285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36,557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10,342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2,061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20,882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22,206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22,779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0.05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44,303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44,456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44,443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43,762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42,621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127,130</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123,714</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149,075</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140,532</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125,456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355,433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349,948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379,479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357,451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319,418</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26,552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27,364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25,420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20,624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16,480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198,286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201,067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212,039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203,119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188,246</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Cash dividends per share</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years ended April 29, 2017, April 30, 2016, April 26, 2014 and April 27, 2013 contained operating results for 52-weeks while the fiscal year ended May 2, 2015 contained operating results for 53-weeks.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provides our highlights and commentary related to factors impacting our financial conditions and further describes the results of operations. The most significant risks and uncertainties are discussed in "Item 1A. Risk Factors."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should be read in conjunction with the accompanying Consolidated Financial Statements and Notes to the Consolidated Financial Statements included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has increased the size of the global market. With this positive demand, strong competition exists across all of our business units, which causes margin constraints. Projects with multi-million dollar revenue potential also attract competition, which generally reduces profitability.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organize around customer segments and geographic regions as further described in "Note 2. Segment Reporting" of the Notes to our Consolidated Financial Statements included in this Form 10-K. Each business segment also has unique key growth drivers and challenges.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principle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customers'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Dynamic messaging systems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the federal government, along with the continuing acceptance of private/public partnerships as an alternative funding source.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and third-party advertising market opportunities and the factors listed in each of the other business units to the extent they apply outside the United States and Canada.</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seriously impacted. Our Commercial and International business units are highly dependent on economic conditions in general.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to manufacture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U.S. generally accepted accounting principles ("GAAP").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Revenue recognition on long-term construction-type contracts. </w:t>
      </w:r>
      <w:r>
        <w:rPr>
          <w:rFonts w:ascii="Arial" w:cs="Arial" w:eastAsia="Arial" w:hAnsi="Arial"/>
          <w:sz w:val="17"/>
          <w:szCs w:val="17"/>
          <w:color w:val="auto"/>
        </w:rPr>
        <w:t>Earnings on construction-type contracts are recognized on the percentage-of-completion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 measured by the percentage of costs incurred to date to estimated total costs for each contract. Contract costs include all direct material, labor, subcontracting and indirect costs related to contract performance. Indirect costs include charges for such items as facilities, engineering and project management. Provisions for estimated losses on uncompleted contracts are made in the period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recognized uniformly over the performance of the combined projects. We segment revenues in accordance with the contract segmenting criteria in Accounting Standards Codification (“ASC”) 650-35, </w:t>
      </w:r>
      <w:r>
        <w:rPr>
          <w:rFonts w:ascii="Arial" w:cs="Arial" w:eastAsia="Arial" w:hAnsi="Arial"/>
          <w:sz w:val="17"/>
          <w:szCs w:val="17"/>
          <w:i w:val="1"/>
          <w:iCs w:val="1"/>
          <w:color w:val="auto"/>
        </w:rPr>
        <w:t>Construction-Type and Production-Type Contracts.</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there will be a material change in the future estimates or assumptions we use to determine the allowance for doubtful accounts. As of April 29, 2017 and April 30, 2016, we had an allowance for doubtful accounts balance of approximately $2.6 million and $2.8 million, respectively.</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have recognized an accrued liability for warranty obligations equal to our estimate of the actual costs to be incurred in connection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under the contractual warranties. Generally, estimates are based on historical experience taking into account known or expected changes. If we would become aware of an increase in our estimated warranty costs, additional accruals may become necessary, resulting in an increase in costs of goods sold. As of April 29, 2017 and April 30, 2016, we had approximately $27.9 million and $30.5 million accrued for these costs, respectively. Due to the difficulty in estimating probable costs related to certain warranty obligations, there is a reasonable likelihood that the ultimate remaining costs to remediate the warranty claims could differ materially from the recorded accrued liabilities. See "Note 17. Commitments and Contingencies" of the Notes to our Consolidated Financial Statements included in the Form 10-K for further information on warranties.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Extended warranty and product maintenance. </w:t>
      </w:r>
      <w:r>
        <w:rPr>
          <w:rFonts w:ascii="Arial" w:cs="Arial" w:eastAsia="Arial" w:hAnsi="Arial"/>
          <w:sz w:val="17"/>
          <w:szCs w:val="17"/>
          <w:color w:val="auto"/>
        </w:rPr>
        <w:t>We recognize deferred revenue related to separately priced extended warranty and product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The deferred revenue is recognized ratably over the contractual term. If we would become aware of an increase in our estimated costs under these agreements in excess of our deferred revenue, additional charges may be necessary, resulting in an increase in costs of goods sold. In determining if additional charges are necessary, we examine cost trends on the contracts and other information and compare them to the deferred revenue. We do not believe there is a reasonable likelihood there will be a material change in the future estimates or assumptions we use to determine estimated costs under these agreements. As of April 29, 2017 and April 30, 2016, we had $16.2 million and $15.1 million of deferred revenue related to separately priced extended warranty and product maintenance agreements, respectively.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stated at the lower of cost and net realizable value. Net realizable value is the estimated selling price in the ordinary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less reasonably predictable costs of completion, disposal, and transportation. In valuing inventory, we estimate net realizable value, and if it is believed to be lower than cost, any necessary adjustments are charged to costs of goods sold in the period in which they occur. In determining net realizable value, we review various factors such as current inventory levels, forecasted demand, and technological obsolescence. We do not believe there is a reasonable likelihood there will be a material change in the future estimates or assumptions we use to calculate net realizable value of inventory. However, if market conditions change, including changes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technology, product components used in our products or expected sales, we may be exposed to unforeseen losses which could be material. As of April 29, 2017 and April 30, 2016, we had $5.0 million of allowance for excess and obsolete inventory, respectively.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operate in multiple income tax jurisdictions both within the United States and internationally. Our annual tax rate is determined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our income, statutory tax rates and the tax impacts of items treated differently for tax purposes than for financial reporting purposes in each tax jurisdiction. Tax laws require that certain items be included in the tax returns at different times than the items are reflected in the financial statements. Some of these differences are permanent, such as expenses that are not deductible in our tax return, and some differences are temporary and reverse over time, such as depreciation expense. These temporary differences create deferred tax assets and liabilities and reflect the enacted income tax rates in effect for the years in which the differences are expected to reverse. We recognize a valuation allowance for deferred tax assets if it is "more likely than not" that some or all of the benefits will not be realized. As of April 29, 2017 and April 30, 2016, we had $2.1 million and $1.7 million of valuation allowances related to foreign net operating loss carryforwards and capital loss carryforwards.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we operate in multiple income tax jurisdictions both within the United States and internationally, management must determine the appropriate allocation of income and expenses to each of these jurisdictions based on current interpretations of complex income tax regulations.</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Income tax authorities in all jurisdictions regularly perform audits of our income tax filings. Income tax audits associated with the allocation of income, expenses and other complex issues, including transfer pricing methodologies, may require an extended period of time to resolve and may result in significant income tax adjustments if changes to the income allocation are required between jurisdictions with different income tax rates.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 deferred tax liability recognized relating to our investment in foreign subsidiaries where the earnings have been indefinitely reinvested. If circumstances change and it becomes apparent that some or all of the undistributed untaxed earnings of a subsidiary will be remitted to the United States, we will accrue a tax expense at that time. We have approximately $11.5 million of untaxed earnings which have been indefinitely reinvested.</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Carrying values of goodwill and other intangible assets with indefinite lives are reviewed at least annually for possible impairment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Our impairment review involves estimating the fair value of goodwill and indefinite-lived intangible assets using a combination of a market approach and an income (discounted cash flow) approach at the reporting unit level, requiring significant management judgment with respect to revenue and expense growth rates, changes in working capital, and the selection and use of an appropriate discount rate. The estimates of fair value of reporting units are based on the best information available as of the date of the assessment. The use of different assumptions would increase or decrease estimated discounted future operating cash flows and could increase or decrease any impairment charge. We use our judgment in assessing whether assets may have become impaired between annual impairment tests. Indicators such as adverse business conditions, economic factors and technological changes or competitive activities may signal an asset has become impaired.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Carrying values for long-lived tangible assets and definite-lived intangible assets, excluding goodwill and indefinite-lived intangible assets, are reviewed for possible impairment as circumstances warrant in connection with ASC 360-10-05-4,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xml:space="preserve"> Impairment reviews are conducted when we believe a change in circumstances in the business or external factors warrants a review. Circumstances such as the discontinuation of a product or product line, a sudden or consistent decline in the forecast for a product, changes in technology or in the way an asset is being used, a history of negative operating cash flow, or an adverse change in legal factors or in the business climate, among others, may be indicators that trigger an impairment review. Our initial impairment review to determine if a potential impairment charge is required is based on an undiscounted cash flow analysis at the lowest level for which identifiable cash flows exist. The analysis requires judgment with respect to changes in technology, the continued success of product lines, future volume, revenue and expense growth rates, and discount rates.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2017, we recognized an impairment loss of $0.8 million on intangible assets related to a technology and customer list. See "Note 5. Goodwill and Intangible Assets" of the Notes to our Consolidated Financial Statements included in the Form 10-K for further information.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We use the Black-Scholes standard option pricing model (“Black-Scholes model”) to determine the fair value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 purchase rights. The determination of the fair value of the awards on the date of grant using the Black-Scholes model is affected by our stock price as well as by assumptions regarding other variables, including projected employee stock option exercise behaviors, risk-free interest rate, expected volatility of our stock price in future periods, and expected dividend yield.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analyze historical employee exercise and termination data to estimate the expected life assumption of a new employee stock option. We believe historical data currently represents the best estimate of the expected life of a new employee stock option. The risk-free interest rate we use is based on the U.S. Treasury zero-coupon yield curve on the grant date for a maturity similar to the expected life of the options. We estimate the expected volatility of our stock price in future periods by using the historical volatility. We use an expected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dividend yield based on our historical dividend yield pattern. The amount of share-based compensation expense we recognize during a period is based on the portion of the awards ultimately expected to vest. We estimate pre-vesting option forfeitures at the time of grant by analyzing historical data, and we revise those estimates in subsequent periods if actual forfeitures differ from those estimates.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factors change and we employ different assumptions for estimating share-based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summary of recently issued accounting pronouncements and the effects those pronouncements have on our financial results, refer to "Note 1. Nature of Business and Summary of Critical Accounting Policies" of the Notes to our Consolidated Financial Statements included elsewhere in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regarding net sales for the fiscal years ended April 29, 2017, April 30, 2016, and May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272415</wp:posOffset>
            </wp:positionV>
            <wp:extent cx="5196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April 29,</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April 30,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3"/>
          </w:tcPr>
          <w:p>
            <w:pPr>
              <w:ind w:left="400"/>
              <w:spacing w:after="0"/>
              <w:rPr>
                <w:sz w:val="20"/>
                <w:szCs w:val="20"/>
                <w:color w:val="auto"/>
              </w:rPr>
            </w:pPr>
            <w:r>
              <w:rPr>
                <w:rFonts w:ascii="Arial" w:cs="Arial" w:eastAsia="Arial" w:hAnsi="Arial"/>
                <w:sz w:val="18"/>
                <w:szCs w:val="18"/>
                <w:b w:val="1"/>
                <w:bCs w:val="1"/>
                <w:color w:val="auto"/>
              </w:rPr>
              <w:t>2017 vs 2016</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May 2, 2015</w:t>
            </w:r>
          </w:p>
        </w:tc>
        <w:tc>
          <w:tcPr>
            <w:tcW w:w="160" w:type="dxa"/>
            <w:vAlign w:val="bottom"/>
          </w:tcPr>
          <w:p>
            <w:pPr>
              <w:spacing w:after="0"/>
              <w:rPr>
                <w:sz w:val="20"/>
                <w:szCs w:val="20"/>
                <w:color w:val="auto"/>
              </w:rPr>
            </w:pPr>
          </w:p>
        </w:tc>
        <w:tc>
          <w:tcPr>
            <w:tcW w:w="19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2016 vs 2015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Dollar</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Dollar</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Change</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Change</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3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148,073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148,261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213,982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205,151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8,831</w:t>
            </w:r>
          </w:p>
        </w:tc>
        <w:tc>
          <w:tcPr>
            <w:tcW w:w="1140" w:type="dxa"/>
            <w:vAlign w:val="bottom"/>
          </w:tcPr>
          <w:p>
            <w:pPr>
              <w:jc w:val="right"/>
              <w:spacing w:after="0"/>
              <w:rPr>
                <w:sz w:val="20"/>
                <w:szCs w:val="20"/>
                <w:color w:val="auto"/>
              </w:rPr>
            </w:pPr>
            <w:r>
              <w:rPr>
                <w:rFonts w:ascii="Arial" w:cs="Arial" w:eastAsia="Arial" w:hAnsi="Arial"/>
                <w:sz w:val="18"/>
                <w:szCs w:val="18"/>
                <w:color w:val="auto"/>
              </w:rPr>
              <w:t>4.3 %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231,877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(26,726)</w:t>
            </w: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82,798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70,035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52,426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52,249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140" w:type="dxa"/>
            <w:vAlign w:val="bottom"/>
          </w:tcPr>
          <w:p>
            <w:pPr>
              <w:jc w:val="right"/>
              <w:spacing w:after="0"/>
              <w:rPr>
                <w:sz w:val="20"/>
                <w:szCs w:val="20"/>
                <w:color w:val="auto"/>
              </w:rPr>
            </w:pPr>
            <w:r>
              <w:rPr>
                <w:rFonts w:ascii="Arial" w:cs="Arial" w:eastAsia="Arial" w:hAnsi="Arial"/>
                <w:sz w:val="18"/>
                <w:szCs w:val="18"/>
                <w:color w:val="auto"/>
              </w:rPr>
              <w:t>0.3 %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48,333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3,916</w:t>
            </w:r>
          </w:p>
        </w:tc>
        <w:tc>
          <w:tcPr>
            <w:tcW w:w="112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89,260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94,472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102,282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586,539</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570,168</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16,371</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2.9 %</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615,942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(45,774)</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151,562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135,824</w:t>
            </w:r>
          </w:p>
        </w:tc>
        <w:tc>
          <w:tcPr>
            <w:tcW w:w="2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15,738</w:t>
            </w:r>
          </w:p>
        </w:tc>
        <w:tc>
          <w:tcPr>
            <w:tcW w:w="1140" w:type="dxa"/>
            <w:vAlign w:val="bottom"/>
          </w:tcPr>
          <w:p>
            <w:pPr>
              <w:jc w:val="right"/>
              <w:spacing w:after="0"/>
              <w:rPr>
                <w:sz w:val="20"/>
                <w:szCs w:val="20"/>
                <w:color w:val="auto"/>
              </w:rPr>
            </w:pPr>
            <w:r>
              <w:rPr>
                <w:rFonts w:ascii="Arial" w:cs="Arial" w:eastAsia="Arial" w:hAnsi="Arial"/>
                <w:sz w:val="18"/>
                <w:szCs w:val="18"/>
                <w:color w:val="auto"/>
              </w:rPr>
              <w:t>11.6 %</w:t>
            </w:r>
          </w:p>
        </w:tc>
        <w:tc>
          <w:tcPr>
            <w:tcW w:w="2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170,209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(34,385)</w:t>
            </w: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222,965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220,377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83,605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76,485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7,120</w:t>
            </w:r>
          </w:p>
        </w:tc>
        <w:tc>
          <w:tcPr>
            <w:tcW w:w="1140" w:type="dxa"/>
            <w:vAlign w:val="bottom"/>
          </w:tcPr>
          <w:p>
            <w:pPr>
              <w:jc w:val="right"/>
              <w:spacing w:after="0"/>
              <w:rPr>
                <w:sz w:val="20"/>
                <w:szCs w:val="20"/>
                <w:color w:val="auto"/>
              </w:rPr>
            </w:pPr>
            <w:r>
              <w:rPr>
                <w:rFonts w:ascii="Arial" w:cs="Arial" w:eastAsia="Arial" w:hAnsi="Arial"/>
                <w:sz w:val="18"/>
                <w:szCs w:val="18"/>
                <w:color w:val="auto"/>
              </w:rPr>
              <w:t>9.3 %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69,188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7,297</w:t>
            </w:r>
          </w:p>
        </w:tc>
        <w:tc>
          <w:tcPr>
            <w:tcW w:w="112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62,638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56,834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92,734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71,266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21,468</w:t>
            </w:r>
          </w:p>
        </w:tc>
        <w:tc>
          <w:tcPr>
            <w:tcW w:w="1140" w:type="dxa"/>
            <w:vAlign w:val="bottom"/>
          </w:tcPr>
          <w:p>
            <w:pPr>
              <w:jc w:val="right"/>
              <w:spacing w:after="0"/>
              <w:rPr>
                <w:sz w:val="20"/>
                <w:szCs w:val="20"/>
                <w:color w:val="auto"/>
              </w:rPr>
            </w:pPr>
            <w:r>
              <w:rPr>
                <w:rFonts w:ascii="Arial" w:cs="Arial" w:eastAsia="Arial" w:hAnsi="Arial"/>
                <w:sz w:val="18"/>
                <w:szCs w:val="18"/>
                <w:color w:val="auto"/>
              </w:rPr>
              <w:t>30.1 %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114,977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(43,711)</w:t>
            </w: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613,504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560,786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52,718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631,573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79"/>
              </w:rPr>
              <w:t>21</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Net sales for fiscal 2017 compared to fiscal 2016 remained relatively flat. We had declines in billboard shipments this year compared to last year</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volatility of large custom video demand in our spectacular niche, offset by increased demand in our on-premise niche related to a full year of sales from ADFLOW, the company we acquired in the fourth quarter of fiscal 2016. ADFLOW sales in the Commercial business unit were $9.9 million during fiscal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orders for fiscal 2017 compared to fiscal 2016 was primarily due to the timing of an increase in our on-premise niche related to in-store media solutions due to ADFLOW and increases in the spectacular niche due to the timing of large customer projects. While we estimate our market share held in the billboard niche national operators expanded with independent billboard operators, we experienced a decline in billboard niche orders for the year. Order activity in the billboard niche is impacted by customer capital allocation decisions and overall satisfaction with our product lifetime, leading to longer product replacement cycles.</w:t>
      </w:r>
    </w:p>
    <w:p>
      <w:pPr>
        <w:spacing w:after="0" w:line="188" w:lineRule="exact"/>
        <w:rPr>
          <w:sz w:val="20"/>
          <w:szCs w:val="20"/>
          <w:color w:val="auto"/>
        </w:rPr>
      </w:pPr>
    </w:p>
    <w:p>
      <w:pPr>
        <w:jc w:val="both"/>
        <w:ind w:left="60"/>
        <w:spacing w:after="0" w:line="237" w:lineRule="auto"/>
        <w:rPr>
          <w:sz w:val="20"/>
          <w:szCs w:val="20"/>
          <w:color w:val="auto"/>
        </w:rPr>
      </w:pPr>
      <w:r>
        <w:rPr>
          <w:rFonts w:ascii="Arial" w:cs="Arial" w:eastAsia="Arial" w:hAnsi="Arial"/>
          <w:sz w:val="18"/>
          <w:szCs w:val="18"/>
          <w:color w:val="auto"/>
        </w:rPr>
        <w:t>We continue to see adoption of video solutions in our Commercial business unit marketplace. We see opportunity for orders and sales in our billboard, on-premise, and spectacular niches due to replacement cycles, expansion of Dynamic Messaging Systems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usage, and increased market size due to decline of digital pricing solutions over the years. A number of large custom video contract opportunities are available in the marketplace for unique facades throughout North America. Due to a number of factors, such as the discretionary nature of customers committing to a system, economic dependencies, regulatory environment, and competitive factors, it is difficult to predict orders and net sales for fiscal 2018. We expect growth in this business unit over the long-term, assuming favorable economic conditions.</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increase in net sales for fiscal 2017 compared to fiscal 2016 was primarily due to work completed for football stadiums and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for upgraded or new solutions throughout other sports venues for national sports leagues, minor league teams and colleges and universities.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fiscal 2017 compared to fiscal 2016 was primarily the result of order timing variability of large professional sports projects as compared to last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see ongoing interest from venues at all levels to increase the size and capability of their display system in our Live Events business unit marketplace. A number of factors, such as the discretionary nature of customers committing to upgrade systems, long replacement cycles, and competitive factors, make forecasting fiscal 2018 orders and net sales difficult. We expect growth in this business unit over the long-term, assuming favorable economic conditions and our success in counteracting competitive pressures.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fiscal 2017 compared to fiscal 2016 was primarily</w:t>
      </w:r>
      <w:r>
        <w:rPr>
          <w:rFonts w:ascii="Arial" w:cs="Arial" w:eastAsia="Arial" w:hAnsi="Arial"/>
          <w:sz w:val="18"/>
          <w:szCs w:val="18"/>
          <w:i w:val="1"/>
          <w:iCs w:val="1"/>
          <w:color w:val="auto"/>
        </w:rPr>
        <w:t xml:space="preserve"> </w:t>
      </w:r>
      <w:r>
        <w:rPr>
          <w:rFonts w:ascii="Arial" w:cs="Arial" w:eastAsia="Arial" w:hAnsi="Arial"/>
          <w:sz w:val="18"/>
          <w:szCs w:val="18"/>
          <w:color w:val="2C2C2C"/>
        </w:rPr>
        <w:t>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video project sizes with</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average selling prices and more custom indoor video and audio demand compared to last year.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orders for fiscal 2017 compared to fiscal 2016 was primarily due to strong market demand for video in sporting applications with larger average selling prices than orders for scoring or message centers.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larger video systems and our classic scoring and message centers to remain in demand in fiscal 2018, primarily in high school facilities which benefit from our sports marketing services that generate advertising revenue to fund the display systems and because of schools' desires to communicate with students and parents. A number of factors, such as the discretionary nature of customers committing to upgrade systems and competitive factors, make forecasting fiscal 2018 orders and net sales difficult. For the long term, we believe this market presents growth opportunities as the economy continues to improve and larger video systems are adopted.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for fiscal 2017 compared to fiscal 2016 remained relatively flat.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fiscal 2017 compared to fiscal 2016 was primarily due to the variability caused by large order timing and increased state government procurement project activity. During fiscal 2017, we had an award of a multi-million dollar project for an active traffic management system with no same sized projects in the prior year.</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number of factors, such as transportation funding, the competitive environment, customer delivery changes and various other factors, make forecasting orders and net sales difficult for fiscal 2018. However, the stability of long-term federal transportation funding and the number of capital projects for highways and public transit that include dynamic message signs show signs of growth over the long-term. Without transportation funding, payments to state governments could be reduced and could have a negative impact on our net sales and financial results in the Transportation business unit.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decrease in net sales for fiscal 2017 compared to fiscal 2016 was primarily the result of the variability of timing of conversion of orders to</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Our backlog increased at the end of fiscal 2017 and had been reduced at the end of fiscal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fiscal 2017 compared to fiscal 2016 was primarily due to increased market activity in sports and spectacular projects and OOH application business. Global macroeconomic conditions also improved during fiscal 2017 as compared fiscal 2016.</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2018, while our pipeline for large commercial, sports and OOH application, and transportation applications remains strong, macroeconomic factors may impact order bookings and timing, making it difficult to predict order and sales levels for fiscal 2018. For the long-term, we believe the International business unit has the potential for sales growth as we penetrate markets with our established sales networks to increase our International market share and due to the increased use and adoption of our technology globally.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The product order backlog as of April 29, 2017 was $203.2 million as compared to $181.2 million as of April 30, 2016. Historically, our backlog</w:t>
      </w:r>
      <w:r>
        <w:rPr>
          <w:rFonts w:ascii="Arial" w:cs="Arial" w:eastAsia="Arial" w:hAnsi="Arial"/>
          <w:sz w:val="18"/>
          <w:szCs w:val="18"/>
          <w:i w:val="1"/>
          <w:iCs w:val="1"/>
          <w:color w:val="auto"/>
        </w:rPr>
        <w:t xml:space="preserve"> </w:t>
      </w:r>
      <w:r>
        <w:rPr>
          <w:rFonts w:ascii="Arial" w:cs="Arial" w:eastAsia="Arial" w:hAnsi="Arial"/>
          <w:sz w:val="18"/>
          <w:szCs w:val="18"/>
          <w:color w:val="auto"/>
        </w:rPr>
        <w:t>varies due to the seasonality of our business, the timing of large projects, and customer delivery schedules for these orders. The backlog increased from one year ago in all of our business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and orders were impacted as a result of the 53-week fiscal year ended May 2, 2015 compared to the more common 52-week fiscal year. The fiscal year ended April 30, 2016 contained 52-weeks. The additional week of sales constituted approximately 2% of the decrease in the net sales for the 2016 fiscal year compared to fiscal 2015.</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decrease in net sales for fiscal 2016 compared to fiscal 2015 was the net result of a decrease of sales in our billboard niche due to volatility</w:t>
      </w:r>
      <w:r>
        <w:rPr>
          <w:rFonts w:ascii="Arial" w:cs="Arial" w:eastAsia="Arial" w:hAnsi="Arial"/>
          <w:sz w:val="17"/>
          <w:szCs w:val="17"/>
          <w:i w:val="1"/>
          <w:iCs w:val="1"/>
          <w:color w:val="auto"/>
        </w:rPr>
        <w:t xml:space="preserve"> </w:t>
      </w:r>
      <w:r>
        <w:rPr>
          <w:rFonts w:ascii="Arial" w:cs="Arial" w:eastAsia="Arial" w:hAnsi="Arial"/>
          <w:sz w:val="17"/>
          <w:szCs w:val="17"/>
          <w:color w:val="auto"/>
        </w:rPr>
        <w:t>of order timing and general market delay in placing orders as compared to prior periods due to customer capital allocation decisions and overall satisfaction with our product lifetime, leading to longer product replacement cycles. There were higher than usual fiscal 2015 first quarter billboard sales caused by construction site delays in late fiscal 2014 that moved more work into fiscal 2015. Net sales in our spectacular niche were also down in fiscal 2016 as compared to fiscal 2015 due to the timing of projects, which was offset by an increase in the net sales of our on-premise niche in fiscal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orders for fiscal 2016 compared to fiscal 2015 was primarily due to the softening in customer demand in the digital billboard niche and delayed customer commitments on large custom video project orders in our spectacular niche. In fiscal 2016 as compared to fiscal 2015, orders increased in our national account niche because of increased demand from a national company using petroleum displays, and orders were up slightly in our on-premise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fiscal 2016 compared to fiscal 2015 was primarily due to the timing of orders converting to sales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delivery expectations and due to the slight decline of orders for the year.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orders for fiscal 2016 compared to fiscal 2015 was primarily the result of the order timing variability on large projects. In addition, we had a large National Football League ("NFL") order in fiscal 2015, and no order of similar size occurred during fiscal 2016.</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fiscal 2016 compared to fiscal 2015 was primarily</w:t>
      </w:r>
      <w:r>
        <w:rPr>
          <w:rFonts w:ascii="Arial" w:cs="Arial" w:eastAsia="Arial" w:hAnsi="Arial"/>
          <w:sz w:val="18"/>
          <w:szCs w:val="18"/>
          <w:i w:val="1"/>
          <w:iCs w:val="1"/>
          <w:color w:val="auto"/>
        </w:rPr>
        <w:t xml:space="preserve"> </w:t>
      </w:r>
      <w:r>
        <w:rPr>
          <w:rFonts w:ascii="Arial" w:cs="Arial" w:eastAsia="Arial" w:hAnsi="Arial"/>
          <w:sz w:val="18"/>
          <w:szCs w:val="18"/>
          <w:color w:val="2C2C2C"/>
        </w:rPr>
        <w:t>due to increased demand for large display</w:t>
      </w:r>
      <w:r>
        <w:rPr>
          <w:rFonts w:ascii="Arial" w:cs="Arial" w:eastAsia="Arial" w:hAnsi="Arial"/>
          <w:sz w:val="18"/>
          <w:szCs w:val="18"/>
          <w:i w:val="1"/>
          <w:iCs w:val="1"/>
          <w:color w:val="auto"/>
        </w:rPr>
        <w:t xml:space="preserve"> </w:t>
      </w:r>
      <w:r>
        <w:rPr>
          <w:rFonts w:ascii="Arial" w:cs="Arial" w:eastAsia="Arial" w:hAnsi="Arial"/>
          <w:sz w:val="18"/>
          <w:szCs w:val="18"/>
          <w:color w:val="2C2C2C"/>
        </w:rPr>
        <w:t>systems.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fiscal 2016 compared to fiscal 2015 was primarily due to larger average order sizes due to increased video projects during fiscal 2016 and increased win rates across the market.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fiscal 2016 compared to fiscal 2015 was primarily the result of increased availability of federal funding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intelligent transportation systems and mass transit projects.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increase in orders for fiscal 2016 compared to fiscal 2015 was primarily due to market demand for intelligent transportation systems due to the availability of federal funding from a number of departments of transportation across the United States and success in winning mass transit projects.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decrease in net sales for fiscal 2016 compared to fiscal 2015 was the net result of a lower volume of orders.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orders for fiscal 2016 compared to fiscal 2015 was primarily due to global macroeconomic conditions, a strong U.S. dollar, competition, and the timing and volatility of large orders.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4"/>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ind w:left="82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4"/>
          </w:tcPr>
          <w:p>
            <w:pPr>
              <w:ind w:left="580"/>
              <w:spacing w:after="0"/>
              <w:rPr>
                <w:sz w:val="20"/>
                <w:szCs w:val="20"/>
                <w:color w:val="auto"/>
              </w:rPr>
            </w:pPr>
            <w:r>
              <w:rPr>
                <w:rFonts w:ascii="Arial" w:cs="Arial" w:eastAsia="Arial" w:hAnsi="Arial"/>
                <w:sz w:val="18"/>
                <w:szCs w:val="18"/>
                <w:b w:val="1"/>
                <w:bCs w:val="1"/>
                <w:color w:val="auto"/>
              </w:rPr>
              <w:t>April 29, 2017</w:t>
            </w:r>
          </w:p>
        </w:tc>
        <w:tc>
          <w:tcPr>
            <w:tcW w:w="220" w:type="dxa"/>
            <w:vAlign w:val="bottom"/>
          </w:tcPr>
          <w:p>
            <w:pPr>
              <w:spacing w:after="0"/>
              <w:rPr>
                <w:sz w:val="20"/>
                <w:szCs w:val="20"/>
                <w:color w:val="auto"/>
              </w:rPr>
            </w:pPr>
          </w:p>
        </w:tc>
        <w:tc>
          <w:tcPr>
            <w:tcW w:w="2720" w:type="dxa"/>
            <w:vAlign w:val="bottom"/>
            <w:gridSpan w:val="4"/>
          </w:tcPr>
          <w:p>
            <w:pPr>
              <w:ind w:left="620"/>
              <w:spacing w:after="0"/>
              <w:rPr>
                <w:sz w:val="20"/>
                <w:szCs w:val="20"/>
                <w:color w:val="auto"/>
              </w:rPr>
            </w:pPr>
            <w:r>
              <w:rPr>
                <w:rFonts w:ascii="Arial" w:cs="Arial" w:eastAsia="Arial" w:hAnsi="Arial"/>
                <w:sz w:val="18"/>
                <w:szCs w:val="18"/>
                <w:b w:val="1"/>
                <w:bCs w:val="1"/>
                <w:color w:val="auto"/>
              </w:rPr>
              <w:t>April 30, 2016</w:t>
            </w:r>
          </w:p>
        </w:tc>
        <w:tc>
          <w:tcPr>
            <w:tcW w:w="220" w:type="dxa"/>
            <w:vAlign w:val="bottom"/>
          </w:tcPr>
          <w:p>
            <w:pPr>
              <w:spacing w:after="0"/>
              <w:rPr>
                <w:sz w:val="20"/>
                <w:szCs w:val="20"/>
                <w:color w:val="auto"/>
              </w:rPr>
            </w:pPr>
          </w:p>
        </w:tc>
        <w:tc>
          <w:tcPr>
            <w:tcW w:w="2520" w:type="dxa"/>
            <w:vAlign w:val="bottom"/>
            <w:gridSpan w:val="3"/>
          </w:tcPr>
          <w:p>
            <w:pPr>
              <w:ind w:left="700"/>
              <w:spacing w:after="0"/>
              <w:rPr>
                <w:sz w:val="20"/>
                <w:szCs w:val="20"/>
                <w:color w:val="auto"/>
              </w:rPr>
            </w:pPr>
            <w:r>
              <w:rPr>
                <w:rFonts w:ascii="Arial" w:cs="Arial" w:eastAsia="Arial" w:hAnsi="Arial"/>
                <w:sz w:val="18"/>
                <w:szCs w:val="18"/>
                <w:b w:val="1"/>
                <w:bCs w:val="1"/>
                <w:color w:val="auto"/>
              </w:rPr>
              <w:t>May 2, 2015</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a Percent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a Percent of</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60" w:type="dxa"/>
            <w:vAlign w:val="bottom"/>
          </w:tcPr>
          <w:p>
            <w:pPr>
              <w:spacing w:after="0"/>
              <w:rPr>
                <w:sz w:val="16"/>
                <w:szCs w:val="16"/>
                <w:color w:val="auto"/>
              </w:rPr>
            </w:pPr>
          </w:p>
        </w:tc>
        <w:tc>
          <w:tcPr>
            <w:tcW w:w="2820" w:type="dxa"/>
            <w:vAlign w:val="bottom"/>
            <w:gridSpan w:val="3"/>
          </w:tcPr>
          <w:p>
            <w:pPr>
              <w:ind w:left="2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20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00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5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6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36,514</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w w:val="97"/>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29,147</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19.7%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44,344</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26.7%</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40,810</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36,568</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40,945</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17.7</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26,388</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20,624</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29.4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21,561</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31.9</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18,027</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16,572</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14,647</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30.3</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18,676</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18,108</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23,082</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22.6</w:t>
            </w:r>
          </w:p>
        </w:tc>
      </w:tr>
      <w:tr>
        <w:trPr>
          <w:trHeight w:val="257"/>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140,415</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w w:val="97"/>
              </w:rPr>
              <w:t>23.9%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121,019</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21.2%</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144,579</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23.5%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profit percentage increase for fiscal 2017 compared to fiscal 2016 was primarily due to lower warranty charges, higher sales volumes, and the product mix of sales. The following describes the overall impact by business unit: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Commercial: </w:t>
      </w:r>
      <w:r>
        <w:rPr>
          <w:rFonts w:ascii="Arial" w:cs="Arial" w:eastAsia="Arial" w:hAnsi="Arial"/>
          <w:sz w:val="16"/>
          <w:szCs w:val="16"/>
          <w:color w:val="auto"/>
        </w:rPr>
        <w:t>The gross profit percent increase in the Commercial business unit for fiscal 2017 compared to fiscal 2016 was primarily the result of lower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charges as fiscal 2016 had specific warranty obligations for particular projects, improved productivity at lower costs in manufacturing areas, the non-recurrence of a licensing charge that negatively impacted fiscal 2016, offset by lower profitability on sales mix due to the competitive environment.</w:t>
      </w:r>
    </w:p>
    <w:p>
      <w:pPr>
        <w:spacing w:after="0" w:line="147" w:lineRule="exact"/>
        <w:rPr>
          <w:sz w:val="20"/>
          <w:szCs w:val="20"/>
          <w:color w:val="auto"/>
        </w:rPr>
      </w:pPr>
    </w:p>
    <w:p>
      <w:pPr>
        <w:ind w:left="6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in the Live Events business unit for fiscal 2017 compared to fiscal 2016 was the result of a favorable sales mix</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project sizes and type, increased volumes of sales, and slight decline in manufacturing related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in the High School Park and Recreation business unit for fiscal 2017 compared to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2016 primarily was due to increased volumes of sales over our relatively fixed manufacturing cost infrastructure and lower production costs due to process improvements.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fiscal 2017 compared to fiscal 2016 was primarily due to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sales mix and lower warranty costs as a percent of sales.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gross profit percent increase in the International business unit for fiscal 2017 compared to fiscal 2016 was primarily the result of lower</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costs as a percent of sales, which were offset by a negative impact due to a $0.6 million non-digital technology intangible asset impairment.</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It is difficult to project gross profit levels for fiscal 2018 because of the uncertainty regarding the level of sales, the sales mix and timing, and the competitive factors in our business. We are focused on improving our gross profit margins as we execute our strategies for improved profitability, which include releasing new product designs to lower overall costs of the product, improving reliability to reduce warranty expenses, global capacity capability and planning, meeting customer solution expectations, and continued improvements in operational effectiveness in manufacturing, installation, and services delivery areas.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profit percentage decreased for fiscal 2016 compared to fiscal 2015. This decline was primarily due to additional warranty charges in fiscal 2016, decreased volume levels throughout manufacturing areas, increased personnel costs, a change in the mix of business, and the increased competitive environment. The following describes the overall impact by business unit: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Commercial: </w:t>
      </w:r>
      <w:r>
        <w:rPr>
          <w:rFonts w:ascii="Arial" w:cs="Arial" w:eastAsia="Arial" w:hAnsi="Arial"/>
          <w:sz w:val="16"/>
          <w:szCs w:val="16"/>
          <w:color w:val="auto"/>
        </w:rPr>
        <w:t>The gross profit percent decrease in the Commercial business unit for fiscal 2016 compared to fiscal 2015 was primarily the result of a $9.2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warranty charge in our OOH product application, which decreased the Commercial gross profit percentage by 6.1% for the 2016 fiscal year. This warranty charge relates to the costs of upgrading firmware to improve display performance and refurbishing displays. Gross profit also declined due to low manufacturing utilization as a result of decreases in billboard demand, the product mix of sales, and overall competitiveness of large custom contracts.</w:t>
      </w:r>
    </w:p>
    <w:p>
      <w:pPr>
        <w:spacing w:after="0" w:line="154"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slight gross profit percent increase in the Live Events business unit for fiscal 2016 compared to fiscal 2015 was the result of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incurred for overtime, expediting, and shipping costs to meet critical event dates incurred for our customers in fiscal 2015 that were not incurred in fiscal 2016 and improved manufacturing utilization, which were offset by an increase in warranty costs as a percent of sales and increases in personnel related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gross profit percent decrease in the High School Park and Recreation business unit for fiscal 2016 compared to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2015 primarily was due to recognizing a $1.3 million gain on the sale of our theatre rigging manufacturing division during fiscal 2015 and having no comparable transaction occurring during fiscal 2016. Gross profit also declined due to increases in personnel related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fiscal 2016 compared to fiscal 2015 was primarily due to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mix of sales and improved manufacturing utilization.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gross profit percent decrease in the International business unit for fiscal 2016 compared to fiscal 2015 was primarily the result of low</w:t>
      </w:r>
      <w:r>
        <w:rPr>
          <w:rFonts w:ascii="Arial" w:cs="Arial" w:eastAsia="Arial" w:hAnsi="Arial"/>
          <w:sz w:val="17"/>
          <w:szCs w:val="17"/>
          <w:i w:val="1"/>
          <w:iCs w:val="1"/>
          <w:color w:val="auto"/>
        </w:rPr>
        <w:t xml:space="preserve"> </w:t>
      </w:r>
      <w:r>
        <w:rPr>
          <w:rFonts w:ascii="Arial" w:cs="Arial" w:eastAsia="Arial" w:hAnsi="Arial"/>
          <w:sz w:val="17"/>
          <w:szCs w:val="17"/>
          <w:color w:val="auto"/>
        </w:rPr>
        <w:t>utilization of our international manufacturing facilities due to lower sales volume and increases in warranty costs as a percent of sales.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Selling Expenses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4"/>
          </w:tcPr>
          <w:p>
            <w:pPr>
              <w:ind w:left="54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April 29, 2017</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April 30, 2016</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May 2, 2015</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9"/>
              </w:rPr>
              <w:t>As a Percent</w:t>
            </w:r>
          </w:p>
        </w:tc>
      </w:tr>
      <w:tr>
        <w:trPr>
          <w:trHeight w:val="194"/>
        </w:trPr>
        <w:tc>
          <w:tcPr>
            <w:tcW w:w="21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80" w:type="dxa"/>
            <w:vAlign w:val="bottom"/>
          </w:tcPr>
          <w:p>
            <w:pPr>
              <w:spacing w:after="0"/>
              <w:rPr>
                <w:sz w:val="16"/>
                <w:szCs w:val="16"/>
                <w:color w:val="auto"/>
              </w:rPr>
            </w:pPr>
          </w:p>
        </w:tc>
        <w:tc>
          <w:tcPr>
            <w:tcW w:w="92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6"/>
                <w:szCs w:val="16"/>
                <w:color w:val="auto"/>
              </w:rPr>
            </w:pPr>
          </w:p>
        </w:tc>
        <w:tc>
          <w:tcPr>
            <w:tcW w:w="116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4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2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18,468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15,938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21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13,060</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13,390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13,611</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Recreation</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10,275</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10,310</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10,436</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r>
      <w:tr>
        <w:trPr>
          <w:trHeight w:val="243"/>
        </w:trPr>
        <w:tc>
          <w:tcPr>
            <w:tcW w:w="21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4,561</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4,106</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4,244</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8.8</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15,323</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15,068</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13,870</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13.6</w:t>
            </w:r>
          </w:p>
        </w:tc>
      </w:tr>
      <w:tr>
        <w:trPr>
          <w:trHeight w:val="257"/>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61,687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58,812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57,963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2017, we focused on constraining cost growth throughout the company due to short-term order uncertainty and our desire to allocate additional resources to product design and development. Selling expense in the Commercial business unit increased primarily due to a full year of expenses from ADFLOW, the company acquired in the fourth quarter of fiscal 2016. Selling expense was constrained and remained relatively flat in dollars for fiscal 2017 compared to fiscal 2016 in in our Live Events, High School Park and Recreation, Transportation, and International business units. International business unit selling expenses included a $0.2 million intangible asset impairment related to a customer list. Bad debt expense company-wide was $1.4 million for fiscal 2017 as compared to $1.3 million for fiscal 2016. We continue to focus on recovery and collection risk mitigation.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2018, we plan to invest in areas to enable order growth, but continue to expect constraints in selling expenses. We expect selling expenses will increase slightly in dollars for fiscal 2018 as compared to fiscal 2017.</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areas of selling expenses were impacted as a result of the 53-week fiscal year ended May 2, 2015 compared to the more common 52-week fiscal year. The fiscal year ended April 30, 2016 contained 52-weeks.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Transportation, Live Events, and High School Park and Recreation business units decreased for fiscal 2016 compared to fiscal 2015 primarily due to the additional week of selling expenses in the first quarter of fiscal year 2015 and decreases in our travel and entertainment expenses, marketing expenses, and third party commissions.</w:t>
      </w:r>
    </w:p>
    <w:p>
      <w:pPr>
        <w:spacing w:after="0" w:line="181"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Selling expense in our International business unit increased in fiscal 2016 compared to fiscal 2015 primarily due to increases in personnel expenses, bad debt expense, and third-party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Selling expense in our Commercial business unit remained relatively flat.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ind w:left="500"/>
              <w:spacing w:after="0"/>
              <w:rPr>
                <w:sz w:val="20"/>
                <w:szCs w:val="20"/>
                <w:color w:val="auto"/>
              </w:rPr>
            </w:pPr>
            <w:r>
              <w:rPr>
                <w:rFonts w:ascii="Arial" w:cs="Arial" w:eastAsia="Arial" w:hAnsi="Arial"/>
                <w:sz w:val="18"/>
                <w:szCs w:val="18"/>
                <w:b w:val="1"/>
                <w:bCs w:val="1"/>
                <w:color w:val="auto"/>
              </w:rPr>
              <w:t>Year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April 29, 2017</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April 30, 2016</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May 2, 2015</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w:t>
            </w:r>
          </w:p>
        </w:tc>
      </w:tr>
      <w:tr>
        <w:trPr>
          <w:trHeight w:val="194"/>
        </w:trPr>
        <w:tc>
          <w:tcPr>
            <w:tcW w:w="24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6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6"/>
                <w:szCs w:val="16"/>
                <w:color w:val="auto"/>
              </w:rPr>
            </w:pPr>
          </w:p>
        </w:tc>
        <w:tc>
          <w:tcPr>
            <w:tcW w:w="118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08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0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08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34,226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32,801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30,679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460" w:type="dxa"/>
            <w:vAlign w:val="bottom"/>
            <w:gridSpan w:val="3"/>
          </w:tcPr>
          <w:p>
            <w:pPr>
              <w:ind w:left="40"/>
              <w:spacing w:after="0"/>
              <w:rPr>
                <w:sz w:val="20"/>
                <w:szCs w:val="20"/>
                <w:color w:val="auto"/>
              </w:rPr>
            </w:pPr>
            <w:r>
              <w:rPr>
                <w:rFonts w:ascii="Arial" w:cs="Arial" w:eastAsia="Arial" w:hAnsi="Arial"/>
                <w:sz w:val="18"/>
                <w:szCs w:val="18"/>
                <w:color w:val="auto"/>
                <w:w w:val="91"/>
              </w:rPr>
              <w:t>Product design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29,081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26,911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24,652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 of supplies.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General and administrative expenses in fiscal 2017 increased as compared to fiscal 2016 primarily due to increases in personnel expenses and professional fees, partially offset by declines in information technology software and hardware expenses. Professional fees have increased due to defensive work to protect our patent portfolio.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expenses to increase in dollars primarily for personnel related expenses and investments in information technology software and hardware expenses for fiscal 2018 as compared to fiscal 2017.</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 and equipment-related costs and supplies. Product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continued investments in our software and controller capabilities throughout our varied product offerings. Through all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costs for product development represent an allocated amount of costs based on time charges, professional services, materials costs and the overhead of our engineering departments. Generally, a significant portion of our engineering time is spent on product development while the rest is allocated to large contract work and is included in cost of goods sold. Product development expenses in fiscal 2017 increased compared to fiscal 2016 primarily due to increased labor costs and professional services assigned to product development projects relating to our strategy to accelerate the deployment of our products and solutions to the market. This acceleration is expected to cause product design and development expenses to increase in fiscal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areas of operating expenses were impacted as a result of the 53-week fiscal year ended May 2, 2015 compared to the more common 52-week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ended April 30, 2016 contained 52-weeks.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 fiscal 2016 increased as compared to fiscal 2015 primarily due to increases in information technology and personnel expenses, which were partially offset by decreases in professional fees.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development expenses in fiscal 2016 increased compared to fiscal 2015 primarily due to an increase in time spent on the development of new or enhanced solutions development in order to meet market demand for these solutions. The increase is primarily a function of the increased activity and includes personnel, materials, and professional services expenditures.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w w:val="96"/>
              </w:rPr>
              <w:t>Other Income and Expenses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4"/>
          </w:tcPr>
          <w:p>
            <w:pPr>
              <w:ind w:left="50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April 29, 2017</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April 30, 2016</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May 2, 2015</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 a Percent</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w:t>
            </w:r>
          </w:p>
        </w:tc>
      </w:tr>
      <w:tr>
        <w:trPr>
          <w:trHeight w:val="194"/>
        </w:trPr>
        <w:tc>
          <w:tcPr>
            <w:tcW w:w="2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0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0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10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5"/>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236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176.6 %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as compared to Fiscal Year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income, net decreased in fiscal 2017 as compared to fiscal 2016 as a result of lower long-term receivables which bear imputed interest rates and lower interest rates realized on lower average invested cash during the same period. As a result of the volatility of working capital needs and changes in investing and financing activities, along with changes in the interest rate environment, it is difficult to project changes in interest income.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fiscal 2017 as compared to fiscal 2016 was primarily due to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offset by the losses from an equity method affiliate.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as compared to Fiscal Year 2015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income, net: </w:t>
      </w:r>
      <w:r>
        <w:rPr>
          <w:rFonts w:ascii="Arial" w:cs="Arial" w:eastAsia="Arial" w:hAnsi="Arial"/>
          <w:sz w:val="16"/>
          <w:szCs w:val="16"/>
          <w:color w:val="auto"/>
        </w:rPr>
        <w:t>Interest income, net decreased in fiscal 2016 as compared to fiscal 2015 as a result of interest expenses related to a tax audit assessment.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fiscal 2016 as compared to fiscal 2015 was primarily due to adjustment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consideration for a past acquisition offset by foreign currency gains.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was approximately 33.7 percent, 34.1 percent and 34.1 percent for fiscal 2017, fiscal 2016, and fiscal 2015, respectively.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 income tax rate for fiscal 2017 includes the impact of benefits from increased research and development tax credits due to increased activities globally offset by valuation allowances recorded during the current year in certain foreign jurisdictions.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effective income tax rate for fiscal 2016 includes the impact of The Protecting Americans from Tax Hikes Act of 2015 (“PATH Act”) signed by the President in December 2015. Under prior law, a taxpayer was not entitled to a research tax credit for qualifying amounts paid or incurred after December 31, 2014. However, under the PATH Act, a taxpayer is now entitled to a research tax credit for qualifying amounts paid or incurred after December 31, 2014 with no expiration. As a result of the retroactive reinstatement and permanent extension, we recognized approximately $2.0 million in tax benefits during fiscal 2016. The benefit is largely offset by pre-tax losses with no tax benefit due to valuation allowances and the current year establishment of valuation allowances in certain jurisdictions of $1.2 million that were recognized during fiscal 2016.</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effective income tax rate for fiscal 2015 includes the impact of The Tax Increase Prevention Act of 2014 signed by the President in December 2014, which extended the research tax credits for one year to December 31, 2014. Under prior law, a taxpayer was entitled to a research tax credit for qualifying amounts paid or incurred on or before December 31, 2013. The extension of the research credit was retroactive and included amounts paid or incurred after December 31, 2013. As a result of the retroactive extension, we recognized approximately $1.3 million in tax benefits during fiscal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29,</w:t>
            </w:r>
          </w:p>
        </w:tc>
        <w:tc>
          <w:tcPr>
            <w:tcW w:w="180" w:type="dxa"/>
            <w:vAlign w:val="bottom"/>
          </w:tcPr>
          <w:p>
            <w:pPr>
              <w:spacing w:after="0"/>
              <w:rPr>
                <w:sz w:val="22"/>
                <w:szCs w:val="22"/>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(23,818)</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(17,754)</w:t>
            </w:r>
          </w:p>
        </w:tc>
        <w:tc>
          <w:tcPr>
            <w:tcW w:w="16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(965)</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(28,956)</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114.8 %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Operating cash flows consist primarily of net income adjusted for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stock-based compensation, deferred income taxes and the effect of changes in operating assets and liabilities.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was $39.4 million for fiscal 2017 compared to $13.6 million in fiscal 2016. The increase in cash provided by operating activities of $25.8 million was the net result of an increase for changes in net operating assets and liabilities of $16.9 million, an increase of $8.3 million in net income, a $1.6 million increase in depreciation and amortization, a $0.8 million increase in an impairment loss of intangible assets, a $0.1 million loss on the sale of property and equipment, and a $1.1 million increase in other non-cash items, net, adjusted by a decrease of $3.0 million in our deferred income taxes, net.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changes in operating assets and liabilities can be impacted by the timing of cash flow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markets. For information regarding changes in operating assets and liabilities, see "Note 14. Cash Flow Information" of the Notes to our Consolidated Financial Statements included in the Form 10-K.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Net cash used in investing activities totaled $18.2 million for fiscal 2017 compared to $23.8 million in fiscal 2016.</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totaled $8.5 million in fiscal 2017 compared to $17.1 million in fiscal 2016. A net cash outlay of $1.6 million was recognized during fiscal 2017 compared to $7.9 million recognized in fiscal 2016 for acquisitions and equity investments. An increase in net cash invested in marketable securities for fiscal 2017, net of maturities of $8.8 million, was due to the increase in cash from operations, a decrease in cash outflow expectations, and the timing of investment decisions of excess cash into marketable securities.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17"/>
          <w:szCs w:val="17"/>
          <w:color w:val="auto"/>
        </w:rPr>
        <w:t>Net cash used in financing activities was $16.3 million for fiscal 2017 compared to $17.8 million in fiscal 2016.</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of $13.7 million, or $0.31 per share, were paid to Daktronics shareholders during fiscal 2017 compared to $17.6 million, or $0.40 per share, paid to Daktronics shareholders during fiscal 2016. In the first quarter of fiscal 2017, we began purchasing our common shares as part of the $40.0 million share repurchase plan authorized by the Board of Directors. During fiscal 2017, we repurchased $1.8 million of shares.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We have $8.2 million of retainage on long-term contracts included in receivables and costs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as of April 29, 2017, which we expect to collect within one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Working capital was $127.1 million at April 29, 2017 and $123.7 million at April 30, 2016. The changes in working capital, particularly changes in accounts receivable, accounts payable, inventory, costs in excess of billings and billings in excess of costs, and the seasonality of the sports market can have a significant impact on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used and expect to continue to use cash balances and marketable securities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 For additional information on financing agreements, see, "Note 9. Financing Agreements" of the Notes to our Consolidated Financial Statements included in this Form 10-K.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 utilize cash to pay dividends to our investors. The following table summarizes the regular quarterly dividend declared and paid since the fiscal year end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Record Date</w:t>
            </w:r>
          </w:p>
        </w:tc>
        <w:tc>
          <w:tcPr>
            <w:tcW w:w="3000" w:type="dxa"/>
            <w:vAlign w:val="bottom"/>
          </w:tcPr>
          <w:p>
            <w:pPr>
              <w:ind w:left="640"/>
              <w:spacing w:after="0"/>
              <w:rPr>
                <w:sz w:val="20"/>
                <w:szCs w:val="20"/>
                <w:color w:val="auto"/>
              </w:rPr>
            </w:pPr>
            <w:r>
              <w:rPr>
                <w:rFonts w:ascii="Arial" w:cs="Arial" w:eastAsia="Arial" w:hAnsi="Arial"/>
                <w:sz w:val="18"/>
                <w:szCs w:val="18"/>
                <w:b w:val="1"/>
                <w:bCs w:val="1"/>
                <w:color w:val="auto"/>
              </w:rPr>
              <w:t>Payment Date</w:t>
            </w:r>
          </w:p>
        </w:tc>
        <w:tc>
          <w:tcPr>
            <w:tcW w:w="298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Amount per Share</w:t>
            </w:r>
          </w:p>
        </w:tc>
      </w:tr>
      <w:tr>
        <w:trPr>
          <w:trHeight w:val="27"/>
        </w:trPr>
        <w:tc>
          <w:tcPr>
            <w:tcW w:w="2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16, 2016</w:t>
            </w:r>
          </w:p>
        </w:tc>
        <w:tc>
          <w:tcPr>
            <w:tcW w:w="2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June 27, 2016</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July 8, 2016</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$0.06</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September 1, 2016</w:t>
            </w:r>
          </w:p>
        </w:tc>
        <w:tc>
          <w:tcPr>
            <w:tcW w:w="2740" w:type="dxa"/>
            <w:vAlign w:val="bottom"/>
          </w:tcPr>
          <w:p>
            <w:pPr>
              <w:ind w:left="680"/>
              <w:spacing w:after="0"/>
              <w:rPr>
                <w:sz w:val="20"/>
                <w:szCs w:val="20"/>
                <w:color w:val="auto"/>
              </w:rPr>
            </w:pPr>
            <w:r>
              <w:rPr>
                <w:rFonts w:ascii="Arial" w:cs="Arial" w:eastAsia="Arial" w:hAnsi="Arial"/>
                <w:sz w:val="18"/>
                <w:szCs w:val="18"/>
                <w:color w:val="auto"/>
              </w:rPr>
              <w:t>September 12, 2016</w:t>
            </w:r>
          </w:p>
        </w:tc>
        <w:tc>
          <w:tcPr>
            <w:tcW w:w="3000" w:type="dxa"/>
            <w:vAlign w:val="bottom"/>
          </w:tcPr>
          <w:p>
            <w:pPr>
              <w:ind w:left="640"/>
              <w:spacing w:after="0"/>
              <w:rPr>
                <w:sz w:val="20"/>
                <w:szCs w:val="20"/>
                <w:color w:val="auto"/>
              </w:rPr>
            </w:pPr>
            <w:r>
              <w:rPr>
                <w:rFonts w:ascii="Arial" w:cs="Arial" w:eastAsia="Arial" w:hAnsi="Arial"/>
                <w:sz w:val="18"/>
                <w:szCs w:val="18"/>
                <w:color w:val="auto"/>
              </w:rPr>
              <w:t>September 23, 2016</w:t>
            </w:r>
          </w:p>
        </w:tc>
        <w:tc>
          <w:tcPr>
            <w:tcW w:w="2980" w:type="dxa"/>
            <w:vAlign w:val="bottom"/>
          </w:tcPr>
          <w:p>
            <w:pPr>
              <w:jc w:val="center"/>
              <w:ind w:left="210"/>
              <w:spacing w:after="0"/>
              <w:rPr>
                <w:sz w:val="20"/>
                <w:szCs w:val="20"/>
                <w:color w:val="auto"/>
              </w:rPr>
            </w:pPr>
            <w:r>
              <w:rPr>
                <w:rFonts w:ascii="Arial" w:cs="Arial" w:eastAsia="Arial" w:hAnsi="Arial"/>
                <w:sz w:val="18"/>
                <w:szCs w:val="18"/>
                <w:color w:val="auto"/>
                <w:w w:val="88"/>
              </w:rPr>
              <w:t>$0.07</w:t>
            </w:r>
          </w:p>
        </w:tc>
      </w:tr>
      <w:tr>
        <w:trPr>
          <w:trHeight w:val="27"/>
        </w:trPr>
        <w:tc>
          <w:tcPr>
            <w:tcW w:w="2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2016</w:t>
            </w:r>
          </w:p>
        </w:tc>
        <w:tc>
          <w:tcPr>
            <w:tcW w:w="2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December 12, 2016</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December 23, 2016</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$0.07</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March 2, 2017</w:t>
            </w:r>
          </w:p>
        </w:tc>
        <w:tc>
          <w:tcPr>
            <w:tcW w:w="2740" w:type="dxa"/>
            <w:vAlign w:val="bottom"/>
          </w:tcPr>
          <w:p>
            <w:pPr>
              <w:ind w:left="680"/>
              <w:spacing w:after="0"/>
              <w:rPr>
                <w:sz w:val="20"/>
                <w:szCs w:val="20"/>
                <w:color w:val="auto"/>
              </w:rPr>
            </w:pPr>
            <w:r>
              <w:rPr>
                <w:rFonts w:ascii="Arial" w:cs="Arial" w:eastAsia="Arial" w:hAnsi="Arial"/>
                <w:sz w:val="18"/>
                <w:szCs w:val="18"/>
                <w:color w:val="auto"/>
              </w:rPr>
              <w:t>March 13, 2017</w:t>
            </w:r>
          </w:p>
        </w:tc>
        <w:tc>
          <w:tcPr>
            <w:tcW w:w="3000" w:type="dxa"/>
            <w:vAlign w:val="bottom"/>
          </w:tcPr>
          <w:p>
            <w:pPr>
              <w:ind w:left="640"/>
              <w:spacing w:after="0"/>
              <w:rPr>
                <w:sz w:val="20"/>
                <w:szCs w:val="20"/>
                <w:color w:val="auto"/>
              </w:rPr>
            </w:pPr>
            <w:r>
              <w:rPr>
                <w:rFonts w:ascii="Arial" w:cs="Arial" w:eastAsia="Arial" w:hAnsi="Arial"/>
                <w:sz w:val="18"/>
                <w:szCs w:val="18"/>
                <w:color w:val="auto"/>
              </w:rPr>
              <w:t>March 24, 2017</w:t>
            </w:r>
          </w:p>
        </w:tc>
        <w:tc>
          <w:tcPr>
            <w:tcW w:w="2980" w:type="dxa"/>
            <w:vAlign w:val="bottom"/>
          </w:tcPr>
          <w:p>
            <w:pPr>
              <w:jc w:val="center"/>
              <w:ind w:left="210"/>
              <w:spacing w:after="0"/>
              <w:rPr>
                <w:sz w:val="20"/>
                <w:szCs w:val="20"/>
                <w:color w:val="auto"/>
              </w:rPr>
            </w:pPr>
            <w:r>
              <w:rPr>
                <w:rFonts w:ascii="Arial" w:cs="Arial" w:eastAsia="Arial" w:hAnsi="Arial"/>
                <w:sz w:val="18"/>
                <w:szCs w:val="18"/>
                <w:color w:val="auto"/>
                <w:w w:val="88"/>
              </w:rPr>
              <w:t>$0.07</w:t>
            </w:r>
          </w:p>
        </w:tc>
      </w:tr>
      <w:tr>
        <w:trPr>
          <w:trHeight w:val="27"/>
        </w:trPr>
        <w:tc>
          <w:tcPr>
            <w:tcW w:w="2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43"/>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1, 2017</w:t>
            </w:r>
          </w:p>
        </w:tc>
        <w:tc>
          <w:tcPr>
            <w:tcW w:w="2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June 13, 2017</w:t>
            </w:r>
          </w:p>
        </w:tc>
        <w:tc>
          <w:tcPr>
            <w:tcW w:w="3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23, 2017</w:t>
            </w:r>
          </w:p>
        </w:tc>
        <w:tc>
          <w:tcPr>
            <w:tcW w:w="29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$0.07</w:t>
            </w:r>
          </w:p>
        </w:tc>
      </w:tr>
      <w:tr>
        <w:trPr>
          <w:trHeight w:val="27"/>
        </w:trPr>
        <w:tc>
          <w:tcPr>
            <w:tcW w:w="20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special dividends declared and paid since the fiscal year end of April 30,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2640" w:type="dxa"/>
            <w:vAlign w:val="bottom"/>
          </w:tcPr>
          <w:p>
            <w:pPr>
              <w:ind w:left="800"/>
              <w:spacing w:after="0"/>
              <w:rPr>
                <w:sz w:val="20"/>
                <w:szCs w:val="20"/>
                <w:color w:val="auto"/>
              </w:rPr>
            </w:pPr>
            <w:r>
              <w:rPr>
                <w:rFonts w:ascii="Arial" w:cs="Arial" w:eastAsia="Arial" w:hAnsi="Arial"/>
                <w:sz w:val="18"/>
                <w:szCs w:val="18"/>
                <w:b w:val="1"/>
                <w:bCs w:val="1"/>
                <w:color w:val="auto"/>
              </w:rPr>
              <w:t>Record Date</w:t>
            </w:r>
          </w:p>
        </w:tc>
        <w:tc>
          <w:tcPr>
            <w:tcW w:w="3040" w:type="dxa"/>
            <w:vAlign w:val="bottom"/>
          </w:tcPr>
          <w:p>
            <w:pPr>
              <w:ind w:left="860"/>
              <w:spacing w:after="0"/>
              <w:rPr>
                <w:sz w:val="20"/>
                <w:szCs w:val="20"/>
                <w:color w:val="auto"/>
              </w:rPr>
            </w:pPr>
            <w:r>
              <w:rPr>
                <w:rFonts w:ascii="Arial" w:cs="Arial" w:eastAsia="Arial" w:hAnsi="Arial"/>
                <w:sz w:val="18"/>
                <w:szCs w:val="18"/>
                <w:b w:val="1"/>
                <w:bCs w:val="1"/>
                <w:color w:val="auto"/>
              </w:rPr>
              <w:t>Payment Date</w:t>
            </w:r>
          </w:p>
        </w:tc>
        <w:tc>
          <w:tcPr>
            <w:tcW w:w="316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Amount per Share</w:t>
            </w:r>
          </w:p>
        </w:tc>
      </w:tr>
      <w:tr>
        <w:trPr>
          <w:trHeight w:val="27"/>
        </w:trPr>
        <w:tc>
          <w:tcPr>
            <w:tcW w:w="19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16, 2016</w:t>
            </w:r>
          </w:p>
        </w:tc>
        <w:tc>
          <w:tcPr>
            <w:tcW w:w="2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June 27, 2016</w:t>
            </w:r>
          </w:p>
        </w:tc>
        <w:tc>
          <w:tcPr>
            <w:tcW w:w="3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July 8, 2016</w:t>
            </w:r>
          </w:p>
        </w:tc>
        <w:tc>
          <w:tcPr>
            <w:tcW w:w="31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$0.04</w:t>
            </w:r>
          </w:p>
        </w:tc>
      </w:tr>
      <w:tr>
        <w:trPr>
          <w:trHeight w:val="27"/>
        </w:trPr>
        <w:tc>
          <w:tcPr>
            <w:tcW w:w="19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of Directors at its discretion.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fiscal 2017, the Board of Directors authorized a share repurchase program for the opportunistic purchase of shares from the open market. During fiscal 2017, we repurchased 0.3 million shares. Although we have authorization for additional share repurchases, any and all subsequent purchases are reviewed regularly for market conditions and are made to comply with the various regulations for company share repurchase programs. For additional information on the share repurchase program, see, "Note 10. Share Repurchase Program" of the Notes to our Consolidated Financial Statements included in this Form 10-K.</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April 29, 2017, we had $40.0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approximately $20 million for fiscal 2018 for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continue, or if we make any strategic investments, we may need to increase our credit facilities or seek other means of financing. We anticipate we will be able to obtain any needed funds under commercially reasonable terms from our current lenders or other sources, although there can be no guarantee of such.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 AND CONTRACTUAL OBLIGATIONS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various lease, purchase and long-term obligations that require payments in future periods. Operating lease obligations relate primarily to leased manufacturing space, office space, furniture, and vehicles. Conditional and unconditional purchase obligations represent future payments for inventory, advertising rights and various other products and services purchase commitments. Long-term marketing obligations relate to amounts due in future periods for payments on net sales where we sold and installed our equipment in exchange for future advertising revenue. When certain advertising revenue thresholds are met, all or a portion of excess cash is owed back to the customer. Long-term obligations also consist of payments owed for a business combination if certain conditions in the business performance are met.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standby letters of credit and surety bonds with financial institutions relating to the guarantee of future performance on contracts, primarily construction type contracts. Performance guarantees are issued to certain customers to guarantee the operation and installation of the equipment and our ability to complete a contract. These performance guarantees have various terms, which are typically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April 29, 2017, our contractual obligations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Less than 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4-5 Years</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After 5 Years</w:t>
            </w:r>
          </w:p>
        </w:tc>
      </w:tr>
      <w:tr>
        <w:trPr>
          <w:trHeight w:val="27"/>
        </w:trPr>
        <w:tc>
          <w:tcPr>
            <w:tcW w:w="4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commitments: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obligations and accrued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Unconditional purchase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Conditional purchase obligations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92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21,429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6,768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801</w:t>
            </w:r>
          </w:p>
        </w:tc>
      </w:tr>
      <w:tr>
        <w:trPr>
          <w:trHeight w:val="23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commercial commitments: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Standby letters of credit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10,466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4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Surety bonds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inflation has not had a material effect on our operations or our financial condition, although it could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April 29, 2017, most of our net sales were denominated in U.S. dollars, and our exposure to foreign currency exchange rate changes on net sales had not been significant. For the fiscal year 2017, net sales originating outside the United States were 18%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our business could be denominated in foreign currencies. In addition, we may fund our foreign subsidiaries’ operating cash needs in the form of loans denominated in U.S. dollars.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$1.6 million.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contracts with customers denominated in a foreign currency. The notional amount of these derivatives is $14.3 million, and all contracts mature within seven months. These contracts are marked to market each balance sheet date and are not designated as hedges. See "Note 16. Derivative Financial Instruments" of the Notes to our Consolidated Financial Statements included in this Form 10-K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April 29, 2017, our outstanding marketing obligations were $0.7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April 29, 2017, our outstanding long-term receivables were $4.9 million. Each 25 basis point increase in interest rates would have an associated annual opportunity benefit of $15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4553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$32.6 million in cash balances at April 29, 2017, $24.1 million were denominated in U.S.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 We believe that we have adequate sources of supply for most of our key materials.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Daktronics,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Daktronics, Inc. and subsidiaries (the Company) as of April 29, 2017 and April 30, 2016, and the related consolidated statements of operations, comprehensive income, shareholders' equity and cash flows for each of the three years in the period ended April 29, 2017.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Daktronics, Inc. and subsidiaries at April 29, 2017 and April 30, 2016, and the consolidated results of their operations and their cash flows for each of the three years in the period ended April 29,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Daktronics, Inc.’s internal control over financial reporting as of April 29, 2017, based on criteria established in Internal Control-Integrated Framework issued by the Committee of Sponsoring Organizations of the Treadway Commission (2013 framework) and our report dated June 9, 2017,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78,846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77,554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69,827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30,200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257,725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245,231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66,749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73,163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355,433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349,948</w:t>
            </w:r>
          </w:p>
        </w:tc>
        <w:tc>
          <w:tcPr>
            <w:tcW w:w="0" w:type="dxa"/>
            <w:vAlign w:val="bottom"/>
          </w:tcPr>
          <w:p>
            <w:pPr>
              <w:spacing w:after="0"/>
              <w:rPr>
                <w:sz w:val="1"/>
                <w:szCs w:val="1"/>
                <w:color w:val="auto"/>
              </w:rPr>
            </w:pPr>
          </w:p>
        </w:tc>
      </w:tr>
      <w:tr>
        <w:trPr>
          <w:trHeight w:val="109"/>
        </w:trPr>
        <w:tc>
          <w:tcPr>
            <w:tcW w:w="8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51,499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43,441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(billed or collected)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130,595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121,517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long-term obligations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income tax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27,364</w:t>
            </w:r>
          </w:p>
        </w:tc>
        <w:tc>
          <w:tcPr>
            <w:tcW w:w="0" w:type="dxa"/>
            <w:vAlign w:val="bottom"/>
          </w:tcPr>
          <w:p>
            <w:pPr>
              <w:spacing w:after="0"/>
              <w:rPr>
                <w:sz w:val="1"/>
                <w:szCs w:val="1"/>
                <w:color w:val="auto"/>
              </w:rPr>
            </w:pPr>
          </w:p>
        </w:tc>
      </w:tr>
      <w:tr>
        <w:trPr>
          <w:trHeight w:val="115"/>
        </w:trPr>
        <w:tc>
          <w:tcPr>
            <w:tcW w:w="8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44,372,357 and 43,998,635 shares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440"/>
              <w:spacing w:after="0"/>
              <w:rPr>
                <w:sz w:val="20"/>
                <w:szCs w:val="20"/>
                <w:color w:val="auto"/>
              </w:rPr>
            </w:pPr>
            <w:r>
              <w:rPr>
                <w:rFonts w:ascii="Arial" w:cs="Arial" w:eastAsia="Arial" w:hAnsi="Arial"/>
                <w:sz w:val="18"/>
                <w:szCs w:val="18"/>
                <w:color w:val="auto"/>
              </w:rPr>
              <w:t>issued at April 29, 2017 and April 30, 2016, respectively</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51,347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35,351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113,967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117,276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303,957 and 19,680 shares at April 29, 2017 and April 30, 2016,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201,067</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355,433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349,948</w:t>
            </w:r>
          </w:p>
        </w:tc>
        <w:tc>
          <w:tcPr>
            <w:tcW w:w="0" w:type="dxa"/>
            <w:vAlign w:val="bottom"/>
          </w:tcPr>
          <w:p>
            <w:pPr>
              <w:spacing w:after="0"/>
              <w:rPr>
                <w:sz w:val="1"/>
                <w:szCs w:val="1"/>
                <w:color w:val="auto"/>
              </w:rPr>
            </w:pPr>
          </w:p>
        </w:tc>
      </w:tr>
      <w:tr>
        <w:trPr>
          <w:trHeight w:val="109"/>
        </w:trPr>
        <w:tc>
          <w:tcPr>
            <w:tcW w:w="8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366"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366"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4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29,</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2,</w:t>
            </w:r>
          </w:p>
        </w:tc>
      </w:tr>
      <w:tr>
        <w:trPr>
          <w:trHeight w:val="234"/>
        </w:trPr>
        <w:tc>
          <w:tcPr>
            <w:tcW w:w="4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586,539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570,168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615,942</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446,124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449,149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471,363</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140,415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121,019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144,579</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61,687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58,812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57,963</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34,226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32,801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30,679</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29,081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26,911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24,652</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124,994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113,294</w:t>
            </w:r>
          </w:p>
        </w:tc>
      </w:tr>
      <w:tr>
        <w:trPr>
          <w:trHeight w:val="237"/>
        </w:trPr>
        <w:tc>
          <w:tcPr>
            <w:tcW w:w="450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15,421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31,285</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45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7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77"/>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15,588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31,683</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5,246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10,801</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10,342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Basic</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44,114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43,990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43,514</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44,303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44,443</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Basic</w:t>
            </w:r>
          </w:p>
        </w:tc>
        <w:tc>
          <w:tcPr>
            <w:tcW w:w="2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0.48</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r>
      <w:tr>
        <w:trPr>
          <w:trHeight w:val="277"/>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675"/>
        </w:trPr>
        <w:tc>
          <w:tcPr>
            <w:tcW w:w="4500" w:type="dxa"/>
            <w:vAlign w:val="bottom"/>
          </w:tcPr>
          <w:p>
            <w:pPr>
              <w:spacing w:after="0"/>
              <w:rPr>
                <w:sz w:val="24"/>
                <w:szCs w:val="24"/>
                <w:color w:val="auto"/>
              </w:rPr>
            </w:pPr>
          </w:p>
        </w:tc>
        <w:tc>
          <w:tcPr>
            <w:tcW w:w="2700" w:type="dxa"/>
            <w:vAlign w:val="bottom"/>
          </w:tcPr>
          <w:p>
            <w:pPr>
              <w:jc w:val="right"/>
              <w:ind w:right="131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29,</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2,</w:t>
            </w:r>
          </w:p>
        </w:tc>
      </w:t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r>
      <w:tr>
        <w:trPr>
          <w:trHeight w:val="28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(2,358)</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available-for-sale securities,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8,859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18,502</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700" w:type="dxa"/>
            <w:vAlign w:val="bottom"/>
            <w:gridSpan w:val="3"/>
          </w:tcPr>
          <w:p>
            <w:pPr>
              <w:ind w:left="40"/>
              <w:spacing w:after="0"/>
              <w:rPr>
                <w:sz w:val="20"/>
                <w:szCs w:val="20"/>
                <w:color w:val="auto"/>
              </w:rPr>
            </w:pPr>
            <w:r>
              <w:rPr>
                <w:rFonts w:ascii="Arial" w:cs="Arial" w:eastAsia="Arial" w:hAnsi="Arial"/>
                <w:sz w:val="18"/>
                <w:szCs w:val="18"/>
                <w:color w:val="auto"/>
                <w:w w:val="96"/>
              </w:rPr>
              <w:t>Comprehensive 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203,119</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20,882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2"/>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tax benefit related to share-based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3,038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(17,377)</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132,771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212,039</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Unrealized (loss) gain on available-for-sale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rPr>
              <w:t>Net tax benefit related to share-based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2,958</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(17,556)</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201,067</w:t>
            </w: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2"/>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(13,651)</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52,530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38,004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113,967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198,286</w:t>
            </w:r>
          </w:p>
        </w:tc>
      </w:tr>
      <w:tr>
        <w:trPr>
          <w:trHeight w:val="271"/>
        </w:trPr>
        <w:tc>
          <w:tcPr>
            <w:tcW w:w="3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29,</w:t>
            </w: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96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20,882</w:t>
            </w:r>
          </w:p>
        </w:tc>
        <w:tc>
          <w:tcPr>
            <w:tcW w:w="0" w:type="dxa"/>
            <w:vAlign w:val="bottom"/>
          </w:tcPr>
          <w:p>
            <w:pPr>
              <w:spacing w:after="0"/>
              <w:rPr>
                <w:sz w:val="1"/>
                <w:szCs w:val="1"/>
                <w:color w:val="auto"/>
              </w:rPr>
            </w:pP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Impairment of intangible assets</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(gain) on sale of property, equipment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2,914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2,958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equity investee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1,426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(9,583)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53,513</w:t>
            </w:r>
          </w:p>
        </w:tc>
        <w:tc>
          <w:tcPr>
            <w:tcW w:w="0" w:type="dxa"/>
            <w:vAlign w:val="bottom"/>
          </w:tcPr>
          <w:p>
            <w:pPr>
              <w:spacing w:after="0"/>
              <w:rPr>
                <w:sz w:val="1"/>
                <w:szCs w:val="1"/>
                <w:color w:val="auto"/>
              </w:rPr>
            </w:pPr>
          </w:p>
        </w:tc>
      </w:tr>
      <w:tr>
        <w:trPr>
          <w:trHeight w:val="183"/>
        </w:trPr>
        <w:tc>
          <w:tcPr>
            <w:tcW w:w="6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(21,837)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(24,159)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(21,286)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15,532</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Proceeds from sale of equity method investment</w:t>
            </w:r>
          </w:p>
        </w:tc>
        <w:tc>
          <w:tcPr>
            <w:tcW w:w="14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37"/>
        </w:trPr>
        <w:tc>
          <w:tcPr>
            <w:tcW w:w="696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(18,180)</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(23,818)</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(16,415)</w:t>
            </w:r>
          </w:p>
        </w:tc>
        <w:tc>
          <w:tcPr>
            <w:tcW w:w="0" w:type="dxa"/>
            <w:vAlign w:val="bottom"/>
          </w:tcPr>
          <w:p>
            <w:pPr>
              <w:spacing w:after="0"/>
              <w:rPr>
                <w:sz w:val="1"/>
                <w:szCs w:val="1"/>
                <w:color w:val="auto"/>
              </w:rPr>
            </w:pPr>
          </w:p>
        </w:tc>
      </w:tr>
      <w:tr>
        <w:trPr>
          <w:trHeight w:val="183"/>
        </w:trPr>
        <w:tc>
          <w:tcPr>
            <w:tcW w:w="6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4,295</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(28,956)</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28,328</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57,284</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45,054</w:t>
            </w:r>
          </w:p>
        </w:tc>
        <w:tc>
          <w:tcPr>
            <w:tcW w:w="0" w:type="dxa"/>
            <w:vAlign w:val="bottom"/>
          </w:tcPr>
          <w:p>
            <w:pPr>
              <w:spacing w:after="0"/>
              <w:rPr>
                <w:sz w:val="1"/>
                <w:szCs w:val="1"/>
                <w:color w:val="auto"/>
              </w:rPr>
            </w:pPr>
          </w:p>
        </w:tc>
      </w:tr>
      <w:tr>
        <w:trPr>
          <w:trHeight w:val="297"/>
        </w:trPr>
        <w:tc>
          <w:tcPr>
            <w:tcW w:w="69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32,623</w:t>
            </w:r>
          </w:p>
        </w:tc>
        <w:tc>
          <w:tcPr>
            <w:tcW w:w="2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28,328</w:t>
            </w:r>
          </w:p>
        </w:tc>
        <w:tc>
          <w:tcPr>
            <w:tcW w:w="2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57,284</w:t>
            </w:r>
          </w:p>
        </w:tc>
        <w:tc>
          <w:tcPr>
            <w:tcW w:w="0" w:type="dxa"/>
            <w:vAlign w:val="bottom"/>
          </w:tcPr>
          <w:p>
            <w:pPr>
              <w:spacing w:after="0"/>
              <w:rPr>
                <w:sz w:val="1"/>
                <w:szCs w:val="1"/>
                <w:color w:val="auto"/>
              </w:rPr>
            </w:pPr>
          </w:p>
        </w:tc>
      </w:tr>
      <w:tr>
        <w:trPr>
          <w:trHeight w:val="176"/>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68083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083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520"/>
          </w:cols>
          <w:pgMar w:left="240" w:top="122" w:right="11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520"/>
          </w:cols>
          <w:pgMar w:left="240" w:top="122" w:right="11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Critical Accounting Policies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u w:val="single" w:color="auto"/>
          <w:color w:val="auto"/>
        </w:rPr>
        <w:t>Nature of business</w:t>
      </w:r>
      <w:r>
        <w:rPr>
          <w:rFonts w:ascii="Arial" w:cs="Arial" w:eastAsia="Arial" w:hAnsi="Arial"/>
          <w:sz w:val="17"/>
          <w:szCs w:val="17"/>
          <w:color w:val="auto"/>
        </w:rPr>
        <w:t>: Daktronics, Inc. and its subsidiaries are engaged principally in the design, manufacture and sale of a wide range of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Fiscal year</w:t>
      </w:r>
      <w:r>
        <w:rPr>
          <w:rFonts w:ascii="Arial" w:cs="Arial" w:eastAsia="Arial" w:hAnsi="Arial"/>
          <w:sz w:val="17"/>
          <w:szCs w:val="17"/>
          <w:color w:val="auto"/>
        </w:rPr>
        <w:t>: We operate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years ended April 29, 2017, April 30, 2016, and May 2, 2015 contained operating results for 52, 52, and 53-weeks,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The consolidated financial statements include Daktronics, Inc. and its subsidiaries. All significant intercompany accounts and transactions are eliminated in consolidation.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Investments in affiliates</w:t>
      </w:r>
      <w:r>
        <w:rPr>
          <w:rFonts w:ascii="Arial" w:cs="Arial" w:eastAsia="Arial" w:hAnsi="Arial"/>
          <w:sz w:val="18"/>
          <w:szCs w:val="18"/>
          <w:color w:val="auto"/>
        </w:rPr>
        <w:t>: Investments in affiliates over which we have significant influence are accounted for under the equity method of accounting. Investments in affiliates over which we do not have the ability to exert significant influence over the affiliate's operating and financing activities are accounted for under the cost method of accounting. We have evaluated our relationships with our affiliates and have determined that these entities are not variable interest entities.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2017, we determined that through increased ownership levels, we had significant influence over one of our affiliates. The aggregate amount of investments accounted for under the equity method was $2,678 and $0 at April 29, 2017 and April 30, 2016, respectively. The equity method requires us to report our share of losses up to our equity investment amount. When the equity investment is reduced to zero, we recognize losses to the extent of and as an adjustment to the other investments in the affiliate in order of seniority or priority in liquidation. Cash paid for investments in affiliates is included in the "Acquisitions, net of cash acquired" line item in our consolidated statements of cash flows. Our proportional share of the respective affiliate’s earnings or losses is included in the "Other (expense) income, net" line item in our consolidated statements of operations. For the fiscal year ended April 29, 2017, our share of the losses of our affiliates was $136.</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$42 and $1,211 at April 29, 2017 and April 30, 2016, respectively. There have not been any identified events or changes in circumstances that may have a significant adverse effect on their fair value, and it is not practical to estimate their fair value.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Use of estimates</w:t>
      </w:r>
      <w:r>
        <w:rPr>
          <w:rFonts w:ascii="Arial" w:cs="Arial" w:eastAsia="Arial" w:hAnsi="Arial"/>
          <w:sz w:val="17"/>
          <w:szCs w:val="17"/>
          <w:color w:val="auto"/>
        </w:rPr>
        <w:t>: The preparation of financial statements in conformity with accounting principles generally accepted in the United States requires us to make estimates and assumptions that affect the reported amounts of assets and liabilities; the disclosure of contingent assets and liabilities at the date of the financial statements; the reported amounts of revenues and expenses during the reporting period; and our ability to continue as a going concern. Actual results could differ significantly from those estimates. Material estimates that are particularly susceptible to significant change in the near-term relate to the determination of the estimated total costs on long-term construction-type contracts, estimated costs to be incurred for product warranties and extended maintenance contracts, excess and obsolete inventory, the allowance for doubtful accounts, share-based compensation, goodwill impairment and income taxes. Changes in estimates are reflected in the periods in which they become known.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cash</w:t>
      </w:r>
      <w:r>
        <w:rPr>
          <w:rFonts w:ascii="Arial" w:cs="Arial" w:eastAsia="Arial" w:hAnsi="Arial"/>
          <w:sz w:val="17"/>
          <w:szCs w:val="17"/>
          <w:color w:val="auto"/>
        </w:rPr>
        <w:t>: Restricted cash consists of cash and cash equivalents held in bank deposit accounts to secure issuances of foreign bank guarantees.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(first-in, first-out method) and net realizable value. Net realizable value is the estimated selling price in the ordinary course of business, less reasonably predictable costs of completion, disposal, and transportation.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Revenue recognition</w:t>
      </w:r>
      <w:r>
        <w:rPr>
          <w:rFonts w:ascii="Arial" w:cs="Arial" w:eastAsia="Arial" w:hAnsi="Arial"/>
          <w:sz w:val="17"/>
          <w:szCs w:val="17"/>
          <w:color w:val="auto"/>
        </w:rPr>
        <w:t>: Net sales are reported net of estimated sales returns and exclude sales taxes. We estimate our sales returns reserve based on historical return rates and analysis of specific accounts. Our sales returns reserve was $42 and $93 at April 29, 2017 and April 30, 2016,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Long-term construction-type contracts: </w:t>
      </w:r>
      <w:r>
        <w:rPr>
          <w:rFonts w:ascii="Arial" w:cs="Arial" w:eastAsia="Arial" w:hAnsi="Arial"/>
          <w:sz w:val="16"/>
          <w:szCs w:val="16"/>
          <w:color w:val="auto"/>
        </w:rPr>
        <w:t>Earnings on construction-type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percentage of costs incurred to date to estimated total costs for each contract. Contract costs include all direct material and labor costs and those indirect costs related to contract performance. Indirect costs include charges for such items as labor overhead, equipment, facilities, engineering, and project management. Provisions for estimated losses on uncompleted contracts are made in the period in which such losses are probable and capable of being estimated.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are combined, revenue and profit are recognized uniformly over the performance of the combined projects. We segment revenues in accordance with contract segmenting criteria in Accounting Standards Codification (“ASC”) 650-35, </w:t>
      </w:r>
      <w:r>
        <w:rPr>
          <w:rFonts w:ascii="Arial" w:cs="Arial" w:eastAsia="Arial" w:hAnsi="Arial"/>
          <w:sz w:val="16"/>
          <w:szCs w:val="16"/>
          <w:i w:val="1"/>
          <w:iCs w:val="1"/>
          <w:color w:val="auto"/>
        </w:rPr>
        <w:t>Construction-Type and Production-Type Contracts.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Equipment other than construction-type contracts: </w:t>
      </w:r>
      <w:r>
        <w:rPr>
          <w:rFonts w:ascii="Arial" w:cs="Arial" w:eastAsia="Arial" w:hAnsi="Arial"/>
          <w:sz w:val="18"/>
          <w:szCs w:val="18"/>
          <w:color w:val="auto"/>
        </w:rPr>
        <w:t>We recognize revenue on equipment sales, other than construction-type contracts, when title passes,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our products, we also occasionally sell separately priced extended warranties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The revenue related to such contracts is deferred and recognized ratably as net sales over the terms of the contracts, which vary up to 10 years. We record unrealized revenue in deferred revenue (billed or collected) in the liability section of the balance sheet.</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Revenues generated by us for services, such as event support, control room design, on-site training, equipment service and technical support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are recognized as net sales when the services are performed. Net sales from services and product maintenance approximated 10.5 percent, 9.7 percent and 8.2 percent of net sales for the fiscal years ended April 29, 2017, April 30, 2016 and May 2, 2015, respectively.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We follow ASC 985-605,</w:t>
      </w:r>
      <w:r>
        <w:rPr>
          <w:rFonts w:ascii="Arial" w:cs="Arial" w:eastAsia="Arial" w:hAnsi="Arial"/>
          <w:sz w:val="18"/>
          <w:szCs w:val="18"/>
          <w:i w:val="1"/>
          <w:iCs w:val="1"/>
          <w:color w:val="auto"/>
        </w:rPr>
        <w:t xml:space="preserve"> Software-Revenue Recognition</w:t>
      </w:r>
      <w:r>
        <w:rPr>
          <w:rFonts w:ascii="Arial" w:cs="Arial" w:eastAsia="Arial" w:hAnsi="Arial"/>
          <w:sz w:val="18"/>
          <w:szCs w:val="18"/>
          <w:color w:val="auto"/>
        </w:rPr>
        <w:t>. Revenues from software license fees on sales, other than construction-type contracts,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when persuasive evidence of an arrangement exists, delivery of the product has occurred, the fee is fixed or determinable, and collectability is probable. Subscription-based licenses include the right for a customer to use our licenses and receive related support for a specified term and revenue is recognized ratably over the term of the arrangement.</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Multiple-element arrangements: </w:t>
      </w:r>
      <w:r>
        <w:rPr>
          <w:rFonts w:ascii="Arial" w:cs="Arial" w:eastAsia="Arial" w:hAnsi="Arial"/>
          <w:sz w:val="17"/>
          <w:szCs w:val="17"/>
          <w:color w:val="auto"/>
        </w:rPr>
        <w:t>We generate revenue from the sale of equipment and related services, including customization, installation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 these limited cases, we provide some or all of such equipment and services to our customers under the terms of a single multiple-element sales arrangement. These arrangements typically involve the sale of equipment bundled with some or all of these services, but they may also involve instances in which we have contracted to deliver multiple pieces of equipment over time rather than at a single point in time.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When a sales arrangement involves multiple elements, the items included in the arrangement (deliverables) are evaluated pursuant to ASC 605-25,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with Multiple Deliverables, </w:t>
      </w:r>
      <w:r>
        <w:rPr>
          <w:rFonts w:ascii="Arial" w:cs="Arial" w:eastAsia="Arial" w:hAnsi="Arial"/>
          <w:sz w:val="17"/>
          <w:szCs w:val="17"/>
          <w:color w:val="auto"/>
        </w:rPr>
        <w:t>and ASC 605-35</w:t>
      </w:r>
      <w:r>
        <w:rPr>
          <w:rFonts w:ascii="Arial" w:cs="Arial" w:eastAsia="Arial" w:hAnsi="Arial"/>
          <w:sz w:val="17"/>
          <w:szCs w:val="17"/>
          <w:i w:val="1"/>
          <w:iCs w:val="1"/>
          <w:color w:val="auto"/>
        </w:rPr>
        <w:t xml:space="preserve">, Accounting for Performance of Construction-Type and Certain Production-Type Contracts, </w:t>
      </w:r>
      <w:r>
        <w:rPr>
          <w:rFonts w:ascii="Arial" w:cs="Arial" w:eastAsia="Arial" w:hAnsi="Arial"/>
          <w:sz w:val="17"/>
          <w:szCs w:val="17"/>
          <w:color w:val="auto"/>
        </w:rPr>
        <w:t>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they represent separate units of accounting. We perform this evaluation at the inception of an arrangement and as we deliver each item in the arrangement. We first consider the separation criteria of ASC 605-35. Deliverables not within the scope of ASC 605-35 are evaluated for separation under ASC 605-25. For those elements falling under the guidance of ASC 605-25, we generally account for a deliverable (or a group of deliverables) separately if the delivered item(s) has standalone value to the customer and if we have given the customer a general right of return relative to the delivered item(s) and delivery or performance of the undelivered item(s) or service(s) is probable and substantially in our control.</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items included in a multiple-element arrangement represent separate units of accounting, we allocate the arrangement consideration to the individual items based on their relative fair values. The amount of arrangement consideration allocated to the delivered item(s) is limited to the amount not contingent on us delivering additional products or services. Once we have determined the amount, if any, of arrangement consideration allocable to the delivered item(s), we apply the applicable revenue recognition policy to determine when and by which method such amount may be recognized as revenue.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 If neither VSOE nor third party evidence is available, we use our best estimate of the selling price for that deliverable.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Long-term receivables and advertising rights: </w:t>
      </w:r>
      <w:r>
        <w:rPr>
          <w:rFonts w:ascii="Arial" w:cs="Arial" w:eastAsia="Arial" w:hAnsi="Arial"/>
          <w:sz w:val="18"/>
          <w:szCs w:val="18"/>
          <w:color w:val="auto"/>
        </w:rPr>
        <w:t>We occasionally sell and install our products at facilities in exchange for the rights to sell or to retain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revenues. For these transactions, we recognize revenue for the amount of the present value of the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payments if enough advertising is sold to obtain normal margins on the contract, and we record the related receivable in long-term receivables. We recognize imputed interest as earned.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Property and equipment is stated at cost and depreciated principally on the straight-line method over the following estimated useful lives: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240" w:type="dxa"/>
            <w:vAlign w:val="bottom"/>
          </w:tcPr>
          <w:p>
            <w:pPr>
              <w:ind w:left="400"/>
              <w:spacing w:after="0"/>
              <w:rPr>
                <w:sz w:val="20"/>
                <w:szCs w:val="20"/>
                <w:color w:val="auto"/>
              </w:rPr>
            </w:pPr>
            <w:r>
              <w:rPr>
                <w:rFonts w:ascii="Arial" w:cs="Arial" w:eastAsia="Arial" w:hAnsi="Arial"/>
                <w:sz w:val="18"/>
                <w:szCs w:val="18"/>
                <w:b w:val="1"/>
                <w:bCs w:val="1"/>
                <w:color w:val="auto"/>
              </w:rPr>
              <w:t>Years</w:t>
            </w:r>
          </w:p>
        </w:tc>
      </w:tr>
      <w:tr>
        <w:trPr>
          <w:trHeight w:val="27"/>
        </w:trPr>
        <w:tc>
          <w:tcPr>
            <w:tcW w:w="5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7 - 40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Computer software and hardware</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held for rental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2 - 7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Demonstration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5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depreciated over the lesser of the useful life of the asset or the term of the lease.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Long-lived tangible assets and definite-lived intangible assets are evaluated for impairment whenever events or changes in circumstances indicate the carrying value may not be recoverable.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2017, we recognized an impairment loss of $830 on intangible assets related to a technology and customer list. No intangible asset impairment was recognized for fiscal 2016. See "Note 5. Goodwill and Intangible Assets" for further information.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color w:val="auto"/>
        </w:rPr>
        <w:t xml:space="preserve">: We account for goodwill and other intangible assets with indefinite lives in accordance with ASC 350,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w:t>
      </w:r>
      <w:r>
        <w:rPr>
          <w:rFonts w:ascii="Arial" w:cs="Arial" w:eastAsia="Arial" w:hAnsi="Arial"/>
          <w:sz w:val="18"/>
          <w:szCs w:val="18"/>
          <w:color w:val="auto"/>
        </w:rPr>
        <w:t>Under these provisions, goodwill is not amortized but is tested for impairment on at least an annual basis. Impairment testing is required more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than annually if an event or circumstance indicates an impairment or a decline in value may have occurred. Such circumstances could include, but are not limited to, a worsening trend of orders and sales without a corresponding way to preserve future cash flows or a significant decline in our stock price.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utilize an income approach to estimate the fair value of each reporting unit. We selected this method because we believe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which consider the timing and risk of the forecasted cash flows. We believe that this approach is appropriate because it provides a fair value estimate based upon the reporting units expected long-term operating cash performance. This approach also mitigates the impact of the cyclical trends occurring in the industry. Fair value is estimated using internally-developed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Although there are inherent uncertainties related to the assumptions used and to our application of these assumptions to this analysis, we believe the income approach provides a reasonable estimate of the fair value of our reporting units. The foregoing assumptions to a large degree were consistent with our long-term performance, with limited exceptions. We believe our future investments for capital expenditures as a percent of revenue will remain similar to the historical rates as a percentage of sales in future years. Our investments are expected to relate to equipment replacements and new product line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manufacturing equipment needs, and to keep our information technology infrastructure robust. These assumptions could deviate materially from actual results.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Software costs for internal use</w:t>
      </w:r>
      <w:r>
        <w:rPr>
          <w:rFonts w:ascii="Arial" w:cs="Arial" w:eastAsia="Arial" w:hAnsi="Arial"/>
          <w:sz w:val="18"/>
          <w:szCs w:val="18"/>
          <w:color w:val="auto"/>
        </w:rPr>
        <w:t>: We capitalize certain costs incurred in connection with developing or obtaining internal-use software. Capitalized software costs are included in property and equipment on our consolidated balance sheets. Software costs that do not meet capitalization criteria are expensed when incurred.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Software costs to be sold, leased, or marketed:</w:t>
      </w:r>
      <w:r>
        <w:rPr>
          <w:rFonts w:ascii="Arial" w:cs="Arial" w:eastAsia="Arial" w:hAnsi="Arial"/>
          <w:sz w:val="18"/>
          <w:szCs w:val="18"/>
          <w:color w:val="auto"/>
        </w:rPr>
        <w:t xml:space="preserve"> We follow the provisions of ASC 985, </w:t>
      </w:r>
      <w:r>
        <w:rPr>
          <w:rFonts w:ascii="Arial" w:cs="Arial" w:eastAsia="Arial" w:hAnsi="Arial"/>
          <w:sz w:val="18"/>
          <w:szCs w:val="18"/>
          <w:i w:val="1"/>
          <w:iCs w:val="1"/>
          <w:color w:val="auto"/>
        </w:rPr>
        <w:t>Software</w:t>
      </w:r>
      <w:r>
        <w:rPr>
          <w:rFonts w:ascii="Arial" w:cs="Arial" w:eastAsia="Arial" w:hAnsi="Arial"/>
          <w:sz w:val="18"/>
          <w:szCs w:val="18"/>
          <w:color w:val="auto"/>
        </w:rPr>
        <w:t>, which states software development costs are expensed as incurred until technological feasibility has been established. At such time, such costs are capitalized until the product is made available for release to customers. Additionally, costs incurred after release to customers are expensed as research and development expenses. As of April 29, 2017 and April 30, 2016, we had $1,759 and $3,000 of capitalized software to be sold, leased, or otherwise marketed.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We are self-insured for certain losses related to health and liability claims and workers’ compensation. We obtain third-party insurance to limit our exposure to these claims. We estimate our self-insured liabilities using a number of factors, including historical claims experience. Our self-insurance liability was $2,367 and $2,314 at April 29, 2017 and April 30, 2016, respectively, and is included in accrued expenses in our consolidated balance sheets.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We operate in multiple income tax jurisdictions both within the United States and internationally. Our annual tax rate is determined based on our income, statutory tax rates and the tax impacts of items treated differently for tax purposes than for financial reporting purposes in each tax jurisdiction. Tax laws require certain items be included in the tax return at different times than are reflected in the financial statements. Some of these differences are permanent, such as expenses that are not deductible in our tax return, and some differences are temporary and reverse over time, such as depreciation expense. These temporary differences create deferred tax assets and liabilities and reflect the enacted income tax rates in effect for the years in which the differences are expected to reverse. We recognize a valuation allowance for deferred tax assets if it is "more likely than not" some or all of the benefits will not be realized.</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we operate in multiple income tax jurisdictions both within the United States and internationally, management must determine the appropriate allocation of income and expenses to each of these jurisdictions based on current interpretations of complex income tax regulations.</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Income tax authorities in these jurisdictions regularly perform audits of our income tax filings. Income tax audits associated with the allocation of income, expenses and other complex issues, including transfer pricing methodologies, may require an extended period of time to resolve and may result in significant income tax adjustments if changes to the income allocation are required between jurisdictions with different income tax rates.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Comprehensive income</w:t>
      </w:r>
      <w:r>
        <w:rPr>
          <w:rFonts w:ascii="Arial" w:cs="Arial" w:eastAsia="Arial" w:hAnsi="Arial"/>
          <w:sz w:val="17"/>
          <w:szCs w:val="17"/>
          <w:color w:val="auto"/>
        </w:rPr>
        <w:t xml:space="preserve">: We follow the provisions of ASC 220,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loss represents net income adjusted for foreign currency translation adjustments and unrealized gains and losses on available-for-sale securities. The foreign currency translation adjustment included in comprehensive loss has not been tax affected, as the investments in foreign affiliates are deemed to be permanent. In accordance with ASC 220 and ASU 2011-05, we disclose comprehensive loss on separate consolidated statements of comprehensive income.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All expenses related to product design and development are charged to operations as incurred. Our product development activities include the enhancement of existing products and technologies and the development of new products and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We expense advertising costs as incurred. Advertising expenses were $2,125, $2,209 and $2,318 for the fiscal years 2017, 2016 and 2015,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color w:val="auto"/>
        </w:rPr>
        <w:t>: Shipping and handling costs collected from our customers in connection with our sales are recorded as revenue. We record shipping and handling costs as a component of cost of sales at the time the product is shipped.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Basic EPS is computed by dividing income attributable to common shareholders by the weighted average number of common shares outstanding for the period. Diluted EPS reflects the potential dilution which may occur if securities or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obligations to issue common stock were exercised or converted into common stock or resulted in the issuance of common stock which share in our earnings.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reconciliation of the income and common share amounts used in the calculation of basic and diluted EPS for the fiscal years ended 2017, 2016 and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29, 2017:</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44,114</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10,342</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44,303</w:t>
            </w: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30, 2016:</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43,990</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44,456</w:t>
            </w: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May 2, 2015:</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43,514</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44,443</w:t>
            </w: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Options outstanding to purchase 2,112, 2,122 and 1,462 shares of common stock with a weighted average exercise price of $13.30, $15.04 and $18.42 per share during the fiscal years ended April 29, 2017, April 30, 2016 and May 2, 2015, respectively, were not included in the computation of diluted earnings per share because the weighted average exercise price of those instruments exceeded the average market price of the common shares during the year.</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Share-based compensation</w:t>
      </w:r>
      <w:r>
        <w:rPr>
          <w:rFonts w:ascii="Arial" w:cs="Arial" w:eastAsia="Arial" w:hAnsi="Arial"/>
          <w:sz w:val="17"/>
          <w:szCs w:val="17"/>
          <w:color w:val="auto"/>
        </w:rPr>
        <w:t xml:space="preserve">: We account for share-based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11. Shareholders’ Equity and Share-Based Compensation" for additional information and the assumptions we use to calculate the fair value of share-based employee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2016, the Financial Accounting Standards Board ("FASB") issued ASU 2016-09,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 Share-Based Payment Accounting, </w:t>
      </w:r>
      <w:r>
        <w:rPr>
          <w:rFonts w:ascii="Arial" w:cs="Arial" w:eastAsia="Arial" w:hAnsi="Arial"/>
          <w:sz w:val="16"/>
          <w:szCs w:val="16"/>
          <w:color w:val="auto"/>
        </w:rPr>
        <w:t>which is intended to simplify certain aspects of the accounting for share-based payment award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income tax effects when awards vest or settle, repurchase of employees’ shares to satisfy statutory tax withholding obligations, an option to account for forfeitures as they occur, and classification of certain amounts on the statements of cash flows. Early adoption of ASU 2016-09 was permitted, and we adopted it during the first quarter of fiscal 2017. We elected to continue to estimate forfeitures expected to occur to determine the amount of compensation cost to be recognized in each period. Provisions related to income taxes have been adopted prospectively. Provisions related to the statements of cash flows have been adopted retrospectively but did not have a material impact on our statements of cash flows. This reclassification has been made to conform fiscal 2016 and 2015 to the fiscal 2017 classifications of the statements of cash flows for comparative purposes.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which changes the measurement principle of inventory from the lower of cost or market to the lower of cost and net realizable value. The guidance will require prospective application at the beginning of our first quarter of fiscal 2018, but it permits adoption in an earlier period. ASU 2015-11 was adopted by the Company effective May 1, 2016 and did not have a material impact on our consolidated results of operations, cash flows, or financial position.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amends FASB ASC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by providing guidance on determining when and how reporting entities must disclose going-concern uncertainties in their financial statements, including requiring management to perform interim and annual assessments of an entity’s ability to continue as a going concern within one year of the date of issuance of the entity’s financial statements and providing certain disclosures if there is substantial doubt about the entity’s ability to continue as a going concern. We adopted this guidance on April 29, 2017, and management assessed our ability to continue as a going concern, which did not identify any conditions or events that raise substantial doubt about our ability to continue as a going concern within one year after the date the financial statements are issued.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it will require adoption on a prospective basis. Early adoption is permitted for interim or annual goodwill impairment tests performed on testing dates after January 1, 2017. We are currently evaluating the effect that adopting this accounting guidance will have on our consolidated results of operations, cash flows, and financial position.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which is intended to improve the accounting for the income tax consequences of intra-entity transfers of assets other than inventory. Current U.S. GAAP prohibits the recognition of current and deferred income taxes for an intra-entity asset transfer until the asset has been sold to an outside party, which is an exception to the principle of comprehensive recognition of current and deferred income taxes in U.S. generally accepted accounting principles ("GAAP"). This update eliminates the exception by requiring entities to recognize the income tax consequences of an intra-entity transfer of an asset other than inventory when the transfer occurs. ASU 2016-16 is effective for interim and annual periods beginning after December 15, 2017, with early adoption permitted. We are currently evaluating the effect that adopting this accounting guidance will have on our consolidated financial statements and related disclosures.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which will make eight targeted changes to how cash receipts and cash payments are presented and classified in the statements of cash flows. ASU 2016-15 is effective for interim and annual periods beginning after December 15, 2017, and it will require adoption on a retrospective basis unless it is impracticable to apply, in which case we would be required to apply the amendments prospectively as of the earliest date practicable. We are currently evaluating the effect that adopting this accounting guidance will have on our consolidated cash flows and related disclosures.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sets out the principles for the recognition, measurement, presentation and disclosure of leases for both parties to a contract (that is, lessees and lessors). This update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The new standard requires lessors to account for leases using an approach that is substantially equivalent to existing guidance for sales-type leases, direct financing leases and operating leases. The new guidance is effective for interim and annual periods beginning after December 15, 2018, with early adoption permitted. We are currently evaluating the effect that adopting this accounting guidance will have on our consolidated results of operations, cash flows, and financial position.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This ASU is a comprehensive revenue recognition model that requires a company to recognize revenue from the transfer of goods or services to customers in an amount that reflects the consideration that the entity expects to receive in exchange for those goods or services. The FASB has also issued ASUs 2016-08, 2016-10, 2016-12, and 2016-20 to clarify guidance with respect to principal versus agent considerations, the identification of performance obligations and licensing, and guidance on certain narrow areas and to add practical expedients. We will adopt ASU 2014-09 and related guidance during the first quarter of fiscal 2019. We have commenced a process to evaluate the impact of ASU 2014-09 on our contracts, including identifying potential differences that would result from applying the requirements of the new guidance. In fiscal 2017, we made progress in reviewing our various types of revenue arrangements. We have also started drafting accounting policies and evaluating the new disclosure requirements on our business processes, controls and systems. As a result of the review performed to date, we do not anticipate that the adoption will have a material impact on our consolidated results of operations, financial statements, and related disclosures. However, our initial conclusion may change as we finalize our assessment.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Commercial business unit primarily consists of sales of our video display systems, digital billboards,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resellers (primarily sign companies), Out-of-Home ("OOH") companies, national retailers, quick-serve restaurants, casinos and petroleum retailers. Our Live Events business unit primarily consists of sales of integrated scoring and video display systems to college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Our Transportation business unit primarily consists of sales of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governmental transportation departments,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and European transportation related products.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segment reporting presents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In general, our segments follow the same accounting policies as those described in "Note 1. Nature of Business and Summary of Critical Accounting Policies".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148,073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148,261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165,793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213,982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205,151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231,877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70,035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67,657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52,426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52,249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48,333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89,260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94,472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102,282</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586,539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570,168</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615,942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27,750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23,178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27,334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13,465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12,466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10,404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9,212</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78,728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62,207</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86,616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32,801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30,679</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29,081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26,911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24,652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31,285</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31,683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10,342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2,061</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20,882</w:t>
            </w:r>
          </w:p>
        </w:tc>
        <w:tc>
          <w:tcPr>
            <w:tcW w:w="0" w:type="dxa"/>
            <w:vAlign w:val="bottom"/>
          </w:tcPr>
          <w:p>
            <w:pPr>
              <w:spacing w:after="0"/>
              <w:rPr>
                <w:sz w:val="1"/>
                <w:szCs w:val="1"/>
                <w:color w:val="auto"/>
              </w:rPr>
            </w:pPr>
          </w:p>
        </w:tc>
      </w:tr>
      <w:tr>
        <w:trPr>
          <w:trHeight w:val="163"/>
        </w:trPr>
        <w:tc>
          <w:tcPr>
            <w:tcW w:w="6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Depreciation, amortization, and impairment: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4,970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2,735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 Ended</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April 30,</w:t>
            </w: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479,846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465,598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494,860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106,693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104,570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121,082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586,539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570,168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615,942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68,233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73,163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72,844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two major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xml:space="preserve"> Marketable securities classified as available-for-sale are reported at fair value with unrealized gains or losses, net of tax, reported in accumulated other comprehensive loss. As it relates to fixed income marketable securities, it is not likely we will be required to sell any of these investments before recovery of the entire amortized cost basis. In addition, as of April 29, 2017,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April 29, 2017 and April 30, 2016,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 Cost</w:t>
            </w:r>
          </w:p>
        </w:tc>
        <w:tc>
          <w:tcPr>
            <w:tcW w:w="164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Gains</w:t>
            </w:r>
          </w:p>
        </w:tc>
        <w:tc>
          <w:tcPr>
            <w:tcW w:w="20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12,260</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7,574</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32,721</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14,927</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8,523</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24,671</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into earnings based on the specific identification method. In the fiscal years ended April 29, 2017 and April 30, 2016, the reclassifications from accumulated other comprehensive loss to net assets were immaterial.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April 29,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2,905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4,683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7,588</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Display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Data Display, a European transportation display company, on August 11, 2014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Data Display is a European based company focused on the design and manufacture of transportation displays. This acquisition allows our organization to better service transportation customers world-wide and broadens our leadership position on a global scale. This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acquisition included a manufacturing plant in Ireland to manufacture transportation displays. This acquisition was funded with cash on hand.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fiscal 2016, the purchase price allocation for the Data Display acquisition was completed, the fair values of the consideration were paid and the contingent consideration was finalized. The excess of the purchase price over the net tangible and intangible assets of $1,463 was recorded as goodwill, which was primarily related to the value of an assembled workforce and is not deductible for tax purposes. Included in the purchase price allocation were acquired identifiable intangibles valued at $480 representing trademarks and technology with a useful life of 20 years and customer relationships valued at $84 with a useful life of 18 years. Also included in the purchase was $1,433 of property and equipment, $437 of investment in affiliates, $2,624 of inventory, $3,063 of accounts receivable, and $1,892 of other current assets, which was offset by current operating liabilities of $3,695 and long-term obligations of $950.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ADFLOW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ADFLOW Networks, Inc. ("ADFLOW"), a Canadian company, on March 15, 2016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ADFLOW is a Canadian company focused on digital media solutions. This acquisition will allow our organization to grow and strengthen our solution offering in digital media networks (DMN). We believe this will broaden our value proposition for our customers and deliver new offerings to the market. This acquisition was funded with cash on hand.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fiscal 2017, the purchase price allocation for the ADFLOW acquisition was completed and the contingent consideration was finalized. The excess of purchase price over the estimated net tangible and intangible assets of $2,557 was recorded as goodwill, which was primarily related to the value of an assembled workforce and is not deductible for tax purposes. Included in the purchase price allocation were acquired identifiable intangibles valued at $3,176 representing software and trademarks and customer relationships valued at $2,692. Also included in the purchase price was $58 of property and equipment, $230 of inventory, $1,283 of accounts receivable, and $616 of other current assets, which was offset by current operating liabilities of $935 and long-term obligations of $1,387.</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includes deferred payments of $1,833 to be made over three years unless certain conditions in the business are not met. We have included the payment obligation in other long-term obligations in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ADFLOW contributed net sales of $9,922 during fiscal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fiscal year ended April 29,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Transportation</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8,116</w:t>
            </w:r>
          </w:p>
        </w:tc>
      </w:tr>
      <w:tr>
        <w:trPr>
          <w:trHeight w:val="243"/>
        </w:trPr>
        <w:tc>
          <w:tcPr>
            <w:tcW w:w="3440" w:type="dxa"/>
            <w:vAlign w:val="bottom"/>
          </w:tcPr>
          <w:p>
            <w:pPr>
              <w:ind w:left="500"/>
              <w:spacing w:after="0"/>
              <w:rPr>
                <w:sz w:val="20"/>
                <w:szCs w:val="20"/>
                <w:color w:val="auto"/>
              </w:rPr>
            </w:pPr>
            <w:r>
              <w:rPr>
                <w:rFonts w:ascii="Arial" w:cs="Arial" w:eastAsia="Arial" w:hAnsi="Arial"/>
                <w:sz w:val="18"/>
                <w:szCs w:val="18"/>
                <w:color w:val="auto"/>
              </w:rPr>
              <w:t>Acquisition, net of cash acquired</w:t>
            </w:r>
          </w:p>
        </w:tc>
        <w:tc>
          <w:tcPr>
            <w:tcW w:w="18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2,274</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3,199</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2,294</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7,812</w:t>
            </w: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perform an analysis of goodwill on an annual basis, and it is tested for impairment more frequently if events or changes in circumstances indicate that an asset might be impaired. We complete this annual analysis during our third quarter of each fiscal year, based on the goodwill amount as of the first business day of our third fiscal quarter. The result of our analysis indicated no goodwill impairment existed for fiscal years 2017, 2016, and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 net, as of April 29, 2017 and April 30,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9"/>
              </w:rPr>
              <w:t>April 29, 2017</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Life (in</w:t>
            </w: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Net Carrying</w:t>
            </w:r>
          </w:p>
        </w:tc>
      </w:tr>
      <w:tr>
        <w:trPr>
          <w:trHeight w:val="234"/>
        </w:trPr>
        <w:tc>
          <w:tcPr>
            <w:tcW w:w="366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years)</w:t>
            </w:r>
          </w:p>
        </w:tc>
        <w:tc>
          <w:tcPr>
            <w:tcW w:w="24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Impairment</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Registered trademarks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1,759</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amortized intangible assets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4,705</w:t>
            </w:r>
          </w:p>
        </w:tc>
      </w:tr>
      <w:tr>
        <w:trPr>
          <w:trHeight w:val="20"/>
        </w:trPr>
        <w:tc>
          <w:tcPr>
            <w:tcW w:w="3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14"/>
        </w:trPr>
        <w:tc>
          <w:tcPr>
            <w:tcW w:w="3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9"/>
              </w:rPr>
              <w:t>April 30, 2016</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Life (in</w:t>
            </w: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Net Carrying</w:t>
            </w:r>
          </w:p>
        </w:tc>
      </w:tr>
      <w:tr>
        <w:trPr>
          <w:trHeight w:val="234"/>
        </w:trPr>
        <w:tc>
          <w:tcPr>
            <w:tcW w:w="366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years)</w:t>
            </w:r>
          </w:p>
        </w:tc>
        <w:tc>
          <w:tcPr>
            <w:tcW w:w="24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Impairment</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Registered trademarks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Software</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3,046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amortized intangible assets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8,274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fiscal 2017, we chose to transition out of the non-digital market in our International business unit. We identified certain technology and customer lists with carrying values deemed to not be recoverable. Based on this evaluation, we recognized an impairment loss of $830 for non-digital related technology and customer list intangible assets. This was included in cost of goods sold and selling expense in the consolidated statement of operations. The impairment loss was calculated based on expected future cash flows using level 3 inputs. The level 3 inputs included weighted average estimated future cash flows from non-digital product sales and estimated selling value of non-digital intellectual property.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In the fiscal years 2017, 2016, and 2015, amortization expense including impairment related to intangible assets was $2,546, $295, and $204,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expenses are included primarily in product development and selling expense in the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April 29, 2017, amortization expenses for future periods were estimated to be as follows:</w:t>
      </w:r>
    </w:p>
    <w:p>
      <w:pPr>
        <w:spacing w:after="0" w:line="383" w:lineRule="exact"/>
        <w:rPr>
          <w:sz w:val="20"/>
          <w:szCs w:val="20"/>
          <w:color w:val="auto"/>
        </w:rPr>
      </w:pPr>
    </w:p>
    <w:tbl>
      <w:tblPr>
        <w:tblLayout w:type="fixed"/>
        <w:tblInd w:w="2400" w:type="dxa"/>
        <w:tblCellMar>
          <w:top w:w="0" w:type="dxa"/>
          <w:left w:w="0" w:type="dxa"/>
          <w:bottom w:w="0" w:type="dxa"/>
          <w:right w:w="0" w:type="dxa"/>
        </w:tblCellMar>
      </w:tblPr>
      <w:tr>
        <w:trPr>
          <w:trHeight w:val="234"/>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expected amortization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Note 6. Selected Financial Statement Data</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6,158</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35,485</w:t>
            </w: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66,486</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69,827</w:t>
            </w: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reported net of the allowance for excess and obsolete inventory of $4,967 and $4,975 as of April 29, 2017 and April 30, 2016,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65,935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65,247</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84,189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82,973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14,746</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51,523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48,917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Equipment held for rental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6,596</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223,941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229,034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157,192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155,871</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66,749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73,163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depreciation expense was $16,732, $16,561, and $14,764 for the fiscal years 2017, 2016, and 2015, respectively.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fiscal years 2017, 2016, and 2015, the pretax impairment charges for property and equipment were immaterial. The impairment charges were related to equipment obsoleted due to technology improvements or to custom demo equipment with no resale value. These impairment charges were included primarily in product development and selling expense in the 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Other (expense) income, net consisted of the following:</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Year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April 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April 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Equity in losses of affiliates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Note 7. Uncompleted Contracts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Uncompleted contracts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508,993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530,594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161,611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173,356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670,604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703,950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645,098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684,111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25,506</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Billings in excess of costs and estimated earnings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(10,897)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(10,361)</w:t>
            </w: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59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595"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in certain foreign countries on credit terms we establish for each customer. On the sale of certain products, we have the ability to file a contractor’s lien against the product installed as collateral and to file claims against surety bonds to protect our interest in receivables. Foreign sales are at times secured by irrevocable letters of credit or bank guarantees.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$2,610 and $2,797 at April 29, 2017 and April 30, 2016, respectively. Included in accounts receivable as of April 29, 2017 and April 30, 2016 was $1,857 and $437, respectively, of retainage on construction-type contracts, all of which are expected to be collected within one year.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We charge off receivables at such time as it is determined collection will not occur. Charge-offs of receivables and our allowance for doubtful accounts related to financing receivables are not material to our financial results.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U.S.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$4,890 and $7,038 as of April 29, 2017 and April 30, 2016, respectively. Contract and lease receivables bearing annual interest rates of 4.8 to 10.0 percent are due in varying annual installments through August 2024. The face amount of long-term receivables was $5,201 as of April 29, 2017 and $7,236 as of April 30,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Financing Agreements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credit agreement with a U.S. bank for a $35,000 line of credit, which includes up to $15,000 for standby letters of credit. On November 15, 2016, we entered into a credit agreement and a related revolving note with a U.S. bank. The agreement and note have a maturity date of November 15, 2019. The revolving amount of the agreement and note is $35,000, including up to $15,000 for commercial and standby letters of credits.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U.S. GAAP. The effective interest rate was 2.4 percent at April 29, 2017. We are assessed a loan fee equal to 0.125 percent per annum of any unused portion of the loan. As of April 29, 2017, there were no advances to us under the loan portion of the line of credit, and the balance of letters of credit outstanding was approximately $4,089.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(with the exception of any U.S. bank approved special cash dividend), a capital expenditure reserve of $6,000, and income tax expenses paid in cash, but excluding cash used to repurchase any Daktronics, Inc. stock over (b) all principal and interest payments with respect to debt, excluding principal payments on the line of credit;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$20,000. We will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$40,000. The interest rate is equal to LIBOR plus 1.5 percent. We are assessed a fixed loan fee of $5 per quarter. As of April 29, 2017, there were no advances outstanding under the loan agreement and approximately $6,377 in bank guarantees under this line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April 29, 2017, we were in compliance with all applicable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 Repurchase Program</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17, 2016, our Board of Directors approved a stock repurchase program under which Daktronics, Inc. may purchase up to $40,000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fiscal 2017, we repurchased 284 shares of common stock at a total cost of $1,825. We may repurchase up to an additional $38,175 of common stock under the current Board authorization.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 and Share-Based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Our authorized shares of 120,000 consist of 115,000 shares of common stock and 5,000 shares of “undesignated stock.” Our Board of Directors has the power to issue any or all of the shares of undesignated stock without shareholder approval, including the authority to establish the rights and preferences of the undesignated stock.</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outstanding share of our common stock includes one common share purchase right. Each right entitles the registered holder to purchase from us one-tenth of one share of common stock at a price of $100 per common share,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15 percent or more of our outstanding common shares (subject to certain exclusions) or (ii) 10 business days following the commencement or announcement of an intention to make a tender offer or exchange offer for our common shares, the consummation of which would result in the beneficial ownership by a person or group of 15 percent or more of our outstanding common shares. The rights expire on November 19, 2018, which date may be extended by our Board subject to certain additional conditions.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Stock incentive plans</w:t>
      </w:r>
      <w:r>
        <w:rPr>
          <w:rFonts w:ascii="Arial" w:cs="Arial" w:eastAsia="Arial" w:hAnsi="Arial"/>
          <w:sz w:val="18"/>
          <w:szCs w:val="18"/>
          <w:color w:val="auto"/>
        </w:rPr>
        <w:t>: During fiscal 2016, we established the 2015 Stock Incentive Plan (“2015 Plan”) and ceased granting options under the 2007 Stock Incentive Plan ("2007 Plan"). The 2015 Plan provides for the issuance of stock-based awards, including stock options, restricted stock, restricted stock units and deferred stock, to employees, directors and consultants. Stock options issued to employees under the plans generally have a 10-year life, an exercise price equal to the fair market value on the grant date and a five-year annual vesting period. Stock options granted to independent directors under these plans have a seven-year life and an exercise price equal to the fair market value on the date of grant. Stock options granted to independent directors vest in one year. The restricted stock granted to independent directors vests in one year, provided that they remain on the Board. Restricted stock units are granted to employees and have a five-year annual vesting period. As with stock options, restricted stock and restricted stock unit ownership cannot be transferred during the vesting period.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April 29, 2017, the aggregate number of shares available for future grant under the 2015 Plan for stock options and restricted stock awards was 2,215 shares. Shares of common stock subject to all stock awards granted under the 2015 Plan are counted as one share of stock for each share of stock subject to the award. Although the 2007 Plan remains in effect for options outstanding, no new options can be granted under this plan.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We issue restricted stock to our non-employee directors and restricted stock units to employees.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to non-employee directors are participating securities and receive dividends prior to vesting. Unvested restricted stock will terminate and be forfeited upon termination of employment or service. The fair value of 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$2,485 at April 29, 2017, which is expected to be recognized over a weighted-average period of 2.9 years. The total fair value of restricted stock vested was $1,214, $1,191, and $1,089 for fiscal years 2017, 2016, and 2015,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restricted stock and restricted stock units for fiscal years 2017, 2016, and 2015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ind w:left="84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760" w:type="dxa"/>
            <w:vAlign w:val="bottom"/>
            <w:gridSpan w:val="5"/>
          </w:tcPr>
          <w:p>
            <w:pPr>
              <w:ind w:left="800"/>
              <w:spacing w:after="0"/>
              <w:rPr>
                <w:sz w:val="20"/>
                <w:szCs w:val="20"/>
                <w:color w:val="auto"/>
              </w:rPr>
            </w:pPr>
            <w:r>
              <w:rPr>
                <w:rFonts w:ascii="Arial" w:cs="Arial" w:eastAsia="Arial" w:hAnsi="Arial"/>
                <w:sz w:val="18"/>
                <w:szCs w:val="18"/>
                <w:b w:val="1"/>
                <w:bCs w:val="1"/>
                <w:color w:val="auto"/>
              </w:rPr>
              <w:t>April 29, 2017</w:t>
            </w:r>
          </w:p>
        </w:tc>
        <w:tc>
          <w:tcPr>
            <w:tcW w:w="2720" w:type="dxa"/>
            <w:vAlign w:val="bottom"/>
            <w:gridSpan w:val="5"/>
          </w:tcPr>
          <w:p>
            <w:pPr>
              <w:ind w:left="780"/>
              <w:spacing w:after="0"/>
              <w:rPr>
                <w:sz w:val="20"/>
                <w:szCs w:val="20"/>
                <w:color w:val="auto"/>
              </w:rPr>
            </w:pPr>
            <w:r>
              <w:rPr>
                <w:rFonts w:ascii="Arial" w:cs="Arial" w:eastAsia="Arial" w:hAnsi="Arial"/>
                <w:sz w:val="18"/>
                <w:szCs w:val="18"/>
                <w:b w:val="1"/>
                <w:bCs w:val="1"/>
                <w:color w:val="auto"/>
              </w:rPr>
              <w:t>April 30, 2016</w:t>
            </w:r>
          </w:p>
        </w:tc>
        <w:tc>
          <w:tcPr>
            <w:tcW w:w="26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May 2, 2015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Nonvested</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vMerge w:val="restart"/>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We issue incentive stock options to our employees and non-qualified stock options to our independent directors. A summary of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under all stock option plans during the fiscal year ended April 29, 2017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6"/>
              </w:rPr>
              <w:t>Aggregate</w:t>
            </w:r>
          </w:p>
        </w:tc>
      </w:tr>
      <w:tr>
        <w:trPr>
          <w:trHeight w:val="230"/>
        </w:trPr>
        <w:tc>
          <w:tcPr>
            <w:tcW w:w="486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Per Share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Intrinsic Value</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30, 2016</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 or 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29.41</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29, 2017</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0"/>
        </w:trPr>
        <w:tc>
          <w:tcPr>
            <w:tcW w:w="4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1"/>
        </w:trPr>
        <w:tc>
          <w:tcPr>
            <w:tcW w:w="4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 and expected to vest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2,458</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Exercisable at April 29, 2017</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1,868</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11.49</w:t>
            </w:r>
          </w:p>
        </w:tc>
        <w:tc>
          <w:tcPr>
            <w:tcW w:w="20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7"/>
        </w:trPr>
        <w:tc>
          <w:tcPr>
            <w:tcW w:w="4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of stock options represents the difference between the exercise price of stock options and the fair market value of the underlying common stock for all in-the-money options. We define in-the-money options at April 29, 2017 as options having exercise prices lower than the $9.46 per share market price of our common stock on that date. There were in-the-money options to purchase 891 shares exercisable at April 29, 2017. The total intrinsic value of options exercised during fiscal years 2017, 2016, and 2015 was $64, $132, and $533, respectively. The total fair value of stock options vested was $1,102, $1,190, and $1,294 for fiscal years 2017, 2016, and 2015,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7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options granted represents the period of time they are expected to be outstanding. We estimate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8"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We estimate the volatility of our common stock at the date of grant based on historical volatility consistent with ASC 718 and SEC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Staff Accounting Bulletin No. 107, </w:t>
      </w:r>
      <w:r>
        <w:rPr>
          <w:rFonts w:ascii="Arial" w:cs="Arial" w:eastAsia="Arial" w:hAnsi="Arial"/>
          <w:sz w:val="18"/>
          <w:szCs w:val="18"/>
          <w:i w:val="1"/>
          <w:iCs w:val="1"/>
          <w:color w:val="auto"/>
        </w:rPr>
        <w:t>Share Based Payments</w:t>
      </w:r>
      <w:r>
        <w:rPr>
          <w:rFonts w:ascii="Arial" w:cs="Arial" w:eastAsia="Arial" w:hAnsi="Arial"/>
          <w:sz w:val="18"/>
          <w:szCs w:val="18"/>
          <w:color w:val="auto"/>
        </w:rPr>
        <w:t>.</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rate is based on the U.S. Treasury zero-coupon yield curve on the grant date for a term similar to the expected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use an expected dividend yield consistent with our historical dividend yield pattern.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weighted-average fair value of options granted and the related assumptions used in the Black-Scholes model: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April 29,</w:t>
            </w:r>
          </w:p>
        </w:tc>
        <w:tc>
          <w:tcPr>
            <w:tcW w:w="240" w:type="dxa"/>
            <w:vAlign w:val="bottom"/>
          </w:tcPr>
          <w:p>
            <w:pPr>
              <w:spacing w:after="0"/>
              <w:rPr>
                <w:sz w:val="18"/>
                <w:szCs w:val="18"/>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May 2,</w:t>
            </w:r>
          </w:p>
        </w:tc>
      </w:tr>
      <w:tr>
        <w:trPr>
          <w:trHeight w:val="234"/>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granted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1.31 - 1.44%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1.70 - 1.90%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1.93 - 2.14%</w:t>
            </w: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44.12 - 44.51%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42.71 - 48.32%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48.01 - 51.89%</w:t>
            </w: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of option</w:t>
            </w: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5.78 - 6.98 years</w:t>
            </w: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5.78 - 6.98 years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6"/>
              </w:rPr>
              <w:t>5.84 - 6.95 years</w:t>
            </w:r>
          </w:p>
        </w:tc>
      </w:tr>
      <w:tr>
        <w:trPr>
          <w:trHeight w:val="27"/>
        </w:trPr>
        <w:tc>
          <w:tcPr>
            <w:tcW w:w="4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We have an employee stock purchase plan (“ESPP”), which enables employees after six months of continuous employment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2,500. The number of shares of common stock issued under the ESPP totaled 118, 227, and 248 shares in fiscal 2017, 2016, and 2015, respectively. The number of shares of common stock reserved for future employee purchases under the ESPP totaled 396 shares at April 29, 2017. The ESPP is intended to qualify under Section 423 of the Internal Revenue Code of 1986 (the "Code").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Total share-based compensation expense</w:t>
      </w:r>
      <w:r>
        <w:rPr>
          <w:rFonts w:ascii="Arial" w:cs="Arial" w:eastAsia="Arial" w:hAnsi="Arial"/>
          <w:sz w:val="18"/>
          <w:szCs w:val="18"/>
          <w:color w:val="auto"/>
        </w:rPr>
        <w:t>: As of April 29, 2017, there was $3,991 of total unrecognized compensation cost related to nonvested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arrangements granted under all equity compensation plans. Total unrecognized compensation cost will be adjusted for future changes in estimated forfeitures. We expect to recognize the cost over a weighted-average period of 2.7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share-based compensation expense by equity type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29,</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stock and stock units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7"/>
        </w:trPr>
        <w:tc>
          <w:tcPr>
            <w:tcW w:w="60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share-based compensation expenses for stock options, restricted stock, restricted stock units and shares issued under the ESPP for fiscal years 2017, 2016, and 2015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29,</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received $343 in cash from option exercises under all share-based payment arrangements for the fiscal year ended April 29, 2017. The tax benefit (expense) related to non-qualified options and restricted stock units under all share-based payment arrangements totaled $2, $(69), and $3 for fiscal years 2017,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sponsor a 401(k) savings plan under which eligible U.S. employees may choose to make voluntary contributions of such employees' compensation on a pretax basis, subject to certain Internal Revenue Service ("IRS") limits. We make matching cash contributions equal to 50 percent of the employee's qualifying contribution up to six percent of such employee's compensation. Employees are eligible to participate upon completion of one year of service if they have attained the age of 21 and have worked more than 1000 hours during such plan year. We contributed $2,463, $2,382 and $2,013 to the plan for fiscal years 2017, 2016, and 2015, respectively.</w:t>
      </w:r>
    </w:p>
    <w:p>
      <w:pPr>
        <w:sectPr>
          <w:pgSz w:w="11900" w:h="16838" w:orient="portrait"/>
          <w:cols w:equalWidth="0" w:num="1">
            <w:col w:w="11420"/>
          </w:cols>
          <w:pgMar w:left="240" w:top="12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13. Income Taxes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w w:val="92"/>
              </w:rPr>
              <w:t>The pretax income attributable to domestic and foreign operations was as follows: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29,</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Income tax expense consisted of the following:</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29,</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5,268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29,</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Computed income tax expense at federal, state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local jurisdiction statutory rates</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Meals and entertainment</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Dividends paid to retirement plan</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Change in valuation allowances</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The components of the net deferred tax asset were as follows: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24"/>
                <w:szCs w:val="24"/>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April 30,</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warranty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10,469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11,407</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Vacation accrual</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1,963</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losses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Deferred maintenance revenue</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1,336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excess and obsolete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848</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745</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Inventory capitalization</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Unrealized loss on foreign currency exchange</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operating loss carry forwards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Research and development tax credit carry forwards</w:t>
            </w:r>
          </w:p>
        </w:tc>
        <w:tc>
          <w:tcPr>
            <w:tcW w:w="22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1,005</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1,266</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21,845</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21,445</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(1,673)</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19,784</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19,772</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(7,988)</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(1,479)</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Unrealized gain on foreign currency exchange</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(9,328)</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(11,089)</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10,456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5"/>
          </w:tcPr>
          <w:p>
            <w:pPr>
              <w:spacing w:after="0"/>
              <w:rPr>
                <w:sz w:val="20"/>
                <w:szCs w:val="20"/>
                <w:color w:val="auto"/>
              </w:rPr>
            </w:pPr>
            <w:r>
              <w:rPr>
                <w:rFonts w:ascii="Arial" w:cs="Arial" w:eastAsia="Arial" w:hAnsi="Arial"/>
                <w:sz w:val="18"/>
                <w:szCs w:val="18"/>
                <w:color w:val="auto"/>
                <w:w w:val="99"/>
              </w:rPr>
              <w:t>The classification of net deferred tax assets in the accompanying consolidated balance sheets is: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24"/>
                <w:szCs w:val="24"/>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April 30,</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11,292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(754)</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10,456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changes in the amounts recorded for uncertain tax positions 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April 29, 2017</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April 30, 2016</w:t>
            </w:r>
          </w:p>
        </w:tc>
        <w:tc>
          <w:tcPr>
            <w:tcW w:w="200" w:type="dxa"/>
            <w:vAlign w:val="bottom"/>
          </w:tcPr>
          <w:p>
            <w:pPr>
              <w:spacing w:after="0"/>
              <w:rPr>
                <w:sz w:val="24"/>
                <w:szCs w:val="24"/>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2, 2015</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beginning of year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Gross increases related to prior period tax positions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5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Lapse of statute of limitations</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end of year</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unrecognized tax benefits would have an impact on the effective tax rate if recognized. It is reasonably possible that the amount of unrecognized tax benefits could change due to one or more of the following events in the next 12 months: expiring statutes, audit activity, tax payments, or competent authority proceedings. We are not able to reasonably estimate the amount or the future periods in which changes in unrecognized tax benefits may be resolved; however, we do not anticipate any significant changes within the next 12 months. Interest and penalties incurred associated with uncertain tax positions are included in income tax expense.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fiscal 2015, the Tax Court's decision in </w:t>
      </w:r>
      <w:r>
        <w:rPr>
          <w:rFonts w:ascii="Arial" w:cs="Arial" w:eastAsia="Arial" w:hAnsi="Arial"/>
          <w:sz w:val="18"/>
          <w:szCs w:val="18"/>
          <w:i w:val="1"/>
          <w:iCs w:val="1"/>
          <w:color w:val="auto"/>
        </w:rPr>
        <w:t>Pilgrim's Pride Corporation v. Commissioner</w:t>
      </w:r>
      <w:r>
        <w:rPr>
          <w:rFonts w:ascii="Arial" w:cs="Arial" w:eastAsia="Arial" w:hAnsi="Arial"/>
          <w:sz w:val="18"/>
          <w:szCs w:val="18"/>
          <w:color w:val="auto"/>
        </w:rPr>
        <w:t xml:space="preserve"> was overturned by the federal Fifth Circuit Court of Appeals. Hence, we abandoned our partnership interest and recorded an ordinary loss on our 2015 federal tax return, thereby moving the asset and valuation allowance into our current tax provision and recording a current deduction. Because our position has a chance of being disallowed, we believe we cannot reach the more-likely-than not conclusion that this ordinary loss will be realized. Therefore,</w:t>
      </w:r>
    </w:p>
    <w:p>
      <w:pPr>
        <w:sectPr>
          <w:pgSz w:w="11900" w:h="16838" w:orient="portrait"/>
          <w:cols w:equalWidth="0" w:num="1">
            <w:col w:w="11420"/>
          </w:cols>
          <w:pgMar w:left="240" w:top="122" w:right="239" w:bottom="568"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568"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maintained an uncertain tax accrual. We will continue to evaluate the facts and circumstances of this case and adjust our accrual accordingly.</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April 29, 2017, we had foreign net operating loss (“NOL”) carryforwards of approximately $7,754 primarily related to our operations in Belgium and Ireland, which have indefinite lives. $138 of the NOL carryforwards is related to operations in Canada and expires in 2036. A deferred tax asset has been recorded for all NOL carryforwards totaling approximately $1,772. However, due to uncertainty in future taxable income in Ireland and Belgium, a full valuation allowance totaling approximately $1,724 has been recorded. If sufficient evidence of our ability to generate future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information: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normal course of business, income tax authorities in various income tax jurisdictions both within the United States and internationally conduct routine audits of our income tax returns filed in prior years. Income tax years are open for the United States jurisdiction for fiscal years 2014 through 2016. International jurisdictions have open tax years varying by location beginning in fiscal 2007.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 deferred tax liability recognized relating to our investment in foreign subsidiaries where the earnings have been indefinitely reinvested. If circumstances change and it becomes apparent that some or all of the undistributed untaxed earnings of a subsidiary will be remitted to the United States, we will accrue a tax expense at that time. We have approximately $11,483 of untaxed earnings which have indefinitely been reinvested. Determination of the amount of any unrecognized deferred income tax liability on these earnings is not practicable.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a (benefit) expense of $(59), $232 and $14 in net interest and penalties during fiscal years ended 2017, 2016, and 2015, respectively. Interest and penalties recognized are recorded in income taxes in our consolidated statements of operations. We had accrued $170 and $94 in net interest or penalties as of April 29, 2017 and April 30, 2016,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14. Cash Flow Information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29,</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Account receivable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Current marketing obligations and other payables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marketing obligations and other payables</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7,322</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(9,583)</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w w:val="98"/>
              </w:rPr>
              <w:t>Supplemental disclosures of cash flow information consisted of the following:</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29,</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payments for:</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taxes, net of refunds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459"/>
        </w:trPr>
        <w:tc>
          <w:tcPr>
            <w:tcW w:w="7660" w:type="dxa"/>
            <w:vAlign w:val="bottom"/>
            <w:gridSpan w:val="5"/>
          </w:tcPr>
          <w:p>
            <w:pPr>
              <w:spacing w:after="0"/>
              <w:rPr>
                <w:sz w:val="20"/>
                <w:szCs w:val="20"/>
                <w:color w:val="auto"/>
              </w:rPr>
            </w:pPr>
            <w:r>
              <w:rPr>
                <w:rFonts w:ascii="Arial" w:cs="Arial" w:eastAsia="Arial" w:hAnsi="Arial"/>
                <w:sz w:val="18"/>
                <w:szCs w:val="18"/>
                <w:color w:val="auto"/>
              </w:rPr>
              <w:t>Supplemental schedule of non-cash investing and financing activities consisted of the following:</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29,</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 transferred to inventory</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included in accounts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payable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of common stock under the ESPP</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Contingent consideration related to acquisition of ADFLOW</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ind w:left="660" w:hanging="647"/>
        <w:spacing w:after="0" w:line="286"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quoted prices included within Level 1 for the assets or liabilities, either directly or indirectly (for example, quoted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April 29, 2017 and April 30, 2016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Fair Value Measurements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12,487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Derivatives - asset position</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Contingent liability</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63,448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14,927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Municipal obligations</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Contingent liability</w:t>
            </w:r>
          </w:p>
        </w:tc>
        <w:tc>
          <w:tcPr>
            <w:tcW w:w="24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24,219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50,790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60" w:type="dxa"/>
            <w:vAlign w:val="bottom"/>
            <w:gridSpan w:val="8"/>
          </w:tcPr>
          <w:p>
            <w:pPr>
              <w:spacing w:after="0"/>
              <w:rPr>
                <w:sz w:val="20"/>
                <w:szCs w:val="20"/>
                <w:color w:val="auto"/>
              </w:rPr>
            </w:pPr>
            <w:r>
              <w:rPr>
                <w:rFonts w:ascii="Arial" w:cs="Arial" w:eastAsia="Arial" w:hAnsi="Arial"/>
                <w:sz w:val="18"/>
                <w:szCs w:val="18"/>
                <w:color w:val="auto"/>
                <w:w w:val="93"/>
              </w:rPr>
              <w:t>A roll forward of the Level 3 contingent liability, both short and long-term, for the year ended April 29, 2017 is as follows: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30, 2016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Fair value adjustments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29, 2017</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16. Derivative Financial Instruments" for more information regarding our derivatives.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Contingent liability</w:t>
      </w:r>
      <w:r>
        <w:rPr>
          <w:rFonts w:ascii="Arial" w:cs="Arial" w:eastAsia="Arial" w:hAnsi="Arial"/>
          <w:sz w:val="16"/>
          <w:szCs w:val="16"/>
          <w:color w:val="auto"/>
        </w:rPr>
        <w:t>: Consists of the fair value of a liability measured on expected future payments relating to a business acquisition if future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measures are achieved. The contingent liability was calculated by estimating the discounted present value of expected future payments for estimated performance measure attainment. To estimate future performance measure attainment, we utilized significant unobservable inputs as of April 29, 2017 and April 30, 2016. The unobservable inputs included management expectations and forecasts for business performance and an estimated discount rate based on current borrowing interest rates. To the extent that these assumptions changed or actual results differed from these estimates, the fair value of the contingent consideration liabilities could change. The contingent liability is presented in other long-term obligations in our consolidated balance sheets.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Non-recurring measurements: </w:t>
      </w:r>
      <w:r>
        <w:rPr>
          <w:rFonts w:ascii="Arial" w:cs="Arial" w:eastAsia="Arial" w:hAnsi="Arial"/>
          <w:sz w:val="17"/>
          <w:szCs w:val="17"/>
          <w:color w:val="auto"/>
        </w:rPr>
        <w:t>The fair value measurement standard also applies to certain non-financial assets and liabilities measured at fair value on a</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basis. Certain long-lived assets such as goodwill, intangible assets and property, plant and equipment are measured at fair value in connection with business combinations or when an impairment is recognized and the related assets are written down to fair value. We did not have any business combinations during the year ended April 29, 2017 and used Level 3 inputs to value the assets and liabilities for business combinations during fiscal 2016. See "Note 4. Business Combinations" for more information. We used Level 3 inputs to measure and record a technology and customer list intangible asset impairment of $830 during fiscal 2017. See "Note 5. Goodwill and Intangible Assets" for more information.</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Other measurements using fair value</w:t>
      </w:r>
      <w:r>
        <w:rPr>
          <w:rFonts w:ascii="Arial" w:cs="Arial" w:eastAsia="Arial" w:hAnsi="Arial"/>
          <w:sz w:val="16"/>
          <w:szCs w:val="16"/>
          <w:color w:val="auto"/>
        </w:rPr>
        <w:t>: Some of our financial instruments, such as accounts receivable, long-term receivables, prepaid expense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costs and earnings in excess of billings and billings in excess of costs, accounts payable, warranty obligations, customer deposits, deferred revenue, and other long-term obligations, are reflected in the balance sheet at carrying value, which approximates fair value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April 29, 2017 and April 30, 2016, we had not designated any of our derivative instruments as accounting hedges, and thus we recorded the changes in fair value in other (expense) income, net.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April 29, 2017 and April 30, 2016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860"/>
              <w:spacing w:after="0"/>
              <w:rPr>
                <w:sz w:val="20"/>
                <w:szCs w:val="20"/>
                <w:color w:val="auto"/>
              </w:rPr>
            </w:pPr>
            <w:r>
              <w:rPr>
                <w:rFonts w:ascii="Arial" w:cs="Arial" w:eastAsia="Arial" w:hAnsi="Arial"/>
                <w:sz w:val="18"/>
                <w:szCs w:val="18"/>
                <w:b w:val="1"/>
                <w:bCs w:val="1"/>
                <w:color w:val="auto"/>
              </w:rPr>
              <w:t>April 29, 2017</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30, 2016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Dollars/Singapore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Dollars/Euros</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29, 2017, there was a net asset and liability of $64 and $277, respectively, and as of April 30, 2016, there was a net liability of $453 representing the fair value of foreign currency exchange forward contracts, which was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29, 2017 and April 30, 2016, we did not believe there was a reasonable probability that any material loss for these various claims or legal actions, including reviews, inspections or other legal proceedings, if any, would be incurred. Accordingly, no material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most of our products. We also offer additional types</w:t>
      </w:r>
      <w:r>
        <w:rPr>
          <w:rFonts w:ascii="Arial" w:cs="Arial" w:eastAsia="Arial" w:hAnsi="Arial"/>
          <w:sz w:val="17"/>
          <w:szCs w:val="17"/>
          <w:i w:val="1"/>
          <w:iCs w:val="1"/>
          <w:color w:val="auto"/>
        </w:rPr>
        <w:t xml:space="preserve"> </w:t>
      </w:r>
      <w:r>
        <w:rPr>
          <w:rFonts w:ascii="Arial" w:cs="Arial" w:eastAsia="Arial" w:hAnsi="Arial"/>
          <w:sz w:val="17"/>
          <w:szCs w:val="17"/>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contractual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fiscal 2016, we discovered a warranty issue caused by a mechanical device failure within a module for displays primarily in our OOH applications built prior to fiscal 2013. The device failure causes a visual defect in the display. Over the past 18 months, we have deployed preventative maintenance to sites impacted and repaired the defective devices in our repair center. When certain site locations have exceeded an acceptable failure rate, we have refurbished the display to meet customers’ expectations under contractual obligations. We increased our accrued warranty obligations by $1,766 during fiscal 2017, $9,174 during fiscal 2016, and $1,168 during fiscal 2015 for probable and reasonably estimable costs to remediate this issue. As of April 29, 2017, we had $3,079 remaining in accrued warranty obligations for the estimate of probable future claims related to this issue. While many of our contractual warranty arrangements are nearing expiration for product with this issue, we may experience additional discretionary costs to maintain customer relationships or for higher than expected failure rates. Accordingly, it is possible that the ultimate cost to resolve this matter may increase and be materially different from the amount of the current estimate and accrual.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fiscal years ended April 29, 2017 and April 30, 2016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29, 2017</w:t>
            </w:r>
          </w:p>
        </w:tc>
        <w:tc>
          <w:tcPr>
            <w:tcW w:w="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30, 2016</w:t>
            </w:r>
          </w:p>
        </w:tc>
      </w:tr>
      <w:tr>
        <w:trPr>
          <w:trHeight w:val="27"/>
        </w:trPr>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26,481</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10,930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10,528</w:t>
            </w: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(18,377)</w:t>
            </w:r>
          </w:p>
        </w:tc>
      </w:tr>
      <w:tr>
        <w:trPr>
          <w:trHeight w:val="229"/>
        </w:trPr>
        <w:tc>
          <w:tcPr>
            <w:tcW w:w="5420" w:type="dxa"/>
            <w:vAlign w:val="bottom"/>
          </w:tcPr>
          <w:p>
            <w:pPr>
              <w:ind w:left="420"/>
              <w:spacing w:after="0"/>
              <w:rPr>
                <w:sz w:val="20"/>
                <w:szCs w:val="20"/>
                <w:color w:val="auto"/>
              </w:rPr>
            </w:pPr>
            <w:r>
              <w:rPr>
                <w:rFonts w:ascii="Arial" w:cs="Arial" w:eastAsia="Arial" w:hAnsi="Arial"/>
                <w:sz w:val="18"/>
                <w:szCs w:val="18"/>
                <w:color w:val="auto"/>
                <w:w w:val="92"/>
              </w:rPr>
              <w:t>Changes in accrued warranty obligations for pre-existing warranties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420" w:type="dxa"/>
            <w:vAlign w:val="bottom"/>
          </w:tcPr>
          <w:p>
            <w:pPr>
              <w:ind w:left="740"/>
              <w:spacing w:after="0"/>
              <w:rPr>
                <w:sz w:val="20"/>
                <w:szCs w:val="20"/>
                <w:color w:val="auto"/>
              </w:rPr>
            </w:pPr>
            <w:r>
              <w:rPr>
                <w:rFonts w:ascii="Arial" w:cs="Arial" w:eastAsia="Arial" w:hAnsi="Arial"/>
                <w:sz w:val="18"/>
                <w:szCs w:val="18"/>
                <w:color w:val="auto"/>
              </w:rPr>
              <w:t>during the period, including expirations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11,864</w:t>
            </w:r>
          </w:p>
        </w:tc>
      </w:tr>
      <w:tr>
        <w:trPr>
          <w:trHeight w:val="27"/>
        </w:trPr>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27,899</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30,496</w:t>
            </w: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April 29, 2017, we had outstanding letters of credit and surety bonds in the amount of $10,466 and $39,994,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various equipment for various global sales and service locations, including manufacturing space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and 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approximately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$3,175, $3,031 and $3,020 for the fiscal years 2017, 2016, and 2015,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April 29,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2,038</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From time to time, we commit to purchase inventory, advertising, cloud-based information systems, information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support services, and various other products and services over periods that extend beyond one year. As of April 29, 2017, we were obligated under the following conditional and unconditional purchase commitments, which included $400 in conditional purchase commitments: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long-term obligations: </w:t>
      </w:r>
      <w:r>
        <w:rPr>
          <w:rFonts w:ascii="Arial" w:cs="Arial" w:eastAsia="Arial" w:hAnsi="Arial"/>
          <w:sz w:val="18"/>
          <w:szCs w:val="18"/>
          <w:color w:val="auto"/>
        </w:rPr>
        <w:t>We are obligated to pay the following payments for acquisitions and for other various obligations: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April 29, 2017</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30, 2016</w:t>
            </w:r>
          </w:p>
        </w:tc>
      </w:tr>
      <w:tr>
        <w:trPr>
          <w:trHeight w:val="27"/>
        </w:trPr>
        <w:tc>
          <w:tcPr>
            <w:tcW w:w="47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Deferred purchase price</w:t>
            </w:r>
          </w:p>
        </w:tc>
        <w:tc>
          <w:tcPr>
            <w:tcW w:w="16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2,479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3,228</w:t>
            </w:r>
          </w:p>
        </w:tc>
      </w:tr>
      <w:tr>
        <w:trPr>
          <w:trHeight w:val="27"/>
        </w:trPr>
        <w:tc>
          <w:tcPr>
            <w:tcW w:w="4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outstanding</w:t>
            </w:r>
          </w:p>
        </w:tc>
        <w:tc>
          <w:tcPr>
            <w:tcW w:w="16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3,224</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4,031</w:t>
            </w:r>
          </w:p>
        </w:tc>
      </w:tr>
      <w:tr>
        <w:trPr>
          <w:trHeight w:val="27"/>
        </w:trPr>
        <w:tc>
          <w:tcPr>
            <w:tcW w:w="4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liability</w:t>
            </w:r>
          </w:p>
        </w:tc>
        <w:tc>
          <w:tcPr>
            <w:tcW w:w="16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1,506</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57"/>
        </w:trPr>
        <w:tc>
          <w:tcPr>
            <w:tcW w:w="4740" w:type="dxa"/>
            <w:vAlign w:val="bottom"/>
          </w:tcPr>
          <w:p>
            <w:pPr>
              <w:ind w:left="40"/>
              <w:spacing w:after="0"/>
              <w:rPr>
                <w:sz w:val="20"/>
                <w:szCs w:val="20"/>
                <w:color w:val="auto"/>
              </w:rPr>
            </w:pPr>
            <w:r>
              <w:rPr>
                <w:rFonts w:ascii="Arial" w:cs="Arial" w:eastAsia="Arial" w:hAnsi="Arial"/>
                <w:sz w:val="18"/>
                <w:szCs w:val="18"/>
                <w:color w:val="auto"/>
              </w:rPr>
              <w:t>Other long-term obligations</w:t>
            </w:r>
          </w:p>
        </w:tc>
        <w:tc>
          <w:tcPr>
            <w:tcW w:w="1620" w:type="dxa"/>
            <w:vAlign w:val="bottom"/>
            <w:tcBorders>
              <w:top w:val="single" w:sz="8" w:color="auto"/>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1,718</w:t>
            </w:r>
          </w:p>
        </w:tc>
        <w:tc>
          <w:tcPr>
            <w:tcW w:w="1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w:t>
            </w:r>
          </w:p>
        </w:tc>
      </w:tr>
      <w:tr>
        <w:trPr>
          <w:trHeight w:val="20"/>
        </w:trPr>
        <w:tc>
          <w:tcPr>
            <w:tcW w:w="4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 2017, our Board of Directors declared a regular quarterly dividend of $0.07 per share on our common stock payable on June 23, 2017 to holders of record of our common stock on June 13,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ind w:left="220"/>
              <w:spacing w:after="0"/>
              <w:rPr>
                <w:sz w:val="20"/>
                <w:szCs w:val="20"/>
                <w:color w:val="auto"/>
              </w:rPr>
            </w:pPr>
            <w:r>
              <w:rPr>
                <w:rFonts w:ascii="Arial" w:cs="Arial" w:eastAsia="Arial" w:hAnsi="Arial"/>
                <w:sz w:val="18"/>
                <w:szCs w:val="18"/>
                <w:b w:val="1"/>
                <w:bCs w:val="1"/>
                <w:color w:val="auto"/>
              </w:rPr>
              <w:t>Fiscal 2017 Quarter Ended</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30,</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28,</w:t>
            </w: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115,719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143,682</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39,067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44,308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33,724</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4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ind w:left="220"/>
              <w:spacing w:after="0"/>
              <w:rPr>
                <w:sz w:val="20"/>
                <w:szCs w:val="20"/>
                <w:color w:val="auto"/>
              </w:rPr>
            </w:pPr>
            <w:r>
              <w:rPr>
                <w:rFonts w:ascii="Arial" w:cs="Arial" w:eastAsia="Arial" w:hAnsi="Arial"/>
                <w:sz w:val="18"/>
                <w:szCs w:val="18"/>
                <w:b w:val="1"/>
                <w:bCs w:val="1"/>
                <w:color w:val="auto"/>
              </w:rPr>
              <w:t>Fiscal 2016 Quarter Ended</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1,</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w:t>
            </w: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123,816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138,463</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35,501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35,513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22,029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27,976</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729"/>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in Rules 13a-15(e) and 15d-15(e) under the Securities Exchange Act of 1934. As of April 29, 2017,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April 29, 2017,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our Chief Executive Officer and Chief Financial Officer,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April 29, 2017 and thereafter,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under the framework in Internal Control—Integrated Framework, our management concluded our internal control over financial reporting was effective as of April 29,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internal control over financial reporting as of April 29, 2017 has been audited by Ernst &amp; Young LLP, our independent registered public accounting firm, as stated in their report that follows.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color w:val="auto"/>
              </w:rPr>
              <w:t>By /s/ Reece A. Kurtenbach</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w w:val="91"/>
              </w:rPr>
              <w:t>By /s/ Sheila M. Anderson</w:t>
            </w:r>
          </w:p>
        </w:tc>
      </w:tr>
      <w:tr>
        <w:trPr>
          <w:trHeight w:val="20"/>
        </w:trPr>
        <w:tc>
          <w:tcPr>
            <w:tcW w:w="2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91"/>
        </w:trPr>
        <w:tc>
          <w:tcPr>
            <w:tcW w:w="2000" w:type="dxa"/>
            <w:vAlign w:val="bottom"/>
          </w:tcPr>
          <w:p>
            <w:pPr>
              <w:spacing w:after="0"/>
              <w:rPr>
                <w:sz w:val="20"/>
                <w:szCs w:val="20"/>
                <w:color w:val="auto"/>
              </w:rPr>
            </w:pPr>
            <w:r>
              <w:rPr>
                <w:rFonts w:ascii="Arial" w:cs="Arial" w:eastAsia="Arial" w:hAnsi="Arial"/>
                <w:sz w:val="18"/>
                <w:szCs w:val="18"/>
                <w:color w:val="auto"/>
              </w:rPr>
              <w:t>Reece A. Kurtenbach</w:t>
            </w:r>
          </w:p>
        </w:tc>
        <w:tc>
          <w:tcPr>
            <w:tcW w:w="1800" w:type="dxa"/>
            <w:vAlign w:val="bottom"/>
          </w:tcPr>
          <w:p>
            <w:pPr>
              <w:spacing w:after="0"/>
              <w:rPr>
                <w:sz w:val="24"/>
                <w:szCs w:val="24"/>
                <w:color w:val="auto"/>
              </w:rPr>
            </w:pP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Sheila M. Anderson</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Chief Financial Officer</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June 9, 2017</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June 9, 2017</w:t>
            </w:r>
          </w:p>
        </w:tc>
      </w:tr>
      <w:tr>
        <w:trPr>
          <w:trHeight w:val="702"/>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ind w:left="1780"/>
              <w:spacing w:after="0"/>
              <w:rPr>
                <w:sz w:val="20"/>
                <w:szCs w:val="20"/>
                <w:color w:val="auto"/>
              </w:rPr>
            </w:pPr>
            <w:r>
              <w:rPr>
                <w:rFonts w:ascii="Arial" w:cs="Arial" w:eastAsia="Arial" w:hAnsi="Arial"/>
                <w:sz w:val="18"/>
                <w:szCs w:val="18"/>
                <w:color w:val="auto"/>
              </w:rPr>
              <w:t>63</w:t>
            </w:r>
          </w:p>
        </w:tc>
        <w:tc>
          <w:tcPr>
            <w:tcW w:w="1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Daktronics,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Daktronics, Inc. and subsidiaries’ (the Company) internal control over financial reporting as of April 29, 2017, based on criteria established in Internal Control-Integrated Framework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Daktronics, Inc. and subsidiaries maintained, in all material respects, effective internal control over financial reporting as of April 29, 2017,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Daktronics, Inc. and subsidiaries as of April 29, 2017 and April 30, 2016, and the related consolidated statements of operations, comprehensive income, shareholders’ equity and cash flows for each of the three years in the period ended April 29, 2017 of Daktronics, Inc. and subsidiaries and our report dated June 9, 2017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required by this Item 10 will be included under the captions “Proposal One - Election of Directors” and “Corporate Governance” in our Proxy Statement for our 2017 annual meeting of shareholders (“Proxy Statement”) to be filed within 120 days after our most recent fiscal year-end. Information concerning the compliance of our officers, directors and 10 percent shareholders with Section 16(a) of the Securities Exchange Act of 1934 is incorporated by reference to the information to be contained in the Proxy Statement under the caption “Section 16(a) Beneficial Ownership Reporting Compliance.” The information regarding Audit Committee members and “Audit Committee Financial Experts” is incorporated by reference to the information to be contained in the Proxy Statement under the caption “Corporate Governance–Committees of the Board of Directors.” The information regarding our Code of Conduct is incorporated by reference to the information to be contained in the Proxy Statement under the heading “Corporate Governance – Code of Conduct.”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the compensation of our directors and officers for the fiscal year ended April 29, 2017 will be in the Proxy Statement under the heading “Proposal One - Election of Directors” and “Executive Compensation” and is incorporated herein by reference.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on the Investor Relations page and will be made available free of charge to any shareholder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There were no related party transactions in fiscal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211" w:lineRule="exact"/>
        <w:rPr>
          <w:sz w:val="20"/>
          <w:szCs w:val="20"/>
          <w:color w:val="auto"/>
        </w:rPr>
      </w:pPr>
    </w:p>
    <w:p>
      <w:pPr>
        <w:ind w:left="5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Report of Independent Registered Public Accounting Firm</w:t>
        </w:r>
      </w:hyperlink>
    </w:p>
    <w:p>
      <w:pPr>
        <w:spacing w:after="0" w:line="23" w:lineRule="exact"/>
        <w:rPr>
          <w:sz w:val="20"/>
          <w:szCs w:val="20"/>
          <w:color w:val="auto"/>
        </w:rPr>
      </w:pPr>
    </w:p>
    <w:p>
      <w:pPr>
        <w:ind w:left="5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Consolidated Balance Sheets as of April 29, 2017 and April 30, 2016</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Consolidated Statements of Operations for each of the three fiscal years ended April 29, 2017, April 30, 2016, and May 2, 2015</w:t>
        </w:r>
      </w:hyperlink>
    </w:p>
    <w:p>
      <w:pPr>
        <w:spacing w:after="0" w:line="9" w:lineRule="exact"/>
        <w:rPr>
          <w:sz w:val="20"/>
          <w:szCs w:val="20"/>
          <w:color w:val="auto"/>
        </w:rPr>
      </w:pPr>
    </w:p>
    <w:p>
      <w:pPr>
        <w:ind w:left="500"/>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Consolidated Statements of Comprehensive Income for each of the three fiscal years ended April 29, 2017, April 30, 2016, and May 2, 2015</w:t>
        </w:r>
      </w:hyperlink>
    </w:p>
    <w:p>
      <w:pPr>
        <w:spacing w:after="0" w:line="21" w:lineRule="exact"/>
        <w:rPr>
          <w:sz w:val="20"/>
          <w:szCs w:val="20"/>
          <w:color w:val="auto"/>
        </w:rPr>
      </w:pPr>
    </w:p>
    <w:p>
      <w:pPr>
        <w:ind w:left="5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Consolidated Statements of Shareholders’ Equity for each of the three fiscal years ended April 29, 2017, April 30, 2016, and May 2, 2015</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Consolidated Statements of Cash Flows for each of the three fiscal years ended April 29, 2017, April 30, 2016, and May 2, 2015</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Notes to the Consolidated Financial Statements</w:t>
        </w:r>
      </w:hyperlink>
    </w:p>
    <w:p>
      <w:pPr>
        <w:spacing w:after="0" w:line="21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rFonts w:ascii="Arial" w:cs="Arial" w:eastAsia="Arial" w:hAnsi="Arial"/>
          <w:sz w:val="18"/>
          <w:szCs w:val="18"/>
          <w:color w:val="auto"/>
        </w:rPr>
      </w:pPr>
    </w:p>
    <w:p>
      <w:pPr>
        <w:ind w:left="500" w:right="6180"/>
        <w:spacing w:after="0" w:line="501"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The following financial statement schedule is submitted herewith: </w:t>
      </w:r>
      <w:hyperlink w:anchor="page71">
        <w:r>
          <w:rPr>
            <w:rFonts w:ascii="Arial" w:cs="Arial" w:eastAsia="Arial" w:hAnsi="Arial"/>
            <w:sz w:val="18"/>
            <w:szCs w:val="18"/>
            <w:u w:val="single" w:color="auto"/>
            <w:color w:val="0000EE"/>
          </w:rPr>
          <w:t>Schedule II – Valuation and Qualifying Accounts</w:t>
        </w:r>
      </w:hyperlink>
    </w:p>
    <w:p>
      <w:pPr>
        <w:ind w:left="5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70" w:lineRule="exact"/>
        <w:rPr>
          <w:rFonts w:ascii="Arial" w:cs="Arial" w:eastAsia="Arial" w:hAnsi="Arial"/>
          <w:sz w:val="18"/>
          <w:szCs w:val="18"/>
          <w:u w:val="single" w:color="auto"/>
          <w:color w:val="0000EE"/>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70" w:lineRule="exact"/>
        <w:rPr>
          <w:rFonts w:ascii="Arial" w:cs="Arial" w:eastAsia="Arial" w:hAnsi="Arial"/>
          <w:sz w:val="18"/>
          <w:szCs w:val="18"/>
          <w:color w:val="auto"/>
        </w:rPr>
      </w:pPr>
    </w:p>
    <w:p>
      <w:pPr>
        <w:jc w:val="both"/>
        <w:ind w:left="500"/>
        <w:spacing w:after="0" w:line="203" w:lineRule="auto"/>
        <w:rPr>
          <w:rFonts w:ascii="Arial" w:cs="Arial" w:eastAsia="Arial" w:hAnsi="Arial"/>
          <w:sz w:val="18"/>
          <w:szCs w:val="18"/>
          <w:color w:val="auto"/>
        </w:rPr>
      </w:pPr>
      <w:r>
        <w:rPr>
          <w:rFonts w:ascii="Arial" w:cs="Arial" w:eastAsia="Arial" w:hAnsi="Arial"/>
          <w:sz w:val="18"/>
          <w:szCs w:val="18"/>
          <w:color w:val="auto"/>
        </w:rPr>
        <w:t>All Sport</w:t>
      </w:r>
      <w:r>
        <w:rPr>
          <w:rFonts w:ascii="Arial" w:cs="Arial" w:eastAsia="Arial" w:hAnsi="Arial"/>
          <w:sz w:val="25"/>
          <w:szCs w:val="25"/>
          <w:color w:val="auto"/>
          <w:vertAlign w:val="superscript"/>
        </w:rPr>
        <w:t>®</w:t>
      </w:r>
      <w:r>
        <w:rPr>
          <w:rFonts w:ascii="Arial" w:cs="Arial" w:eastAsia="Arial" w:hAnsi="Arial"/>
          <w:sz w:val="18"/>
          <w:szCs w:val="18"/>
          <w:color w:val="auto"/>
        </w:rPr>
        <w:t>, Daktronics</w:t>
      </w:r>
      <w:r>
        <w:rPr>
          <w:rFonts w:ascii="Arial" w:cs="Arial" w:eastAsia="Arial" w:hAnsi="Arial"/>
          <w:sz w:val="25"/>
          <w:szCs w:val="25"/>
          <w:color w:val="auto"/>
          <w:vertAlign w:val="superscript"/>
        </w:rPr>
        <w:t>®</w:t>
      </w:r>
      <w:r>
        <w:rPr>
          <w:rFonts w:ascii="Arial" w:cs="Arial" w:eastAsia="Arial" w:hAnsi="Arial"/>
          <w:sz w:val="18"/>
          <w:szCs w:val="18"/>
          <w:color w:val="auto"/>
        </w:rPr>
        <w:t>, DakStats</w:t>
      </w:r>
      <w:r>
        <w:rPr>
          <w:rFonts w:ascii="Arial" w:cs="Arial" w:eastAsia="Arial" w:hAnsi="Arial"/>
          <w:sz w:val="25"/>
          <w:szCs w:val="25"/>
          <w:color w:val="auto"/>
          <w:vertAlign w:val="superscript"/>
        </w:rPr>
        <w:t>®</w:t>
      </w:r>
      <w:r>
        <w:rPr>
          <w:rFonts w:ascii="Arial" w:cs="Arial" w:eastAsia="Arial" w:hAnsi="Arial"/>
          <w:sz w:val="18"/>
          <w:szCs w:val="18"/>
          <w:color w:val="auto"/>
        </w:rPr>
        <w:t>, DataTime</w:t>
      </w:r>
      <w:r>
        <w:rPr>
          <w:rFonts w:ascii="Arial" w:cs="Arial" w:eastAsia="Arial" w:hAnsi="Arial"/>
          <w:sz w:val="25"/>
          <w:szCs w:val="25"/>
          <w:color w:val="auto"/>
          <w:vertAlign w:val="superscript"/>
        </w:rPr>
        <w:t>®</w:t>
      </w:r>
      <w:r>
        <w:rPr>
          <w:rFonts w:ascii="Arial" w:cs="Arial" w:eastAsia="Arial" w:hAnsi="Arial"/>
          <w:sz w:val="18"/>
          <w:szCs w:val="18"/>
          <w:color w:val="auto"/>
        </w:rPr>
        <w:t>, Fuelight</w:t>
      </w:r>
      <w:r>
        <w:rPr>
          <w:rFonts w:ascii="Arial" w:cs="Arial" w:eastAsia="Arial" w:hAnsi="Arial"/>
          <w:sz w:val="25"/>
          <w:szCs w:val="25"/>
          <w:color w:val="auto"/>
          <w:vertAlign w:val="superscript"/>
        </w:rPr>
        <w:t>™</w:t>
      </w:r>
      <w:r>
        <w:rPr>
          <w:rFonts w:ascii="Arial" w:cs="Arial" w:eastAsia="Arial" w:hAnsi="Arial"/>
          <w:sz w:val="18"/>
          <w:szCs w:val="18"/>
          <w:color w:val="auto"/>
        </w:rPr>
        <w:t>, Fuelink</w:t>
      </w:r>
      <w:r>
        <w:rPr>
          <w:rFonts w:ascii="Arial" w:cs="Arial" w:eastAsia="Arial" w:hAnsi="Arial"/>
          <w:sz w:val="25"/>
          <w:szCs w:val="25"/>
          <w:color w:val="auto"/>
          <w:vertAlign w:val="superscript"/>
        </w:rPr>
        <w:t>™</w:t>
      </w:r>
      <w:r>
        <w:rPr>
          <w:rFonts w:ascii="Arial" w:cs="Arial" w:eastAsia="Arial" w:hAnsi="Arial"/>
          <w:sz w:val="18"/>
          <w:szCs w:val="18"/>
          <w:color w:val="auto"/>
        </w:rPr>
        <w:t>, Galaxy</w:t>
      </w:r>
      <w:r>
        <w:rPr>
          <w:rFonts w:ascii="Arial" w:cs="Arial" w:eastAsia="Arial" w:hAnsi="Arial"/>
          <w:sz w:val="25"/>
          <w:szCs w:val="25"/>
          <w:color w:val="auto"/>
          <w:vertAlign w:val="superscript"/>
        </w:rPr>
        <w:t>®</w:t>
      </w:r>
      <w:r>
        <w:rPr>
          <w:rFonts w:ascii="Arial" w:cs="Arial" w:eastAsia="Arial" w:hAnsi="Arial"/>
          <w:sz w:val="18"/>
          <w:szCs w:val="18"/>
          <w:color w:val="auto"/>
        </w:rPr>
        <w:t>, GalaxyPro</w:t>
      </w:r>
      <w:r>
        <w:rPr>
          <w:rFonts w:ascii="Arial" w:cs="Arial" w:eastAsia="Arial" w:hAnsi="Arial"/>
          <w:sz w:val="25"/>
          <w:szCs w:val="25"/>
          <w:color w:val="auto"/>
          <w:vertAlign w:val="superscript"/>
        </w:rPr>
        <w:t>™</w:t>
      </w:r>
      <w:r>
        <w:rPr>
          <w:rFonts w:ascii="Arial" w:cs="Arial" w:eastAsia="Arial" w:hAnsi="Arial"/>
          <w:sz w:val="18"/>
          <w:szCs w:val="18"/>
          <w:color w:val="auto"/>
        </w:rPr>
        <w:t>, OmniSport</w:t>
      </w:r>
      <w:r>
        <w:rPr>
          <w:rFonts w:ascii="Arial" w:cs="Arial" w:eastAsia="Arial" w:hAnsi="Arial"/>
          <w:sz w:val="25"/>
          <w:szCs w:val="25"/>
          <w:color w:val="auto"/>
          <w:vertAlign w:val="superscript"/>
        </w:rPr>
        <w:t>®</w:t>
      </w:r>
      <w:r>
        <w:rPr>
          <w:rFonts w:ascii="Arial" w:cs="Arial" w:eastAsia="Arial" w:hAnsi="Arial"/>
          <w:sz w:val="18"/>
          <w:szCs w:val="18"/>
          <w:color w:val="auto"/>
        </w:rPr>
        <w:t>, ProAd</w:t>
      </w:r>
      <w:r>
        <w:rPr>
          <w:rFonts w:ascii="Arial" w:cs="Arial" w:eastAsia="Arial" w:hAnsi="Arial"/>
          <w:sz w:val="25"/>
          <w:szCs w:val="25"/>
          <w:color w:val="auto"/>
          <w:vertAlign w:val="superscript"/>
        </w:rPr>
        <w:t>®</w:t>
      </w:r>
      <w:r>
        <w:rPr>
          <w:rFonts w:ascii="Arial" w:cs="Arial" w:eastAsia="Arial" w:hAnsi="Arial"/>
          <w:sz w:val="18"/>
          <w:szCs w:val="18"/>
          <w:color w:val="auto"/>
        </w:rPr>
        <w:t>, ProPixel</w:t>
      </w:r>
      <w:r>
        <w:rPr>
          <w:rFonts w:ascii="Arial" w:cs="Arial" w:eastAsia="Arial" w:hAnsi="Arial"/>
          <w:sz w:val="25"/>
          <w:szCs w:val="25"/>
          <w:color w:val="auto"/>
          <w:vertAlign w:val="superscript"/>
        </w:rPr>
        <w:t>®</w:t>
      </w:r>
      <w:r>
        <w:rPr>
          <w:rFonts w:ascii="Arial" w:cs="Arial" w:eastAsia="Arial" w:hAnsi="Arial"/>
          <w:sz w:val="18"/>
          <w:szCs w:val="18"/>
          <w:color w:val="auto"/>
        </w:rPr>
        <w:t>, ProRail</w:t>
      </w:r>
      <w:r>
        <w:rPr>
          <w:rFonts w:ascii="Arial" w:cs="Arial" w:eastAsia="Arial" w:hAnsi="Arial"/>
          <w:sz w:val="25"/>
          <w:szCs w:val="25"/>
          <w:color w:val="auto"/>
          <w:vertAlign w:val="superscript"/>
        </w:rPr>
        <w:t>®</w:t>
      </w:r>
      <w:r>
        <w:rPr>
          <w:rFonts w:ascii="Arial" w:cs="Arial" w:eastAsia="Arial" w:hAnsi="Arial"/>
          <w:sz w:val="18"/>
          <w:szCs w:val="18"/>
          <w:color w:val="auto"/>
        </w:rPr>
        <w:t>, ProStar</w:t>
      </w:r>
      <w:r>
        <w:rPr>
          <w:rFonts w:ascii="Arial" w:cs="Arial" w:eastAsia="Arial" w:hAnsi="Arial"/>
          <w:sz w:val="25"/>
          <w:szCs w:val="25"/>
          <w:color w:val="auto"/>
          <w:vertAlign w:val="superscript"/>
        </w:rPr>
        <w:t>®</w:t>
      </w:r>
      <w:r>
        <w:rPr>
          <w:rFonts w:ascii="Arial" w:cs="Arial" w:eastAsia="Arial" w:hAnsi="Arial"/>
          <w:sz w:val="18"/>
          <w:szCs w:val="18"/>
          <w:color w:val="auto"/>
        </w:rPr>
        <w:t>, ProTour</w:t>
      </w:r>
      <w:r>
        <w:rPr>
          <w:rFonts w:ascii="Arial" w:cs="Arial" w:eastAsia="Arial" w:hAnsi="Arial"/>
          <w:sz w:val="25"/>
          <w:szCs w:val="25"/>
          <w:color w:val="auto"/>
          <w:vertAlign w:val="superscript"/>
        </w:rPr>
        <w:t>®</w:t>
      </w:r>
      <w:r>
        <w:rPr>
          <w:rFonts w:ascii="Arial" w:cs="Arial" w:eastAsia="Arial" w:hAnsi="Arial"/>
          <w:sz w:val="18"/>
          <w:szCs w:val="18"/>
          <w:color w:val="auto"/>
        </w:rPr>
        <w:t>, Sportsound</w:t>
      </w:r>
      <w:r>
        <w:rPr>
          <w:rFonts w:ascii="Arial" w:cs="Arial" w:eastAsia="Arial" w:hAnsi="Arial"/>
          <w:sz w:val="25"/>
          <w:szCs w:val="25"/>
          <w:color w:val="auto"/>
          <w:vertAlign w:val="superscript"/>
        </w:rPr>
        <w:t>®</w:t>
      </w:r>
      <w:r>
        <w:rPr>
          <w:rFonts w:ascii="Arial" w:cs="Arial" w:eastAsia="Arial" w:hAnsi="Arial"/>
          <w:sz w:val="18"/>
          <w:szCs w:val="18"/>
          <w:color w:val="auto"/>
        </w:rPr>
        <w:t>, Valo</w:t>
      </w:r>
      <w:r>
        <w:rPr>
          <w:rFonts w:ascii="Arial" w:cs="Arial" w:eastAsia="Arial" w:hAnsi="Arial"/>
          <w:sz w:val="25"/>
          <w:szCs w:val="25"/>
          <w:color w:val="auto"/>
          <w:vertAlign w:val="superscript"/>
        </w:rPr>
        <w:t>®</w:t>
      </w:r>
      <w:r>
        <w:rPr>
          <w:rFonts w:ascii="Arial" w:cs="Arial" w:eastAsia="Arial" w:hAnsi="Arial"/>
          <w:sz w:val="18"/>
          <w:szCs w:val="18"/>
          <w:color w:val="auto"/>
        </w:rPr>
        <w:t>, Vanguard</w:t>
      </w:r>
      <w:r>
        <w:rPr>
          <w:rFonts w:ascii="Arial" w:cs="Arial" w:eastAsia="Arial" w:hAnsi="Arial"/>
          <w:sz w:val="25"/>
          <w:szCs w:val="25"/>
          <w:color w:val="auto"/>
          <w:vertAlign w:val="superscript"/>
        </w:rPr>
        <w:t>®</w:t>
      </w:r>
      <w:r>
        <w:rPr>
          <w:rFonts w:ascii="Arial" w:cs="Arial" w:eastAsia="Arial" w:hAnsi="Arial"/>
          <w:sz w:val="18"/>
          <w:szCs w:val="18"/>
          <w:color w:val="auto"/>
        </w:rPr>
        <w:t>, Venus</w:t>
      </w:r>
      <w:r>
        <w:rPr>
          <w:rFonts w:ascii="Arial" w:cs="Arial" w:eastAsia="Arial" w:hAnsi="Arial"/>
          <w:sz w:val="25"/>
          <w:szCs w:val="25"/>
          <w:color w:val="auto"/>
          <w:vertAlign w:val="superscript"/>
        </w:rPr>
        <w:t>®</w:t>
      </w:r>
      <w:r>
        <w:rPr>
          <w:rFonts w:ascii="Arial" w:cs="Arial" w:eastAsia="Arial" w:hAnsi="Arial"/>
          <w:sz w:val="18"/>
          <w:szCs w:val="18"/>
          <w:color w:val="auto"/>
        </w:rPr>
        <w:t>, V-Net</w:t>
      </w:r>
      <w:r>
        <w:rPr>
          <w:rFonts w:ascii="Arial" w:cs="Arial" w:eastAsia="Arial" w:hAnsi="Arial"/>
          <w:sz w:val="25"/>
          <w:szCs w:val="25"/>
          <w:color w:val="auto"/>
          <w:vertAlign w:val="superscript"/>
        </w:rPr>
        <w:t>®</w:t>
      </w:r>
      <w:r>
        <w:rPr>
          <w:rFonts w:ascii="Arial" w:cs="Arial" w:eastAsia="Arial" w:hAnsi="Arial"/>
          <w:sz w:val="18"/>
          <w:szCs w:val="18"/>
          <w:color w:val="auto"/>
        </w:rPr>
        <w:t>, Visiconn</w:t>
      </w:r>
      <w:r>
        <w:rPr>
          <w:rFonts w:ascii="Arial" w:cs="Arial" w:eastAsia="Arial" w:hAnsi="Arial"/>
          <w:sz w:val="25"/>
          <w:szCs w:val="25"/>
          <w:color w:val="auto"/>
          <w:vertAlign w:val="superscript"/>
        </w:rPr>
        <w:t>®</w:t>
      </w:r>
      <w:r>
        <w:rPr>
          <w:rFonts w:ascii="Arial" w:cs="Arial" w:eastAsia="Arial" w:hAnsi="Arial"/>
          <w:sz w:val="18"/>
          <w:szCs w:val="18"/>
          <w:color w:val="auto"/>
        </w:rPr>
        <w:t>, V-Tour</w:t>
      </w:r>
      <w:r>
        <w:rPr>
          <w:rFonts w:ascii="Arial" w:cs="Arial" w:eastAsia="Arial" w:hAnsi="Arial"/>
          <w:sz w:val="25"/>
          <w:szCs w:val="25"/>
          <w:color w:val="auto"/>
          <w:vertAlign w:val="superscript"/>
        </w:rPr>
        <w:t>®</w:t>
      </w:r>
      <w:r>
        <w:rPr>
          <w:rFonts w:ascii="Arial" w:cs="Arial" w:eastAsia="Arial" w:hAnsi="Arial"/>
          <w:sz w:val="18"/>
          <w:szCs w:val="18"/>
          <w:color w:val="auto"/>
        </w:rPr>
        <w:t>, and V-Link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trademarks of Daktronics, Inc. All other trademarks referenced are the intellectual property of their respective companies.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9, 2017.</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DAKTRONICS, INC.</w:t>
      </w:r>
    </w:p>
    <w:p>
      <w:pPr>
        <w:spacing w:after="0" w:line="283"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By: /s/ Reece A. Kurtenbach</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By: /s/ Sheila M. Anderson</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10"/>
          </w:tcPr>
          <w:p>
            <w:pPr>
              <w:ind w:left="40"/>
              <w:spacing w:after="0"/>
              <w:rPr>
                <w:sz w:val="20"/>
                <w:szCs w:val="20"/>
                <w:color w:val="auto"/>
              </w:rPr>
            </w:pPr>
            <w:r>
              <w:rPr>
                <w:rFonts w:ascii="Arial" w:cs="Arial" w:eastAsia="Arial" w:hAnsi="Arial"/>
                <w:sz w:val="18"/>
                <w:szCs w:val="18"/>
                <w:b w:val="1"/>
                <w:bCs w:val="1"/>
                <w:color w:val="auto"/>
              </w:rPr>
              <w:t>Signature</w:t>
            </w:r>
          </w:p>
        </w:tc>
        <w:tc>
          <w:tcPr>
            <w:tcW w:w="2000" w:type="dxa"/>
            <w:vAlign w:val="bottom"/>
          </w:tcPr>
          <w:p>
            <w:pPr>
              <w:ind w:left="1060"/>
              <w:spacing w:after="0"/>
              <w:rPr>
                <w:sz w:val="20"/>
                <w:szCs w:val="20"/>
                <w:color w:val="auto"/>
              </w:rPr>
            </w:pPr>
            <w:r>
              <w:rPr>
                <w:rFonts w:ascii="Arial" w:cs="Arial" w:eastAsia="Arial" w:hAnsi="Arial"/>
                <w:sz w:val="18"/>
                <w:szCs w:val="18"/>
                <w:b w:val="1"/>
                <w:bCs w:val="1"/>
                <w:color w:val="auto"/>
              </w:rPr>
              <w:t>Title</w:t>
            </w:r>
          </w:p>
        </w:tc>
        <w:tc>
          <w:tcPr>
            <w:tcW w:w="2120" w:type="dxa"/>
            <w:vAlign w:val="bottom"/>
          </w:tcPr>
          <w:p>
            <w:pPr>
              <w:ind w:left="1220"/>
              <w:spacing w:after="0"/>
              <w:rPr>
                <w:sz w:val="20"/>
                <w:szCs w:val="20"/>
                <w:color w:val="auto"/>
              </w:rPr>
            </w:pPr>
            <w:r>
              <w:rPr>
                <w:rFonts w:ascii="Arial" w:cs="Arial" w:eastAsia="Arial" w:hAnsi="Arial"/>
                <w:sz w:val="18"/>
                <w:szCs w:val="18"/>
                <w:b w:val="1"/>
                <w:bCs w:val="1"/>
                <w:color w:val="auto"/>
              </w:rPr>
              <w:t>Date</w:t>
            </w:r>
          </w:p>
        </w:tc>
      </w:tr>
      <w:tr>
        <w:trPr>
          <w:trHeight w:val="500"/>
        </w:trPr>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3"/>
              </w:rPr>
              <w:t>By /s/ Byron J. Anderson</w:t>
            </w:r>
          </w:p>
        </w:tc>
        <w:tc>
          <w:tcPr>
            <w:tcW w:w="1400" w:type="dxa"/>
            <w:vAlign w:val="bottom"/>
            <w:gridSpan w:val="3"/>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9, 2017</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Byron J. Anderson</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3"/>
              </w:rPr>
              <w:t>By /s/ Robert G. Dutcher</w:t>
            </w:r>
          </w:p>
        </w:tc>
        <w:tc>
          <w:tcPr>
            <w:tcW w:w="1420" w:type="dxa"/>
            <w:vAlign w:val="bottom"/>
            <w:gridSpan w:val="4"/>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9, 2017</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Robert G. Dutcher</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By /s/ Nancy D. Frame</w:t>
            </w:r>
          </w:p>
        </w:tc>
        <w:tc>
          <w:tcPr>
            <w:tcW w:w="1560" w:type="dxa"/>
            <w:vAlign w:val="bottom"/>
            <w:gridSpan w:val="7"/>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9, 2017</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Nancy D. Frame</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20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By /s/ Reece A. Kurtenbach</w:t>
            </w:r>
          </w:p>
        </w:tc>
        <w:tc>
          <w:tcPr>
            <w:tcW w:w="1220" w:type="dxa"/>
            <w:vAlign w:val="bottom"/>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9, 2017</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Reece A. Kurtenbach</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By /s/ James B. Morgan</w:t>
            </w:r>
          </w:p>
        </w:tc>
        <w:tc>
          <w:tcPr>
            <w:tcW w:w="1500" w:type="dxa"/>
            <w:vAlign w:val="bottom"/>
            <w:gridSpan w:val="5"/>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9, 2017</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James B. Morgan</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6"/>
              </w:rPr>
              <w:t>By /s/ John L. Mulligan</w:t>
            </w:r>
          </w:p>
        </w:tc>
        <w:tc>
          <w:tcPr>
            <w:tcW w:w="1520" w:type="dxa"/>
            <w:vAlign w:val="bottom"/>
            <w:gridSpan w:val="6"/>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9, 2017</w:t>
            </w: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John L. Mulligan</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00"/>
        </w:trPr>
        <w:tc>
          <w:tcPr>
            <w:tcW w:w="3280" w:type="dxa"/>
            <w:vAlign w:val="bottom"/>
            <w:gridSpan w:val="10"/>
          </w:tcPr>
          <w:p>
            <w:pPr>
              <w:ind w:left="40"/>
              <w:spacing w:after="0"/>
              <w:rPr>
                <w:sz w:val="20"/>
                <w:szCs w:val="20"/>
                <w:color w:val="auto"/>
              </w:rPr>
            </w:pPr>
            <w:r>
              <w:rPr>
                <w:rFonts w:ascii="Arial" w:cs="Arial" w:eastAsia="Arial" w:hAnsi="Arial"/>
                <w:sz w:val="18"/>
                <w:szCs w:val="18"/>
                <w:color w:val="auto"/>
              </w:rPr>
              <w:t>By /s/ John P. Friel</w:t>
            </w: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9, 2017</w:t>
            </w:r>
          </w:p>
        </w:tc>
      </w:tr>
      <w:tr>
        <w:trPr>
          <w:trHeight w:val="20"/>
        </w:trPr>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John P. Friel</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54"/>
        </w:trPr>
        <w:tc>
          <w:tcPr>
            <w:tcW w:w="3280" w:type="dxa"/>
            <w:vAlign w:val="bottom"/>
            <w:gridSpan w:val="10"/>
          </w:tcPr>
          <w:p>
            <w:pPr>
              <w:ind w:left="40"/>
              <w:spacing w:after="0"/>
              <w:rPr>
                <w:sz w:val="20"/>
                <w:szCs w:val="20"/>
                <w:color w:val="auto"/>
              </w:rPr>
            </w:pPr>
            <w:r>
              <w:rPr>
                <w:rFonts w:ascii="Arial" w:cs="Arial" w:eastAsia="Arial" w:hAnsi="Arial"/>
                <w:sz w:val="18"/>
                <w:szCs w:val="18"/>
                <w:color w:val="auto"/>
              </w:rPr>
              <w:t>By /s/ Kevin P. McDermott</w:t>
            </w: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220"/>
              <w:spacing w:after="0"/>
              <w:rPr>
                <w:sz w:val="20"/>
                <w:szCs w:val="20"/>
                <w:color w:val="auto"/>
              </w:rPr>
            </w:pPr>
            <w:r>
              <w:rPr>
                <w:rFonts w:ascii="Arial" w:cs="Arial" w:eastAsia="Arial" w:hAnsi="Arial"/>
                <w:sz w:val="18"/>
                <w:szCs w:val="18"/>
                <w:color w:val="auto"/>
                <w:w w:val="84"/>
              </w:rPr>
              <w:t>June 9, 2017</w:t>
            </w:r>
          </w:p>
        </w:tc>
      </w:tr>
      <w:tr>
        <w:trPr>
          <w:trHeight w:val="20"/>
        </w:trPr>
        <w:tc>
          <w:tcPr>
            <w:tcW w:w="40" w:type="dxa"/>
            <w:vAlign w:val="bottom"/>
          </w:tcPr>
          <w:p>
            <w:pPr>
              <w:spacing w:after="0" w:line="20" w:lineRule="exact"/>
              <w:rPr>
                <w:sz w:val="1"/>
                <w:szCs w:val="1"/>
                <w:color w:val="auto"/>
              </w:rPr>
            </w:pPr>
          </w:p>
        </w:tc>
        <w:tc>
          <w:tcPr>
            <w:tcW w:w="1960" w:type="dxa"/>
            <w:vAlign w:val="bottom"/>
            <w:gridSpan w:val="7"/>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240" w:type="dxa"/>
            <w:vAlign w:val="bottom"/>
            <w:gridSpan w:val="9"/>
          </w:tcPr>
          <w:p>
            <w:pPr>
              <w:ind w:left="640"/>
              <w:spacing w:after="0"/>
              <w:rPr>
                <w:sz w:val="20"/>
                <w:szCs w:val="20"/>
                <w:color w:val="auto"/>
              </w:rPr>
            </w:pPr>
            <w:r>
              <w:rPr>
                <w:rFonts w:ascii="Arial" w:cs="Arial" w:eastAsia="Arial" w:hAnsi="Arial"/>
                <w:sz w:val="18"/>
                <w:szCs w:val="18"/>
                <w:color w:val="auto"/>
              </w:rPr>
              <w:t>Kevin P. McDermott</w:t>
            </w:r>
          </w:p>
        </w:tc>
        <w:tc>
          <w:tcPr>
            <w:tcW w:w="20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918"/>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Additions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8"/>
        </w:trPr>
        <w:tc>
          <w:tcPr>
            <w:tcW w:w="4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Charged to</w:t>
            </w:r>
          </w:p>
        </w:tc>
        <w:tc>
          <w:tcPr>
            <w:tcW w:w="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Charged to</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4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at End</w:t>
            </w:r>
          </w:p>
        </w:tc>
      </w:tr>
      <w:tr>
        <w:trPr>
          <w:trHeight w:val="234"/>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of Year</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Expenses</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Accounts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of Year</w:t>
            </w:r>
          </w:p>
        </w:tc>
      </w:tr>
      <w:tr>
        <w:trPr>
          <w:trHeight w:val="27"/>
        </w:trPr>
        <w:tc>
          <w:tcPr>
            <w:tcW w:w="4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29, 2017:</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 $</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(2,377)</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4,967</w:t>
            </w: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30, 2016:</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(2,510)</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4,975</w:t>
            </w: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May 2, 2015:</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3,998</w:t>
            </w:r>
          </w:p>
        </w:tc>
      </w:tr>
    </w:tbl>
    <w:p>
      <w:pPr>
        <w:spacing w:after="0" w:line="26"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Translation adjustment on foreign subsidiary balances</w:t>
      </w:r>
    </w:p>
    <w:p>
      <w:pPr>
        <w:spacing w:after="0" w:line="23" w:lineRule="exact"/>
        <w:rPr>
          <w:rFonts w:ascii="Arial" w:cs="Arial" w:eastAsia="Arial" w:hAnsi="Arial"/>
          <w:sz w:val="18"/>
          <w:szCs w:val="18"/>
          <w:color w:val="auto"/>
        </w:rPr>
      </w:pPr>
    </w:p>
    <w:p>
      <w:pPr>
        <w:ind w:left="1080" w:hanging="42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Write-off of uncollected accounts, net of collections</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Obsolete and excess inventory 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96" w:lineRule="exact"/>
        <w:rPr>
          <w:sz w:val="20"/>
          <w:szCs w:val="20"/>
          <w:color w:val="auto"/>
        </w:rPr>
      </w:pPr>
    </w:p>
    <w:p>
      <w:pPr>
        <w:ind w:left="840" w:right="360" w:hanging="809"/>
        <w:spacing w:after="0" w:line="277" w:lineRule="auto"/>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(Incorporated by reference to Exhibit 3.1 filed with our Quarterly Report on Form 10-Q on August 30, 2013).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ind w:left="40"/>
              <w:spacing w:after="0"/>
              <w:rPr>
                <w:sz w:val="20"/>
                <w:szCs w:val="20"/>
                <w:color w:val="auto"/>
              </w:rPr>
            </w:pPr>
            <w:r>
              <w:rPr>
                <w:rFonts w:ascii="Arial" w:cs="Arial" w:eastAsia="Arial" w:hAnsi="Arial"/>
                <w:sz w:val="18"/>
                <w:szCs w:val="18"/>
                <w:color w:val="auto"/>
              </w:rPr>
              <w:t>3.2</w:t>
            </w:r>
          </w:p>
        </w:tc>
        <w:tc>
          <w:tcPr>
            <w:tcW w:w="10820" w:type="dxa"/>
            <w:vAlign w:val="bottom"/>
          </w:tcPr>
          <w:p>
            <w:pPr>
              <w:ind w:left="240"/>
              <w:spacing w:after="0"/>
              <w:rPr>
                <w:sz w:val="20"/>
                <w:szCs w:val="20"/>
                <w:color w:val="auto"/>
              </w:rPr>
            </w:pPr>
            <w:r>
              <w:rPr>
                <w:rFonts w:ascii="Arial" w:cs="Arial" w:eastAsia="Arial" w:hAnsi="Arial"/>
                <w:sz w:val="18"/>
                <w:szCs w:val="18"/>
                <w:color w:val="auto"/>
                <w:w w:val="91"/>
              </w:rPr>
              <w:t>Amended and Restated Bylaws of the Company (Incorporated by reference to Exhibit 3.4 filed with our Annual Report on Form 10-K on June 12,</w:t>
            </w:r>
          </w:p>
        </w:tc>
      </w:tr>
      <w:tr>
        <w:trPr>
          <w:trHeight w:val="230"/>
        </w:trPr>
        <w:tc>
          <w:tcPr>
            <w:tcW w:w="600" w:type="dxa"/>
            <w:vAlign w:val="bottom"/>
          </w:tcPr>
          <w:p>
            <w:pPr>
              <w:spacing w:after="0"/>
              <w:rPr>
                <w:sz w:val="20"/>
                <w:szCs w:val="20"/>
                <w:color w:val="auto"/>
              </w:rPr>
            </w:pPr>
          </w:p>
        </w:tc>
        <w:tc>
          <w:tcPr>
            <w:tcW w:w="10820" w:type="dxa"/>
            <w:vAlign w:val="bottom"/>
          </w:tcPr>
          <w:p>
            <w:pPr>
              <w:ind w:left="240"/>
              <w:spacing w:after="0"/>
              <w:rPr>
                <w:sz w:val="20"/>
                <w:szCs w:val="20"/>
                <w:color w:val="auto"/>
              </w:rPr>
            </w:pPr>
            <w:r>
              <w:rPr>
                <w:rFonts w:ascii="Arial" w:cs="Arial" w:eastAsia="Arial" w:hAnsi="Arial"/>
                <w:sz w:val="18"/>
                <w:szCs w:val="18"/>
                <w:color w:val="auto"/>
              </w:rPr>
              <w:t>2013).</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29"/>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Form of Stock Certificate evidencing Common Stock, without par value, of the Company (Incorporated by reference to Exhibit 4.1 filed with our</w:t>
            </w: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Amendment No. 1 to the Registration Statement on Form S-1 on January 12, 1994 as Commission File No. 33-72466).</w:t>
            </w: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4.2</w:t>
            </w:r>
          </w:p>
        </w:tc>
        <w:tc>
          <w:tcPr>
            <w:tcW w:w="10820" w:type="dxa"/>
            <w:vAlign w:val="bottom"/>
          </w:tcPr>
          <w:p>
            <w:pPr>
              <w:ind w:left="240"/>
              <w:spacing w:after="0"/>
              <w:rPr>
                <w:sz w:val="20"/>
                <w:szCs w:val="20"/>
                <w:color w:val="auto"/>
              </w:rPr>
            </w:pPr>
            <w:r>
              <w:rPr>
                <w:rFonts w:ascii="Arial" w:cs="Arial" w:eastAsia="Arial" w:hAnsi="Arial"/>
                <w:sz w:val="18"/>
                <w:szCs w:val="18"/>
                <w:color w:val="auto"/>
              </w:rPr>
              <w:t>Rights Agreement (Incorporated by reference to Exhibit 4.1 filed with our Form 8-A on August 29, 2008).</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29"/>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Daktronics, Inc. 2007 Incentive Stock Plan (Incorporated by reference to Exhibit 10.1 filed with our Quarterly Report on Form 10-Q on August</w:t>
            </w: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 2007).*</w:t>
            </w:r>
          </w:p>
        </w:tc>
      </w:tr>
      <w:tr>
        <w:trPr>
          <w:trHeight w:val="229"/>
        </w:trPr>
        <w:tc>
          <w:tcPr>
            <w:tcW w:w="600" w:type="dxa"/>
            <w:vAlign w:val="bottom"/>
          </w:tcPr>
          <w:p>
            <w:pPr>
              <w:ind w:left="40"/>
              <w:spacing w:after="0"/>
              <w:rPr>
                <w:sz w:val="20"/>
                <w:szCs w:val="20"/>
                <w:color w:val="auto"/>
              </w:rPr>
            </w:pPr>
            <w:r>
              <w:rPr>
                <w:rFonts w:ascii="Arial" w:cs="Arial" w:eastAsia="Arial" w:hAnsi="Arial"/>
                <w:sz w:val="18"/>
                <w:szCs w:val="18"/>
                <w:color w:val="auto"/>
              </w:rPr>
              <w:t>4.5</w:t>
            </w:r>
          </w:p>
        </w:tc>
        <w:tc>
          <w:tcPr>
            <w:tcW w:w="10820" w:type="dxa"/>
            <w:vAlign w:val="bottom"/>
          </w:tcPr>
          <w:p>
            <w:pPr>
              <w:ind w:left="240"/>
              <w:spacing w:after="0"/>
              <w:rPr>
                <w:sz w:val="20"/>
                <w:szCs w:val="20"/>
                <w:color w:val="auto"/>
              </w:rPr>
            </w:pPr>
            <w:r>
              <w:rPr>
                <w:rFonts w:ascii="Arial" w:cs="Arial" w:eastAsia="Arial" w:hAnsi="Arial"/>
                <w:sz w:val="18"/>
                <w:szCs w:val="18"/>
                <w:color w:val="auto"/>
                <w:w w:val="94"/>
              </w:rPr>
              <w:t>Daktronics, Inc. 2015 Incentive Stock Plan ("2015 Plan") (Incorporated by reference to Exhibit A to the Company's Definitive Proxy Statement</w:t>
            </w:r>
          </w:p>
        </w:tc>
      </w:tr>
      <w:tr>
        <w:trPr>
          <w:trHeight w:val="230"/>
        </w:trPr>
        <w:tc>
          <w:tcPr>
            <w:tcW w:w="600" w:type="dxa"/>
            <w:vAlign w:val="bottom"/>
          </w:tcPr>
          <w:p>
            <w:pPr>
              <w:spacing w:after="0"/>
              <w:rPr>
                <w:sz w:val="20"/>
                <w:szCs w:val="20"/>
                <w:color w:val="auto"/>
              </w:rPr>
            </w:pPr>
          </w:p>
        </w:tc>
        <w:tc>
          <w:tcPr>
            <w:tcW w:w="10820" w:type="dxa"/>
            <w:vAlign w:val="bottom"/>
          </w:tcPr>
          <w:p>
            <w:pPr>
              <w:ind w:left="240"/>
              <w:spacing w:after="0"/>
              <w:rPr>
                <w:sz w:val="20"/>
                <w:szCs w:val="20"/>
                <w:color w:val="auto"/>
              </w:rPr>
            </w:pPr>
            <w:r>
              <w:rPr>
                <w:rFonts w:ascii="Arial" w:cs="Arial" w:eastAsia="Arial" w:hAnsi="Arial"/>
                <w:sz w:val="18"/>
                <w:szCs w:val="18"/>
                <w:color w:val="auto"/>
              </w:rPr>
              <w:t>on Schedule 14A filed on July 14, 2015).*</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29"/>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4.6</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Form of Restricted Stock Award Agreement under the 2015 Plan (Incorporated by reference to Exhibit 10.2 filed with our Current Report on</w:t>
            </w: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Form 8-K on September 3, 2015).*</w:t>
            </w:r>
          </w:p>
        </w:tc>
      </w:tr>
      <w:tr>
        <w:trPr>
          <w:trHeight w:val="229"/>
        </w:trPr>
        <w:tc>
          <w:tcPr>
            <w:tcW w:w="600" w:type="dxa"/>
            <w:vAlign w:val="bottom"/>
          </w:tcPr>
          <w:p>
            <w:pPr>
              <w:ind w:left="40"/>
              <w:spacing w:after="0"/>
              <w:rPr>
                <w:sz w:val="20"/>
                <w:szCs w:val="20"/>
                <w:color w:val="auto"/>
              </w:rPr>
            </w:pPr>
            <w:r>
              <w:rPr>
                <w:rFonts w:ascii="Arial" w:cs="Arial" w:eastAsia="Arial" w:hAnsi="Arial"/>
                <w:sz w:val="18"/>
                <w:szCs w:val="18"/>
                <w:color w:val="auto"/>
              </w:rPr>
              <w:t>4.7</w:t>
            </w:r>
          </w:p>
        </w:tc>
        <w:tc>
          <w:tcPr>
            <w:tcW w:w="10820" w:type="dxa"/>
            <w:vAlign w:val="bottom"/>
          </w:tcPr>
          <w:p>
            <w:pPr>
              <w:ind w:left="240"/>
              <w:spacing w:after="0"/>
              <w:rPr>
                <w:sz w:val="20"/>
                <w:szCs w:val="20"/>
                <w:color w:val="auto"/>
              </w:rPr>
            </w:pPr>
            <w:r>
              <w:rPr>
                <w:rFonts w:ascii="Arial" w:cs="Arial" w:eastAsia="Arial" w:hAnsi="Arial"/>
                <w:sz w:val="18"/>
                <w:szCs w:val="18"/>
                <w:color w:val="auto"/>
                <w:w w:val="92"/>
              </w:rPr>
              <w:t>Form of Non-Qualified Stock Option Agreement Terms and Conditions under the 2015 Plan (Incorporated by reference to Exhibit 10.3 filed with</w:t>
            </w:r>
          </w:p>
        </w:tc>
      </w:tr>
      <w:tr>
        <w:trPr>
          <w:trHeight w:val="230"/>
        </w:trPr>
        <w:tc>
          <w:tcPr>
            <w:tcW w:w="600" w:type="dxa"/>
            <w:vAlign w:val="bottom"/>
          </w:tcPr>
          <w:p>
            <w:pPr>
              <w:spacing w:after="0"/>
              <w:rPr>
                <w:sz w:val="20"/>
                <w:szCs w:val="20"/>
                <w:color w:val="auto"/>
              </w:rPr>
            </w:pPr>
          </w:p>
        </w:tc>
        <w:tc>
          <w:tcPr>
            <w:tcW w:w="10820" w:type="dxa"/>
            <w:vAlign w:val="bottom"/>
          </w:tcPr>
          <w:p>
            <w:pPr>
              <w:ind w:left="240"/>
              <w:spacing w:after="0"/>
              <w:rPr>
                <w:sz w:val="20"/>
                <w:szCs w:val="20"/>
                <w:color w:val="auto"/>
              </w:rPr>
            </w:pPr>
            <w:r>
              <w:rPr>
                <w:rFonts w:ascii="Arial" w:cs="Arial" w:eastAsia="Arial" w:hAnsi="Arial"/>
                <w:sz w:val="18"/>
                <w:szCs w:val="18"/>
                <w:color w:val="auto"/>
              </w:rPr>
              <w:t>our Current Report on Form 8-K on September 3, 2015).*</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29"/>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4.8</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Form of Incentive Stock Option Terms and Conditions under the 2015 Plan (Incorporated by reference to Exhibit 10.4 filed with our Current</w:t>
            </w: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Report on Form 8-K on September 3, 2015).*</w:t>
            </w:r>
          </w:p>
        </w:tc>
      </w:tr>
      <w:tr>
        <w:trPr>
          <w:trHeight w:val="229"/>
        </w:trPr>
        <w:tc>
          <w:tcPr>
            <w:tcW w:w="600" w:type="dxa"/>
            <w:vAlign w:val="bottom"/>
          </w:tcPr>
          <w:p>
            <w:pPr>
              <w:ind w:left="40"/>
              <w:spacing w:after="0"/>
              <w:rPr>
                <w:sz w:val="20"/>
                <w:szCs w:val="20"/>
                <w:color w:val="auto"/>
              </w:rPr>
            </w:pPr>
            <w:r>
              <w:rPr>
                <w:rFonts w:ascii="Arial" w:cs="Arial" w:eastAsia="Arial" w:hAnsi="Arial"/>
                <w:sz w:val="18"/>
                <w:szCs w:val="18"/>
                <w:color w:val="auto"/>
              </w:rPr>
              <w:t>4.9</w:t>
            </w:r>
          </w:p>
        </w:tc>
        <w:tc>
          <w:tcPr>
            <w:tcW w:w="10820" w:type="dxa"/>
            <w:vAlign w:val="bottom"/>
          </w:tcPr>
          <w:p>
            <w:pPr>
              <w:ind w:left="240"/>
              <w:spacing w:after="0"/>
              <w:rPr>
                <w:sz w:val="20"/>
                <w:szCs w:val="20"/>
                <w:color w:val="auto"/>
              </w:rPr>
            </w:pPr>
            <w:r>
              <w:rPr>
                <w:rFonts w:ascii="Arial" w:cs="Arial" w:eastAsia="Arial" w:hAnsi="Arial"/>
                <w:sz w:val="18"/>
                <w:szCs w:val="18"/>
                <w:color w:val="auto"/>
                <w:w w:val="91"/>
              </w:rPr>
              <w:t>Form of Restricted Stock Unit Terms and Conditions under the 2015 Plan (Incorporated by reference to Exhibit 10.5 filed with our Current Report</w:t>
            </w:r>
          </w:p>
        </w:tc>
      </w:tr>
      <w:tr>
        <w:trPr>
          <w:trHeight w:val="230"/>
        </w:trPr>
        <w:tc>
          <w:tcPr>
            <w:tcW w:w="600" w:type="dxa"/>
            <w:vAlign w:val="bottom"/>
          </w:tcPr>
          <w:p>
            <w:pPr>
              <w:spacing w:after="0"/>
              <w:rPr>
                <w:sz w:val="20"/>
                <w:szCs w:val="20"/>
                <w:color w:val="auto"/>
              </w:rPr>
            </w:pPr>
          </w:p>
        </w:tc>
        <w:tc>
          <w:tcPr>
            <w:tcW w:w="10820" w:type="dxa"/>
            <w:vAlign w:val="bottom"/>
          </w:tcPr>
          <w:p>
            <w:pPr>
              <w:ind w:left="240"/>
              <w:spacing w:after="0"/>
              <w:rPr>
                <w:sz w:val="20"/>
                <w:szCs w:val="20"/>
                <w:color w:val="auto"/>
              </w:rPr>
            </w:pPr>
            <w:r>
              <w:rPr>
                <w:rFonts w:ascii="Arial" w:cs="Arial" w:eastAsia="Arial" w:hAnsi="Arial"/>
                <w:sz w:val="18"/>
                <w:szCs w:val="18"/>
                <w:color w:val="auto"/>
              </w:rPr>
              <w:t>on Form 8-K on September 3, 2015).*</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29"/>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Amended and Restated Deferred Compensation Agreement Between the Company and Aelred Kurtenbach (Incorporated by reference to Exhibit</w:t>
            </w: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10.1 filed with our Annual Report on Form 10-K on June 28, 2004).*</w:t>
            </w:r>
          </w:p>
        </w:tc>
      </w:tr>
      <w:tr>
        <w:trPr>
          <w:trHeight w:val="229"/>
        </w:trPr>
        <w:tc>
          <w:tcPr>
            <w:tcW w:w="600" w:type="dxa"/>
            <w:vAlign w:val="bottom"/>
          </w:tcPr>
          <w:p>
            <w:pPr>
              <w:ind w:left="40"/>
              <w:spacing w:after="0"/>
              <w:rPr>
                <w:sz w:val="20"/>
                <w:szCs w:val="20"/>
                <w:color w:val="auto"/>
              </w:rPr>
            </w:pPr>
            <w:r>
              <w:rPr>
                <w:rFonts w:ascii="Arial" w:cs="Arial" w:eastAsia="Arial" w:hAnsi="Arial"/>
                <w:sz w:val="18"/>
                <w:szCs w:val="18"/>
                <w:color w:val="auto"/>
              </w:rPr>
              <w:t>10.2</w:t>
            </w:r>
          </w:p>
        </w:tc>
        <w:tc>
          <w:tcPr>
            <w:tcW w:w="10820" w:type="dxa"/>
            <w:vAlign w:val="bottom"/>
          </w:tcPr>
          <w:p>
            <w:pPr>
              <w:ind w:left="240"/>
              <w:spacing w:after="0"/>
              <w:rPr>
                <w:sz w:val="20"/>
                <w:szCs w:val="20"/>
                <w:color w:val="auto"/>
              </w:rPr>
            </w:pPr>
            <w:r>
              <w:rPr>
                <w:rFonts w:ascii="Arial" w:cs="Arial" w:eastAsia="Arial" w:hAnsi="Arial"/>
                <w:sz w:val="18"/>
                <w:szCs w:val="18"/>
                <w:color w:val="auto"/>
                <w:w w:val="93"/>
              </w:rPr>
              <w:t>Credit Agreement dated November 15, 2016 by and between the Company and U.S. Bank National Association (Incorporated by reference to</w:t>
            </w:r>
          </w:p>
        </w:tc>
      </w:tr>
      <w:tr>
        <w:trPr>
          <w:trHeight w:val="230"/>
        </w:trPr>
        <w:tc>
          <w:tcPr>
            <w:tcW w:w="600" w:type="dxa"/>
            <w:vAlign w:val="bottom"/>
          </w:tcPr>
          <w:p>
            <w:pPr>
              <w:spacing w:after="0"/>
              <w:rPr>
                <w:sz w:val="20"/>
                <w:szCs w:val="20"/>
                <w:color w:val="auto"/>
              </w:rPr>
            </w:pPr>
          </w:p>
        </w:tc>
        <w:tc>
          <w:tcPr>
            <w:tcW w:w="10820" w:type="dxa"/>
            <w:vAlign w:val="bottom"/>
          </w:tcPr>
          <w:p>
            <w:pPr>
              <w:ind w:left="240"/>
              <w:spacing w:after="0"/>
              <w:rPr>
                <w:sz w:val="20"/>
                <w:szCs w:val="20"/>
                <w:color w:val="auto"/>
              </w:rPr>
            </w:pPr>
            <w:r>
              <w:rPr>
                <w:rFonts w:ascii="Arial" w:cs="Arial" w:eastAsia="Arial" w:hAnsi="Arial"/>
                <w:sz w:val="18"/>
                <w:szCs w:val="18"/>
                <w:color w:val="auto"/>
              </w:rPr>
              <w:t>Exhibit 10.2 filed with our Current Report on Form 8-K filed on November 16, 2016).</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29"/>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Revolving Note dated November 15, 2016 issued by the Company to U.S. Bank National Association (Incorporated by reference to Exhibit 10.3</w:t>
            </w: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filed with our Current Report on Form 8-K filed on November 16, 2016).</w:t>
            </w:r>
          </w:p>
        </w:tc>
      </w:tr>
      <w:tr>
        <w:trPr>
          <w:trHeight w:val="229"/>
        </w:trPr>
        <w:tc>
          <w:tcPr>
            <w:tcW w:w="600" w:type="dxa"/>
            <w:vAlign w:val="bottom"/>
          </w:tcPr>
          <w:p>
            <w:pPr>
              <w:ind w:left="40"/>
              <w:spacing w:after="0"/>
              <w:rPr>
                <w:sz w:val="20"/>
                <w:szCs w:val="20"/>
                <w:color w:val="auto"/>
              </w:rPr>
            </w:pPr>
            <w:r>
              <w:rPr>
                <w:rFonts w:ascii="Arial" w:cs="Arial" w:eastAsia="Arial" w:hAnsi="Arial"/>
                <w:sz w:val="18"/>
                <w:szCs w:val="18"/>
                <w:color w:val="auto"/>
              </w:rPr>
              <w:t>10.4</w:t>
            </w:r>
          </w:p>
        </w:tc>
        <w:tc>
          <w:tcPr>
            <w:tcW w:w="10820" w:type="dxa"/>
            <w:vAlign w:val="bottom"/>
          </w:tcPr>
          <w:p>
            <w:pPr>
              <w:ind w:left="240"/>
              <w:spacing w:after="0"/>
              <w:rPr>
                <w:sz w:val="20"/>
                <w:szCs w:val="20"/>
                <w:color w:val="auto"/>
              </w:rPr>
            </w:pPr>
            <w:r>
              <w:rPr>
                <w:rFonts w:ascii="Arial" w:cs="Arial" w:eastAsia="Arial" w:hAnsi="Arial"/>
                <w:sz w:val="18"/>
                <w:szCs w:val="18"/>
                <w:color w:val="auto"/>
                <w:w w:val="92"/>
              </w:rPr>
              <w:t>Amended and Restated Loan Agreement dated November 15, 2016 by and between the Company and Bank of America, N.A. (Incorporated by</w:t>
            </w:r>
          </w:p>
        </w:tc>
      </w:tr>
      <w:tr>
        <w:trPr>
          <w:trHeight w:val="230"/>
        </w:trPr>
        <w:tc>
          <w:tcPr>
            <w:tcW w:w="600" w:type="dxa"/>
            <w:vAlign w:val="bottom"/>
          </w:tcPr>
          <w:p>
            <w:pPr>
              <w:spacing w:after="0"/>
              <w:rPr>
                <w:sz w:val="20"/>
                <w:szCs w:val="20"/>
                <w:color w:val="auto"/>
              </w:rPr>
            </w:pPr>
          </w:p>
        </w:tc>
        <w:tc>
          <w:tcPr>
            <w:tcW w:w="10820" w:type="dxa"/>
            <w:vAlign w:val="bottom"/>
          </w:tcPr>
          <w:p>
            <w:pPr>
              <w:ind w:left="240"/>
              <w:spacing w:after="0"/>
              <w:rPr>
                <w:sz w:val="20"/>
                <w:szCs w:val="20"/>
                <w:color w:val="auto"/>
              </w:rPr>
            </w:pPr>
            <w:r>
              <w:rPr>
                <w:rFonts w:ascii="Arial" w:cs="Arial" w:eastAsia="Arial" w:hAnsi="Arial"/>
                <w:sz w:val="18"/>
                <w:szCs w:val="18"/>
                <w:color w:val="auto"/>
              </w:rPr>
              <w:t>reference to Exhibit 10.4 filed with our Current Report on Form 8-K filed on November 16, 2016).</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29"/>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Continuing and Unconditional Guaranty dated November 15, 2016 by and between the Company and Bank of America, N.A. (Incorporated by</w:t>
            </w: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reference to Exhibit 10.5 filed with our Current Report on Form 8-K filed on November 16, 2016).</w:t>
            </w: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10.6</w:t>
            </w:r>
          </w:p>
        </w:tc>
        <w:tc>
          <w:tcPr>
            <w:tcW w:w="10820" w:type="dxa"/>
            <w:vAlign w:val="bottom"/>
          </w:tcPr>
          <w:p>
            <w:pPr>
              <w:ind w:left="240"/>
              <w:spacing w:after="0"/>
              <w:rPr>
                <w:sz w:val="20"/>
                <w:szCs w:val="20"/>
                <w:color w:val="auto"/>
              </w:rPr>
            </w:pPr>
            <w:r>
              <w:rPr>
                <w:rFonts w:ascii="Arial" w:cs="Arial" w:eastAsia="Arial" w:hAnsi="Arial"/>
                <w:sz w:val="18"/>
                <w:szCs w:val="18"/>
                <w:color w:val="auto"/>
              </w:rPr>
              <w:t>Amended and Restated Loan Agreement dated May 5, 2017 by and between the Company and Bank of America, N.A. (1)</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21.1</w:t>
            </w: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Subsidiaries of the Company. (1)</w:t>
            </w: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23.1</w:t>
            </w:r>
          </w:p>
        </w:tc>
        <w:tc>
          <w:tcPr>
            <w:tcW w:w="10820" w:type="dxa"/>
            <w:vAlign w:val="bottom"/>
          </w:tcPr>
          <w:p>
            <w:pPr>
              <w:ind w:left="240"/>
              <w:spacing w:after="0"/>
              <w:rPr>
                <w:sz w:val="20"/>
                <w:szCs w:val="20"/>
                <w:color w:val="auto"/>
              </w:rPr>
            </w:pPr>
            <w:r>
              <w:rPr>
                <w:rFonts w:ascii="Arial" w:cs="Arial" w:eastAsia="Arial" w:hAnsi="Arial"/>
                <w:sz w:val="18"/>
                <w:szCs w:val="18"/>
                <w:color w:val="auto"/>
              </w:rPr>
              <w:t>Consent of Ernst &amp; Young LLP. (1)</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24</w:t>
            </w: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Power of Attorney. (1)</w:t>
            </w:r>
          </w:p>
        </w:tc>
      </w:tr>
      <w:tr>
        <w:trPr>
          <w:trHeight w:val="229"/>
        </w:trPr>
        <w:tc>
          <w:tcPr>
            <w:tcW w:w="600" w:type="dxa"/>
            <w:vAlign w:val="bottom"/>
          </w:tcPr>
          <w:p>
            <w:pPr>
              <w:ind w:left="40"/>
              <w:spacing w:after="0"/>
              <w:rPr>
                <w:sz w:val="20"/>
                <w:szCs w:val="20"/>
                <w:color w:val="auto"/>
              </w:rPr>
            </w:pPr>
            <w:r>
              <w:rPr>
                <w:rFonts w:ascii="Arial" w:cs="Arial" w:eastAsia="Arial" w:hAnsi="Arial"/>
                <w:sz w:val="18"/>
                <w:szCs w:val="18"/>
                <w:color w:val="auto"/>
              </w:rPr>
              <w:t>31.1</w:t>
            </w:r>
          </w:p>
        </w:tc>
        <w:tc>
          <w:tcPr>
            <w:tcW w:w="10820" w:type="dxa"/>
            <w:vAlign w:val="bottom"/>
          </w:tcPr>
          <w:p>
            <w:pPr>
              <w:ind w:left="240"/>
              <w:spacing w:after="0"/>
              <w:rPr>
                <w:sz w:val="20"/>
                <w:szCs w:val="20"/>
                <w:color w:val="auto"/>
              </w:rPr>
            </w:pPr>
            <w:r>
              <w:rPr>
                <w:rFonts w:ascii="Arial" w:cs="Arial" w:eastAsia="Arial" w:hAnsi="Arial"/>
                <w:sz w:val="18"/>
                <w:szCs w:val="18"/>
                <w:color w:val="auto"/>
                <w:w w:val="92"/>
              </w:rPr>
              <w:t>Certification of the Chief Executive Officer required by Rule 13a-14(a) or Rule 15d-14(a) under the Securities Exchange Act of 1934, as adopted</w:t>
            </w:r>
          </w:p>
        </w:tc>
      </w:tr>
      <w:tr>
        <w:trPr>
          <w:trHeight w:val="230"/>
        </w:trPr>
        <w:tc>
          <w:tcPr>
            <w:tcW w:w="600" w:type="dxa"/>
            <w:vAlign w:val="bottom"/>
          </w:tcPr>
          <w:p>
            <w:pPr>
              <w:spacing w:after="0"/>
              <w:rPr>
                <w:sz w:val="20"/>
                <w:szCs w:val="20"/>
                <w:color w:val="auto"/>
              </w:rPr>
            </w:pPr>
          </w:p>
        </w:tc>
        <w:tc>
          <w:tcPr>
            <w:tcW w:w="1082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 (1)</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29"/>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Certification of the Chief Financial Officer required by Rule 13a-14(a) or Rule 15d-14(a) under the Securities Exchange Act of 1934, as adopted</w:t>
            </w: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pursuant to Section 302 of the Sarbanes-Oxley Act of 2002. (1)</w:t>
            </w: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32.1</w:t>
            </w:r>
          </w:p>
        </w:tc>
        <w:tc>
          <w:tcPr>
            <w:tcW w:w="10820" w:type="dxa"/>
            <w:vAlign w:val="bottom"/>
          </w:tcPr>
          <w:p>
            <w:pPr>
              <w:ind w:left="240"/>
              <w:spacing w:after="0"/>
              <w:rPr>
                <w:sz w:val="20"/>
                <w:szCs w:val="20"/>
                <w:color w:val="auto"/>
              </w:rPr>
            </w:pPr>
            <w:r>
              <w:rPr>
                <w:rFonts w:ascii="Arial" w:cs="Arial" w:eastAsia="Arial" w:hAnsi="Arial"/>
                <w:sz w:val="18"/>
                <w:szCs w:val="18"/>
                <w:color w:val="auto"/>
              </w:rPr>
              <w:t>Certification of the Chief Executive Officer pursuant to Section 906 of the Sarbanes-Oxley Act of 2002 (18 U.S.C. Section 1350). (1)</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43"/>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32.2</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Certification of the Chief Financial Officer pursuant to Section 906 of the Sarbanes-Oxley Act of 2002 (18 U.S.C. Section 1350). (1)</w:t>
            </w:r>
          </w:p>
        </w:tc>
      </w:tr>
      <w:tr>
        <w:trPr>
          <w:trHeight w:val="27"/>
        </w:trPr>
        <w:tc>
          <w:tcPr>
            <w:tcW w:w="600" w:type="dxa"/>
            <w:vAlign w:val="bottom"/>
            <w:shd w:val="clear" w:color="auto" w:fill="CCEEFF"/>
          </w:tcPr>
          <w:p>
            <w:pPr>
              <w:spacing w:after="0"/>
              <w:rPr>
                <w:sz w:val="2"/>
                <w:szCs w:val="2"/>
                <w:color w:val="auto"/>
              </w:rPr>
            </w:pPr>
          </w:p>
        </w:tc>
        <w:tc>
          <w:tcPr>
            <w:tcW w:w="108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840" w:right="60" w:hanging="805"/>
        <w:spacing w:after="0" w:line="279"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following financial information from our Annual Report on Form 10-K for the fiscal year ended April 29, 2017, formatted in Extensible Business Reporting Language (XBRL): (i) the Consolidated Balance Sheets, (ii) the Consolidated Statements of Operations, (iii) the Consolidated Statements of Comprehensive Income, (iv) the Consolidated Statements of Shareholders' Equity, (v) the Consolidated Statements of Cash Flows, (vi) Notes to Consolidated Financial Statements, and (vii) document and entity information.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300" w:hanging="45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77" w:lineRule="exact"/>
        <w:rPr>
          <w:sz w:val="20"/>
          <w:szCs w:val="20"/>
          <w:color w:val="auto"/>
        </w:rPr>
      </w:pPr>
    </w:p>
    <w:p>
      <w:pPr>
        <w:ind w:left="5620" w:right="4980" w:hanging="4775"/>
        <w:spacing w:after="0" w:line="694" w:lineRule="auto"/>
        <w:tabs>
          <w:tab w:leader="none" w:pos="12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219"/>
          </w:cols>
          <w:pgMar w:left="240" w:top="122"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color w:val="auto"/>
        </w:rPr>
        <w:t>AMENDMENT NO. 1 TO AMENDED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RESTATED LOAN AGREEMENT</w:t>
      </w:r>
    </w:p>
    <w:p>
      <w:pPr>
        <w:spacing w:after="0" w:line="242"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This Amendment No. 1 to Amended and Restated Loan Agreement (the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May 5, 2017, is between Bank of America, N.A. (the “</w:t>
      </w:r>
      <w:r>
        <w:rPr>
          <w:rFonts w:ascii="Arial" w:cs="Arial" w:eastAsia="Arial" w:hAnsi="Arial"/>
          <w:sz w:val="21"/>
          <w:szCs w:val="21"/>
          <w:u w:val="single" w:color="auto"/>
          <w:color w:val="auto"/>
        </w:rPr>
        <w:t>Bank</w:t>
      </w:r>
      <w:r>
        <w:rPr>
          <w:rFonts w:ascii="Arial" w:cs="Arial" w:eastAsia="Arial" w:hAnsi="Arial"/>
          <w:sz w:val="21"/>
          <w:szCs w:val="21"/>
          <w:color w:val="auto"/>
        </w:rPr>
        <w:t>”) and Daktronics, Inc., a South Dakota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The Bank and the Borrower entered into a certain Amended and Restated Loan Agreement dated as of November 15, 2016 (together with any previous amendments, the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The Bank and the Borrower desire to amend the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60" w:lineRule="exact"/>
        <w:rPr>
          <w:sz w:val="20"/>
          <w:szCs w:val="20"/>
          <w:color w:val="auto"/>
        </w:rPr>
      </w:pPr>
    </w:p>
    <w:p>
      <w:pPr>
        <w:ind w:left="1460" w:hanging="804"/>
        <w:spacing w:after="0"/>
        <w:tabs>
          <w:tab w:leader="none" w:pos="146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but not defined in this Amendment shall have the meaning given to them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color w:val="auto"/>
        </w:rPr>
      </w:pPr>
    </w:p>
    <w:p>
      <w:pPr>
        <w:ind w:left="1000" w:hanging="344"/>
        <w:spacing w:after="0"/>
        <w:tabs>
          <w:tab w:leader="none" w:pos="1000" w:val="left"/>
        </w:tabs>
        <w:numPr>
          <w:ilvl w:val="0"/>
          <w:numId w:val="15"/>
        </w:numPr>
        <w:rPr>
          <w:rFonts w:ascii="Arial" w:cs="Arial" w:eastAsia="Arial" w:hAnsi="Arial"/>
          <w:sz w:val="20"/>
          <w:szCs w:val="20"/>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The Agreement is hereby amended as follows:</w:t>
      </w:r>
    </w:p>
    <w:p>
      <w:pPr>
        <w:spacing w:after="0" w:line="233" w:lineRule="exact"/>
        <w:rPr>
          <w:rFonts w:ascii="Arial" w:cs="Arial" w:eastAsia="Arial" w:hAnsi="Arial"/>
          <w:sz w:val="20"/>
          <w:szCs w:val="20"/>
          <w:color w:val="auto"/>
        </w:rPr>
      </w:pPr>
    </w:p>
    <w:p>
      <w:pPr>
        <w:ind w:left="1720" w:hanging="415"/>
        <w:spacing w:after="0"/>
        <w:tabs>
          <w:tab w:leader="none" w:pos="1720" w:val="left"/>
        </w:tabs>
        <w:numPr>
          <w:ilvl w:val="1"/>
          <w:numId w:val="15"/>
        </w:numPr>
        <w:rPr>
          <w:rFonts w:ascii="Arial" w:cs="Arial" w:eastAsia="Arial" w:hAnsi="Arial"/>
          <w:sz w:val="20"/>
          <w:szCs w:val="20"/>
          <w:color w:val="auto"/>
        </w:rPr>
      </w:pPr>
      <w:r>
        <w:rPr>
          <w:rFonts w:ascii="Arial" w:cs="Arial" w:eastAsia="Arial" w:hAnsi="Arial"/>
          <w:sz w:val="22"/>
          <w:szCs w:val="22"/>
          <w:color w:val="auto"/>
        </w:rPr>
        <w:t>Section (b) to Schedule A of the Agreement is hereby amended to read in its entirety as follows:</w:t>
      </w:r>
    </w:p>
    <w:p>
      <w:pPr>
        <w:spacing w:after="0" w:line="233"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Facilities Fee</w:t>
      </w:r>
      <w:r>
        <w:rPr>
          <w:rFonts w:ascii="Arial" w:cs="Arial" w:eastAsia="Arial" w:hAnsi="Arial"/>
          <w:sz w:val="22"/>
          <w:szCs w:val="22"/>
          <w:color w:val="auto"/>
        </w:rPr>
        <w:t>. The Borrower agrees to pay a quarterly fee equal to Four Thousand Five Hundred and No/100 Dollars ($4,500.00). This fee is due on December 31, 2016 and on the same day of each following quarter until the expiration of the availability period.”</w:t>
      </w:r>
    </w:p>
    <w:p>
      <w:pPr>
        <w:spacing w:after="0" w:line="226" w:lineRule="exact"/>
        <w:rPr>
          <w:sz w:val="20"/>
          <w:szCs w:val="20"/>
          <w:color w:val="auto"/>
        </w:rPr>
      </w:pPr>
    </w:p>
    <w:p>
      <w:pPr>
        <w:jc w:val="both"/>
        <w:ind w:firstLine="656"/>
        <w:spacing w:after="0" w:line="293" w:lineRule="auto"/>
        <w:tabs>
          <w:tab w:leader="none" w:pos="1074" w:val="left"/>
        </w:tabs>
        <w:numPr>
          <w:ilvl w:val="1"/>
          <w:numId w:val="16"/>
        </w:numPr>
        <w:rPr>
          <w:rFonts w:ascii="Arial" w:cs="Arial" w:eastAsia="Arial" w:hAnsi="Arial"/>
          <w:sz w:val="18"/>
          <w:szCs w:val="18"/>
          <w:color w:val="auto"/>
        </w:rPr>
      </w:pPr>
      <w:r>
        <w:rPr>
          <w:rFonts w:ascii="Arial" w:cs="Arial" w:eastAsia="Arial" w:hAnsi="Arial"/>
          <w:sz w:val="19"/>
          <w:szCs w:val="19"/>
          <w:u w:val="single" w:color="auto"/>
          <w:color w:val="auto"/>
        </w:rPr>
        <w:t>Effectiveness of Amendments</w:t>
      </w:r>
      <w:r>
        <w:rPr>
          <w:rFonts w:ascii="Arial" w:cs="Arial" w:eastAsia="Arial" w:hAnsi="Arial"/>
          <w:sz w:val="19"/>
          <w:szCs w:val="19"/>
          <w:color w:val="auto"/>
        </w:rPr>
        <w:t>. The amendments set forth herein shall be effective only to the extent specifically set forth herein and shall not (a) be construed as a waiver of any breach, default or event of default other than as specifically waived herein nor as a waiver of any breach, default or event of default of which the Bank has not been informed by the Borrower,</w:t>
      </w:r>
    </w:p>
    <w:p>
      <w:pPr>
        <w:spacing w:after="0" w:line="1" w:lineRule="exact"/>
        <w:rPr>
          <w:rFonts w:ascii="Arial" w:cs="Arial" w:eastAsia="Arial" w:hAnsi="Arial"/>
          <w:sz w:val="18"/>
          <w:szCs w:val="18"/>
          <w:color w:val="auto"/>
        </w:rPr>
      </w:pPr>
    </w:p>
    <w:p>
      <w:pPr>
        <w:jc w:val="both"/>
        <w:ind w:firstLine="8"/>
        <w:spacing w:after="0" w:line="290" w:lineRule="auto"/>
        <w:tabs>
          <w:tab w:leader="none" w:pos="3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affect the right of the Bank to demand compliance by the Borrower with all terms and conditions of the Agreement and other loan documents, except as specifically amended, waived or otherwise modified by this Amendment, (c) be deemed a waiver of any transaction or future action on the part of the Borrower requiring the Bank’s consent or approval under the Agreement or other loan documents, or (d) except as waived hereby, be deemed or construed to be a waiver or release of, or a limitation upon, the Bank’s exercise of any rights or remedies under the Agreement or any other loan document, whether arising as a consequence of any default or event of default which may now exist or otherwise, all such rights and remedies hereby being expressly reserved.</w:t>
      </w:r>
    </w:p>
    <w:p>
      <w:pPr>
        <w:spacing w:after="0" w:line="153" w:lineRule="exact"/>
        <w:rPr>
          <w:rFonts w:ascii="Arial" w:cs="Arial" w:eastAsia="Arial" w:hAnsi="Arial"/>
          <w:sz w:val="19"/>
          <w:szCs w:val="19"/>
          <w:color w:val="auto"/>
        </w:rPr>
      </w:pPr>
    </w:p>
    <w:p>
      <w:pPr>
        <w:jc w:val="both"/>
        <w:ind w:firstLine="656"/>
        <w:spacing w:after="0" w:line="294" w:lineRule="auto"/>
        <w:tabs>
          <w:tab w:leader="none" w:pos="1061" w:val="left"/>
        </w:tabs>
        <w:numPr>
          <w:ilvl w:val="1"/>
          <w:numId w:val="17"/>
        </w:numPr>
        <w:rPr>
          <w:rFonts w:ascii="Arial" w:cs="Arial" w:eastAsia="Arial" w:hAnsi="Arial"/>
          <w:sz w:val="18"/>
          <w:szCs w:val="18"/>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after giving effect to this Amendment, the representations and warranties in the Agreement are true as of the date of this Amendment as if made on the date of this Amendment, (c) this Amendment does not conflict with any law, agreement, or obligation by which the Borrower is bound, and (d) if the Borrower is a business entity or a trust, this Amendment is within the Borrower's powers, has been duly authorized, and does not conflict with any of the Borrower's organizational papers.</w:t>
      </w:r>
    </w:p>
    <w:p>
      <w:pPr>
        <w:spacing w:after="0" w:line="152" w:lineRule="exact"/>
        <w:rPr>
          <w:rFonts w:ascii="Arial" w:cs="Arial" w:eastAsia="Arial" w:hAnsi="Arial"/>
          <w:sz w:val="18"/>
          <w:szCs w:val="18"/>
          <w:color w:val="auto"/>
        </w:rPr>
      </w:pPr>
    </w:p>
    <w:p>
      <w:pPr>
        <w:jc w:val="both"/>
        <w:ind w:firstLine="656"/>
        <w:spacing w:after="0" w:line="278" w:lineRule="auto"/>
        <w:tabs>
          <w:tab w:leader="none" w:pos="1128" w:val="left"/>
        </w:tabs>
        <w:numPr>
          <w:ilvl w:val="1"/>
          <w:numId w:val="17"/>
        </w:numPr>
        <w:rPr>
          <w:rFonts w:ascii="Arial" w:cs="Arial" w:eastAsia="Arial" w:hAnsi="Arial"/>
          <w:sz w:val="19"/>
          <w:szCs w:val="19"/>
          <w:color w:val="auto"/>
        </w:rPr>
      </w:pPr>
      <w:r>
        <w:rPr>
          <w:rFonts w:ascii="Arial" w:cs="Arial" w:eastAsia="Arial" w:hAnsi="Arial"/>
          <w:sz w:val="21"/>
          <w:szCs w:val="21"/>
          <w:u w:val="single" w:color="auto"/>
          <w:color w:val="auto"/>
        </w:rPr>
        <w:t>Reaffirmation of Obligations</w:t>
      </w:r>
      <w:r>
        <w:rPr>
          <w:rFonts w:ascii="Arial" w:cs="Arial" w:eastAsia="Arial" w:hAnsi="Arial"/>
          <w:sz w:val="21"/>
          <w:szCs w:val="21"/>
          <w:color w:val="auto"/>
        </w:rPr>
        <w:t>. The Borrower (a) affirms all of its obligations under the Agreement and other loan documents and (b) agrees that this Amendment and all documents, agreements and instruments executed in connection herewith do not operate to reduce or discharge the Borrower’s obligations under the Agreement and other loan documents.</w:t>
      </w:r>
    </w:p>
    <w:p>
      <w:pPr>
        <w:spacing w:after="0" w:line="160" w:lineRule="exact"/>
        <w:rPr>
          <w:rFonts w:ascii="Arial" w:cs="Arial" w:eastAsia="Arial" w:hAnsi="Arial"/>
          <w:sz w:val="19"/>
          <w:szCs w:val="19"/>
          <w:color w:val="auto"/>
        </w:rPr>
      </w:pPr>
    </w:p>
    <w:p>
      <w:pPr>
        <w:ind w:firstLine="656"/>
        <w:spacing w:after="0" w:line="276" w:lineRule="auto"/>
        <w:tabs>
          <w:tab w:leader="none" w:pos="993" w:val="left"/>
        </w:tabs>
        <w:numPr>
          <w:ilvl w:val="1"/>
          <w:numId w:val="17"/>
        </w:numPr>
        <w:rPr>
          <w:rFonts w:ascii="Arial" w:cs="Arial" w:eastAsia="Arial" w:hAnsi="Arial"/>
          <w:sz w:val="20"/>
          <w:szCs w:val="20"/>
          <w:color w:val="auto"/>
        </w:rPr>
      </w:pPr>
      <w:r>
        <w:rPr>
          <w:rFonts w:ascii="Arial" w:cs="Arial" w:eastAsia="Arial" w:hAnsi="Arial"/>
          <w:sz w:val="22"/>
          <w:szCs w:val="22"/>
          <w:u w:val="single" w:color="auto"/>
          <w:color w:val="auto"/>
        </w:rPr>
        <w:t>Conditions</w:t>
      </w:r>
      <w:r>
        <w:rPr>
          <w:rFonts w:ascii="Arial" w:cs="Arial" w:eastAsia="Arial" w:hAnsi="Arial"/>
          <w:sz w:val="22"/>
          <w:szCs w:val="22"/>
          <w:color w:val="auto"/>
        </w:rPr>
        <w:t>. The effectiveness of this Amendment is conditioned upon the Bank’s receipt of the following items, in form and content acceptable to the Bank:</w:t>
      </w:r>
    </w:p>
    <w:p>
      <w:pPr>
        <w:spacing w:after="0" w:line="160" w:lineRule="exact"/>
        <w:rPr>
          <w:rFonts w:ascii="Arial" w:cs="Arial" w:eastAsia="Arial" w:hAnsi="Arial"/>
          <w:sz w:val="20"/>
          <w:szCs w:val="20"/>
          <w:color w:val="auto"/>
        </w:rPr>
      </w:pPr>
    </w:p>
    <w:p>
      <w:pPr>
        <w:ind w:firstLine="1305"/>
        <w:spacing w:after="0" w:line="276" w:lineRule="auto"/>
        <w:tabs>
          <w:tab w:leader="none" w:pos="1853" w:val="left"/>
        </w:tabs>
        <w:numPr>
          <w:ilvl w:val="2"/>
          <w:numId w:val="17"/>
        </w:numPr>
        <w:rPr>
          <w:rFonts w:ascii="Arial" w:cs="Arial" w:eastAsia="Arial" w:hAnsi="Arial"/>
          <w:sz w:val="20"/>
          <w:szCs w:val="20"/>
          <w:color w:val="auto"/>
        </w:rPr>
      </w:pPr>
      <w:r>
        <w:rPr>
          <w:rFonts w:ascii="Arial" w:cs="Arial" w:eastAsia="Arial" w:hAnsi="Arial"/>
          <w:sz w:val="22"/>
          <w:szCs w:val="22"/>
          <w:color w:val="auto"/>
        </w:rPr>
        <w:t>A fully executed counterpart of this Amendment from the Borrower and each guarantor and/or collateral pledgor (collectively, a “</w:t>
      </w:r>
      <w:r>
        <w:rPr>
          <w:rFonts w:ascii="Arial" w:cs="Arial" w:eastAsia="Arial" w:hAnsi="Arial"/>
          <w:sz w:val="22"/>
          <w:szCs w:val="22"/>
          <w:u w:val="single" w:color="auto"/>
          <w:color w:val="auto"/>
        </w:rPr>
        <w:t>Credit Support Provider</w:t>
      </w:r>
      <w:r>
        <w:rPr>
          <w:rFonts w:ascii="Arial" w:cs="Arial" w:eastAsia="Arial" w:hAnsi="Arial"/>
          <w:sz w:val="22"/>
          <w:szCs w:val="22"/>
          <w:color w:val="auto"/>
        </w:rPr>
        <w:t>”) in form satisfactory to the Bank.</w:t>
      </w:r>
    </w:p>
    <w:p>
      <w:pPr>
        <w:spacing w:after="0" w:line="160" w:lineRule="exact"/>
        <w:rPr>
          <w:rFonts w:ascii="Arial" w:cs="Arial" w:eastAsia="Arial" w:hAnsi="Arial"/>
          <w:sz w:val="20"/>
          <w:szCs w:val="20"/>
          <w:color w:val="auto"/>
        </w:rPr>
      </w:pPr>
    </w:p>
    <w:p>
      <w:pPr>
        <w:jc w:val="both"/>
        <w:ind w:firstLine="1305"/>
        <w:spacing w:after="0" w:line="260" w:lineRule="auto"/>
        <w:tabs>
          <w:tab w:leader="none" w:pos="1840" w:val="left"/>
        </w:tabs>
        <w:numPr>
          <w:ilvl w:val="2"/>
          <w:numId w:val="17"/>
        </w:numPr>
        <w:rPr>
          <w:rFonts w:ascii="Arial" w:cs="Arial" w:eastAsia="Arial" w:hAnsi="Arial"/>
          <w:sz w:val="20"/>
          <w:szCs w:val="20"/>
          <w:color w:val="auto"/>
        </w:rPr>
      </w:pPr>
      <w:r>
        <w:rPr>
          <w:rFonts w:ascii="Arial" w:cs="Arial" w:eastAsia="Arial" w:hAnsi="Arial"/>
          <w:sz w:val="22"/>
          <w:szCs w:val="22"/>
          <w:color w:val="auto"/>
        </w:rPr>
        <w:t>If the Borrower or any Credit Support Provider is anything other than a natural person, evidence that the execution, delivery and performance by the Borrower and/or such Credit Support Provider of this Amendment and any instrument or agreement required under this Amendment have been duly authorized.</w:t>
      </w:r>
    </w:p>
    <w:p>
      <w:pPr>
        <w:spacing w:after="0" w:line="177" w:lineRule="exact"/>
        <w:rPr>
          <w:rFonts w:ascii="Arial" w:cs="Arial" w:eastAsia="Arial" w:hAnsi="Arial"/>
          <w:sz w:val="20"/>
          <w:szCs w:val="20"/>
          <w:color w:val="auto"/>
        </w:rPr>
      </w:pPr>
    </w:p>
    <w:p>
      <w:pPr>
        <w:ind w:firstLine="1305"/>
        <w:spacing w:after="0" w:line="276" w:lineRule="auto"/>
        <w:tabs>
          <w:tab w:leader="none" w:pos="1707" w:val="left"/>
        </w:tabs>
        <w:numPr>
          <w:ilvl w:val="2"/>
          <w:numId w:val="17"/>
        </w:numPr>
        <w:rPr>
          <w:rFonts w:ascii="Arial" w:cs="Arial" w:eastAsia="Arial" w:hAnsi="Arial"/>
          <w:sz w:val="20"/>
          <w:szCs w:val="20"/>
          <w:color w:val="auto"/>
        </w:rPr>
      </w:pPr>
      <w:r>
        <w:rPr>
          <w:rFonts w:ascii="Arial" w:cs="Arial" w:eastAsia="Arial" w:hAnsi="Arial"/>
          <w:sz w:val="22"/>
          <w:szCs w:val="22"/>
          <w:color w:val="auto"/>
        </w:rPr>
        <w:t>Payment by the Borrower of all unpaid Facilities Fees due from November 15, 2016 through March 31, 2017 in the amount of Six Thousand Seven Hundred Fifty and No/100 Dollars ($6,750.00).</w:t>
      </w:r>
    </w:p>
    <w:p>
      <w:pPr>
        <w:spacing w:after="0" w:line="160" w:lineRule="exact"/>
        <w:rPr>
          <w:rFonts w:ascii="Arial" w:cs="Arial" w:eastAsia="Arial" w:hAnsi="Arial"/>
          <w:sz w:val="20"/>
          <w:szCs w:val="20"/>
          <w:color w:val="auto"/>
        </w:rPr>
      </w:pPr>
    </w:p>
    <w:p>
      <w:pPr>
        <w:ind w:firstLine="1305"/>
        <w:spacing w:after="0" w:line="276" w:lineRule="auto"/>
        <w:tabs>
          <w:tab w:leader="none" w:pos="1732" w:val="left"/>
        </w:tabs>
        <w:numPr>
          <w:ilvl w:val="2"/>
          <w:numId w:val="17"/>
        </w:numPr>
        <w:rPr>
          <w:rFonts w:ascii="Arial" w:cs="Arial" w:eastAsia="Arial" w:hAnsi="Arial"/>
          <w:sz w:val="20"/>
          <w:szCs w:val="20"/>
          <w:color w:val="auto"/>
        </w:rPr>
      </w:pPr>
      <w:r>
        <w:rPr>
          <w:rFonts w:ascii="Arial" w:cs="Arial" w:eastAsia="Arial" w:hAnsi="Arial"/>
          <w:sz w:val="22"/>
          <w:szCs w:val="22"/>
          <w:color w:val="auto"/>
        </w:rPr>
        <w:t>Payment by the Borrower of all costs, expenses and attorneys' fees (including allocated costs for in-house legal services) incurred by the Bank in connection with this Amendment.</w:t>
      </w:r>
    </w:p>
    <w:p>
      <w:pPr>
        <w:sectPr>
          <w:pgSz w:w="11900" w:h="16838" w:orient="portrait"/>
          <w:cols w:equalWidth="0" w:num="1">
            <w:col w:w="11420"/>
          </w:cols>
          <w:pgMar w:left="240" w:top="375" w:right="239" w:bottom="0" w:gutter="0" w:footer="0" w:header="0"/>
        </w:sectPr>
      </w:pPr>
    </w:p>
    <w:bookmarkStart w:id="74" w:name="page75"/>
    <w:bookmarkEnd w:id="74"/>
    <w:p>
      <w:pPr>
        <w:ind w:firstLine="656"/>
        <w:spacing w:after="0" w:line="276" w:lineRule="auto"/>
        <w:tabs>
          <w:tab w:leader="none" w:pos="1007" w:val="left"/>
        </w:tabs>
        <w:numPr>
          <w:ilvl w:val="0"/>
          <w:numId w:val="18"/>
        </w:numPr>
        <w:rPr>
          <w:rFonts w:ascii="Arial" w:cs="Arial" w:eastAsia="Arial" w:hAnsi="Arial"/>
          <w:sz w:val="20"/>
          <w:szCs w:val="20"/>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The Borrower agrees to promptly take such action, upon the request of the Bank, as is necessary to carry out the intent of this Amendment.</w:t>
      </w:r>
    </w:p>
    <w:p>
      <w:pPr>
        <w:spacing w:after="0" w:line="160" w:lineRule="exact"/>
        <w:rPr>
          <w:rFonts w:ascii="Arial" w:cs="Arial" w:eastAsia="Arial" w:hAnsi="Arial"/>
          <w:sz w:val="20"/>
          <w:szCs w:val="20"/>
          <w:color w:val="auto"/>
        </w:rPr>
      </w:pPr>
    </w:p>
    <w:p>
      <w:pPr>
        <w:jc w:val="both"/>
        <w:ind w:firstLine="656"/>
        <w:spacing w:after="0" w:line="320" w:lineRule="auto"/>
        <w:tabs>
          <w:tab w:leader="none" w:pos="1007" w:val="left"/>
        </w:tabs>
        <w:numPr>
          <w:ilvl w:val="0"/>
          <w:numId w:val="18"/>
        </w:numPr>
        <w:rPr>
          <w:rFonts w:ascii="Arial" w:cs="Arial" w:eastAsia="Arial" w:hAnsi="Arial"/>
          <w:sz w:val="18"/>
          <w:szCs w:val="18"/>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multiple counterparts, including both counterparts that are executed on paper and counterparts that are electronic records and executed electronically, and each such executed counterpart (and any copy of an executed counterpart that is an electronic record) shall be deemed an original of this Amendment.</w:t>
      </w:r>
    </w:p>
    <w:p>
      <w:pPr>
        <w:spacing w:after="0" w:line="125" w:lineRule="exact"/>
        <w:rPr>
          <w:rFonts w:ascii="Arial" w:cs="Arial" w:eastAsia="Arial" w:hAnsi="Arial"/>
          <w:sz w:val="18"/>
          <w:szCs w:val="18"/>
          <w:color w:val="auto"/>
        </w:rPr>
      </w:pPr>
    </w:p>
    <w:p>
      <w:pPr>
        <w:jc w:val="both"/>
        <w:ind w:firstLine="656"/>
        <w:spacing w:after="0" w:line="307" w:lineRule="auto"/>
        <w:tabs>
          <w:tab w:leader="none" w:pos="1142" w:val="left"/>
        </w:tabs>
        <w:numPr>
          <w:ilvl w:val="0"/>
          <w:numId w:val="18"/>
        </w:numPr>
        <w:rPr>
          <w:rFonts w:ascii="Arial" w:cs="Arial" w:eastAsia="Arial" w:hAnsi="Arial"/>
          <w:sz w:val="18"/>
          <w:szCs w:val="18"/>
          <w:color w:val="auto"/>
        </w:rPr>
      </w:pPr>
      <w:r>
        <w:rPr>
          <w:rFonts w:ascii="Arial" w:cs="Arial" w:eastAsia="Arial" w:hAnsi="Arial"/>
          <w:sz w:val="19"/>
          <w:szCs w:val="19"/>
          <w:u w:val="single" w:color="auto"/>
          <w:color w:val="auto"/>
        </w:rPr>
        <w:t>No Actions, Claims, Etc</w:t>
      </w:r>
      <w:r>
        <w:rPr>
          <w:rFonts w:ascii="Arial" w:cs="Arial" w:eastAsia="Arial" w:hAnsi="Arial"/>
          <w:sz w:val="19"/>
          <w:szCs w:val="19"/>
          <w:color w:val="auto"/>
        </w:rPr>
        <w:t>. As of the date hereof, the Borrower hereby acknowledges and confirms that it has no knowledge of any actions, causes of action, claims, demands, damages and liabilities of whatever kind or nature, in law or in equity, against the Bank or the Bank’s respective officers, employees, representatives, agents, counsel or directors arising from any action by such persons, or failure of such persons to act under the Agreement on or prior to the date hereof.</w:t>
      </w:r>
    </w:p>
    <w:p>
      <w:pPr>
        <w:spacing w:after="0" w:line="138" w:lineRule="exact"/>
        <w:rPr>
          <w:rFonts w:ascii="Arial" w:cs="Arial" w:eastAsia="Arial" w:hAnsi="Arial"/>
          <w:sz w:val="18"/>
          <w:szCs w:val="18"/>
          <w:color w:val="auto"/>
        </w:rPr>
      </w:pPr>
    </w:p>
    <w:p>
      <w:pPr>
        <w:jc w:val="both"/>
        <w:ind w:firstLine="656"/>
        <w:spacing w:after="0" w:line="260" w:lineRule="auto"/>
        <w:tabs>
          <w:tab w:leader="none" w:pos="1144" w:val="left"/>
        </w:tabs>
        <w:numPr>
          <w:ilvl w:val="0"/>
          <w:numId w:val="18"/>
        </w:numPr>
        <w:rPr>
          <w:rFonts w:ascii="Arial" w:cs="Arial" w:eastAsia="Arial" w:hAnsi="Arial"/>
          <w:sz w:val="19"/>
          <w:szCs w:val="19"/>
          <w:color w:val="auto"/>
        </w:rPr>
      </w:pPr>
      <w:r>
        <w:rPr>
          <w:rFonts w:ascii="Arial" w:cs="Arial" w:eastAsia="Arial" w:hAnsi="Arial"/>
          <w:sz w:val="21"/>
          <w:szCs w:val="21"/>
          <w:u w:val="single" w:color="auto"/>
          <w:color w:val="auto"/>
        </w:rPr>
        <w:t>General Release</w:t>
      </w:r>
      <w:r>
        <w:rPr>
          <w:rFonts w:ascii="Arial" w:cs="Arial" w:eastAsia="Arial" w:hAnsi="Arial"/>
          <w:sz w:val="21"/>
          <w:szCs w:val="21"/>
          <w:color w:val="auto"/>
        </w:rPr>
        <w:t>. In consideration of the Bank’s willingness to enter into this Amendment, the Borrower releases and forever discharges the Bank and the Bank’s respective predecessors, successors, assigns, officers, managers, directors, employees, agents, attorneys, representatives, and affiliates (hereinafter all of the above collectively referred to as the “</w:t>
      </w:r>
      <w:r>
        <w:rPr>
          <w:rFonts w:ascii="Arial" w:cs="Arial" w:eastAsia="Arial" w:hAnsi="Arial"/>
          <w:sz w:val="21"/>
          <w:szCs w:val="21"/>
          <w:u w:val="single" w:color="auto"/>
          <w:color w:val="auto"/>
        </w:rPr>
        <w:t>Bank Group</w:t>
      </w:r>
      <w:r>
        <w:rPr>
          <w:rFonts w:ascii="Arial" w:cs="Arial" w:eastAsia="Arial" w:hAnsi="Arial"/>
          <w:sz w:val="21"/>
          <w:szCs w:val="21"/>
          <w:color w:val="auto"/>
        </w:rPr>
        <w:t>”), from any and all claims, counterclaims, demands, damages, debts, suits, liabilities, actions and causes of action of any nature whatsoever, including, without limitation, all claims, demands, and causes of action for contribution and indemnity, whether arising at law or in equity, whether known or unknown, whether liability be direct or indirect, liquidated or unliquidated, whether absolute or contingent, foreseen or unforeseen, and whether or not heretofore asserted, which Borrower may have or claim to have against any of the Bank Group in any way related to or connected with the Agreement or other loan documents and the transactions contemplated thereby.</w:t>
      </w:r>
    </w:p>
    <w:p>
      <w:pPr>
        <w:spacing w:after="0" w:line="184" w:lineRule="exact"/>
        <w:rPr>
          <w:rFonts w:ascii="Arial" w:cs="Arial" w:eastAsia="Arial" w:hAnsi="Arial"/>
          <w:sz w:val="19"/>
          <w:szCs w:val="19"/>
          <w:color w:val="auto"/>
        </w:rPr>
      </w:pPr>
    </w:p>
    <w:p>
      <w:pPr>
        <w:ind w:firstLine="656"/>
        <w:spacing w:after="0" w:line="276" w:lineRule="auto"/>
        <w:tabs>
          <w:tab w:leader="none" w:pos="1103" w:val="left"/>
        </w:tabs>
        <w:numPr>
          <w:ilvl w:val="0"/>
          <w:numId w:val="18"/>
        </w:numPr>
        <w:rPr>
          <w:rFonts w:ascii="Arial" w:cs="Arial" w:eastAsia="Arial" w:hAnsi="Arial"/>
          <w:sz w:val="20"/>
          <w:szCs w:val="20"/>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Amendment shall be binding upon and inure to the benefit of the parties hereto and their respective successors and assigns.</w:t>
      </w:r>
    </w:p>
    <w:p>
      <w:pPr>
        <w:spacing w:after="0" w:line="160" w:lineRule="exact"/>
        <w:rPr>
          <w:rFonts w:ascii="Arial" w:cs="Arial" w:eastAsia="Arial" w:hAnsi="Arial"/>
          <w:sz w:val="20"/>
          <w:szCs w:val="20"/>
          <w:color w:val="auto"/>
        </w:rPr>
      </w:pPr>
    </w:p>
    <w:p>
      <w:pPr>
        <w:ind w:firstLine="656"/>
        <w:spacing w:after="0" w:line="276" w:lineRule="auto"/>
        <w:tabs>
          <w:tab w:leader="none" w:pos="1171" w:val="left"/>
        </w:tabs>
        <w:numPr>
          <w:ilvl w:val="0"/>
          <w:numId w:val="18"/>
        </w:numPr>
        <w:rPr>
          <w:rFonts w:ascii="Arial" w:cs="Arial" w:eastAsia="Arial" w:hAnsi="Arial"/>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SHALL BE CONSTRUED AND ENFORCED IN ACCORDANCE WITH THE LAWS OF THE STATE OF MISSOURI.</w:t>
      </w:r>
    </w:p>
    <w:p>
      <w:pPr>
        <w:spacing w:after="0" w:line="160" w:lineRule="exact"/>
        <w:rPr>
          <w:rFonts w:ascii="Arial" w:cs="Arial" w:eastAsia="Arial" w:hAnsi="Arial"/>
          <w:sz w:val="20"/>
          <w:szCs w:val="20"/>
          <w:color w:val="auto"/>
        </w:rPr>
      </w:pPr>
    </w:p>
    <w:p>
      <w:pPr>
        <w:ind w:firstLine="656"/>
        <w:spacing w:after="0" w:line="276" w:lineRule="auto"/>
        <w:tabs>
          <w:tab w:leader="none" w:pos="1103" w:val="left"/>
        </w:tabs>
        <w:numPr>
          <w:ilvl w:val="0"/>
          <w:numId w:val="18"/>
        </w:numPr>
        <w:rPr>
          <w:rFonts w:ascii="Arial" w:cs="Arial" w:eastAsia="Arial" w:hAnsi="Arial"/>
          <w:sz w:val="20"/>
          <w:szCs w:val="20"/>
          <w:color w:val="auto"/>
        </w:rPr>
      </w:pPr>
      <w:r>
        <w:rPr>
          <w:rFonts w:ascii="Arial" w:cs="Arial" w:eastAsia="Arial" w:hAnsi="Arial"/>
          <w:sz w:val="22"/>
          <w:szCs w:val="22"/>
          <w:u w:val="single" w:color="auto"/>
          <w:color w:val="auto"/>
        </w:rPr>
        <w:t>Venue and Jurisdiction; Waiver of Jury Trial</w:t>
      </w:r>
      <w:r>
        <w:rPr>
          <w:rFonts w:ascii="Arial" w:cs="Arial" w:eastAsia="Arial" w:hAnsi="Arial"/>
          <w:sz w:val="22"/>
          <w:szCs w:val="22"/>
          <w:color w:val="auto"/>
        </w:rPr>
        <w:t xml:space="preserve">. The venue and jurisdiction and waiver of jury trial provisions set forth in Sections 7.3 and 7.5 of the Agreement are hereby incorporated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54" w:lineRule="exact"/>
        <w:rPr>
          <w:rFonts w:ascii="Arial" w:cs="Arial" w:eastAsia="Arial" w:hAnsi="Arial"/>
          <w:sz w:val="20"/>
          <w:szCs w:val="20"/>
          <w:color w:val="auto"/>
        </w:rPr>
      </w:pPr>
    </w:p>
    <w:p>
      <w:pPr>
        <w:jc w:val="both"/>
        <w:ind w:firstLine="656"/>
        <w:spacing w:after="0" w:line="249" w:lineRule="auto"/>
        <w:tabs>
          <w:tab w:leader="none" w:pos="1144" w:val="left"/>
        </w:tabs>
        <w:numPr>
          <w:ilvl w:val="0"/>
          <w:numId w:val="18"/>
        </w:numPr>
        <w:rPr>
          <w:rFonts w:ascii="Arial" w:cs="Arial" w:eastAsia="Arial" w:hAnsi="Arial"/>
          <w:sz w:val="20"/>
          <w:szCs w:val="20"/>
          <w:color w:val="auto"/>
        </w:rPr>
      </w:pPr>
      <w:r>
        <w:rPr>
          <w:rFonts w:ascii="Arial" w:cs="Arial" w:eastAsia="Arial" w:hAnsi="Arial"/>
          <w:sz w:val="22"/>
          <w:szCs w:val="22"/>
          <w:b w:val="1"/>
          <w:bCs w:val="1"/>
          <w:color w:val="auto"/>
        </w:rPr>
        <w:t>ORAL OR UNEXECUTED AGREEMENTS OR COMMITMENTS TO LOAN MONEY, EXTEND CREDIT OR TO FORBEAR FROM ENFORCING REPAYMENT OF A DEBT INCLUDING PROMISES TO EXTEND OR RENEW SUCH DEBT ARE NOT ENFORCEABLE, REGARDLESS OF THE LEGAL THEORY UPON WHICH IT IS BASED THAT IS IN ANY WAY RELATED TO THE CREDIT AGREEMENT. TO PROTECT YOU (BORROWER(S)) AND US (CREDITOR) FROM MISUNDERSTANDING OR DISAPPOINTMENT, ANY AGREEMENTS WE REACH COVERING SUCH MATTERS ARE CONTAINED IN THIS WRITING, WHICH IS THE COMPLETE AND EXCLUSIVE STATEMENT OF THE AGREEMENT BETWEEN US, EXCEPT AS WE MAY LATER AGREE IN WRITING TO MODIFY IT.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is executed as of the date stated at the beginning of this Amendment.</w:t>
      </w:r>
    </w:p>
    <w:p>
      <w:pPr>
        <w:spacing w:after="0" w:line="260" w:lineRule="exact"/>
        <w:rPr>
          <w:sz w:val="20"/>
          <w:szCs w:val="20"/>
          <w:color w:val="auto"/>
        </w:rPr>
      </w:pPr>
    </w:p>
    <w:p>
      <w:pPr>
        <w:spacing w:after="0"/>
        <w:tabs>
          <w:tab w:leader="none" w:pos="2220" w:val="left"/>
        </w:tabs>
        <w:rPr>
          <w:sz w:val="20"/>
          <w:szCs w:val="20"/>
          <w:color w:val="auto"/>
        </w:rPr>
      </w:pPr>
      <w:r>
        <w:rPr>
          <w:rFonts w:ascii="Arial" w:cs="Arial" w:eastAsia="Arial" w:hAnsi="Arial"/>
          <w:sz w:val="22"/>
          <w:szCs w:val="22"/>
          <w:color w:val="auto"/>
        </w:rPr>
        <w:t>Bank of America, N.A.</w:t>
      </w:r>
      <w:r>
        <w:rPr>
          <w:sz w:val="20"/>
          <w:szCs w:val="20"/>
          <w:color w:val="auto"/>
        </w:rPr>
        <w:tab/>
      </w:r>
      <w:r>
        <w:rPr>
          <w:rFonts w:ascii="Arial" w:cs="Arial" w:eastAsia="Arial" w:hAnsi="Arial"/>
          <w:sz w:val="19"/>
          <w:szCs w:val="19"/>
          <w:color w:val="auto"/>
        </w:rPr>
        <w:t>Daktronics, Inc.</w:t>
      </w:r>
    </w:p>
    <w:p>
      <w:pPr>
        <w:spacing w:after="0" w:line="200" w:lineRule="exact"/>
        <w:rPr>
          <w:sz w:val="20"/>
          <w:szCs w:val="20"/>
          <w:color w:val="auto"/>
        </w:rPr>
      </w:pPr>
    </w:p>
    <w:p>
      <w:pPr>
        <w:spacing w:after="0" w:line="31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 Alok Jain</w:t>
      </w:r>
      <w:r>
        <w:rPr>
          <w:sz w:val="20"/>
          <w:szCs w:val="20"/>
          <w:color w:val="auto"/>
        </w:rPr>
        <w:tab/>
      </w:r>
      <w:r>
        <w:rPr>
          <w:rFonts w:ascii="Arial" w:cs="Arial" w:eastAsia="Arial" w:hAnsi="Arial"/>
          <w:sz w:val="19"/>
          <w:szCs w:val="19"/>
          <w:color w:val="auto"/>
        </w:rPr>
        <w:t>/s/ Reece A. Kurtenbach</w:t>
      </w:r>
    </w:p>
    <w:p>
      <w:pPr>
        <w:spacing w:after="0" w:line="22"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color w:val="auto"/>
        </w:rPr>
        <w:t>Name: Alok Jain</w:t>
      </w:r>
      <w:r>
        <w:rPr>
          <w:sz w:val="20"/>
          <w:szCs w:val="20"/>
          <w:color w:val="auto"/>
        </w:rPr>
        <w:tab/>
      </w:r>
      <w:r>
        <w:rPr>
          <w:rFonts w:ascii="Arial" w:cs="Arial" w:eastAsia="Arial" w:hAnsi="Arial"/>
          <w:sz w:val="19"/>
          <w:szCs w:val="19"/>
          <w:color w:val="auto"/>
        </w:rPr>
        <w:t>Name: Reece A. Kurtenbach</w:t>
      </w:r>
    </w:p>
    <w:p>
      <w:pPr>
        <w:spacing w:after="0" w:line="4"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Title: Senior Vice President</w:t>
      </w:r>
      <w:r>
        <w:rPr>
          <w:sz w:val="20"/>
          <w:szCs w:val="20"/>
          <w:color w:val="auto"/>
        </w:rPr>
        <w:tab/>
      </w:r>
      <w:r>
        <w:rPr>
          <w:rFonts w:ascii="Arial" w:cs="Arial" w:eastAsia="Arial" w:hAnsi="Arial"/>
          <w:sz w:val="19"/>
          <w:szCs w:val="19"/>
          <w:color w:val="auto"/>
        </w:rPr>
        <w:t>Title: Chief Executive Officer</w:t>
      </w: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Sheila M. Anderson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Sheila M. Anderson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420"/>
          </w:cols>
          <w:pgMar w:left="240" w:top="1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32" w:right="23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Subsidiaries of Company</w:t>
            </w:r>
          </w:p>
        </w:tc>
        <w:tc>
          <w:tcPr>
            <w:tcW w:w="22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554"/>
        </w:trPr>
        <w:tc>
          <w:tcPr>
            <w:tcW w:w="57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Subsidiary</w:t>
            </w: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18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Canada,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GmbH</w:t>
            </w:r>
          </w:p>
        </w:tc>
        <w:tc>
          <w:tcPr>
            <w:tcW w:w="56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UK,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Britain</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Shanghai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France SARL</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Australia Pty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Installation,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Dakota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Japan, Inc.</w:t>
            </w:r>
          </w:p>
        </w:tc>
        <w:tc>
          <w:tcPr>
            <w:tcW w:w="568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HK Limited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(International) Limited</w:t>
            </w:r>
          </w:p>
        </w:tc>
        <w:tc>
          <w:tcPr>
            <w:tcW w:w="5680" w:type="dxa"/>
            <w:vAlign w:val="bottom"/>
            <w:gridSpan w:val="2"/>
          </w:tcPr>
          <w:p>
            <w:pPr>
              <w:spacing w:after="0"/>
              <w:rPr>
                <w:sz w:val="20"/>
                <w:szCs w:val="20"/>
                <w:color w:val="auto"/>
              </w:rPr>
            </w:pPr>
            <w:r>
              <w:rPr>
                <w:rFonts w:ascii="Arial" w:cs="Arial" w:eastAsia="Arial" w:hAnsi="Arial"/>
                <w:sz w:val="18"/>
                <w:szCs w:val="18"/>
                <w:color w:val="auto"/>
              </w:rPr>
              <w:t>Macau</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Singapore Pte.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Spain S.L.</w:t>
            </w:r>
          </w:p>
        </w:tc>
        <w:tc>
          <w:tcPr>
            <w:tcW w:w="568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Brazil, Ltda.</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Belgium N.V.</w:t>
            </w:r>
          </w:p>
        </w:tc>
        <w:tc>
          <w:tcPr>
            <w:tcW w:w="568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Ireland Co.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Ireland</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Ireland Holdings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43"/>
        </w:trPr>
        <w:tc>
          <w:tcPr>
            <w:tcW w:w="5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ADFLOW Networks, Inc.</w:t>
            </w: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976" w:right="239" w:bottom="1440" w:gutter="0" w:footer="0" w:header="0"/>
        </w:sectPr>
      </w:pPr>
    </w:p>
    <w:bookmarkStart w:id="76" w:name="page77"/>
    <w:bookmarkEnd w:id="76"/>
    <w:p>
      <w:pPr>
        <w:ind w:left="10340"/>
        <w:spacing w:after="0"/>
        <w:rPr>
          <w:sz w:val="20"/>
          <w:szCs w:val="20"/>
          <w:color w:val="auto"/>
        </w:rPr>
      </w:pPr>
      <w:r>
        <w:rPr>
          <w:rFonts w:ascii="Arial" w:cs="Arial" w:eastAsia="Arial" w:hAnsi="Arial"/>
          <w:sz w:val="17"/>
          <w:szCs w:val="17"/>
          <w:color w:val="auto"/>
        </w:rPr>
        <w:t>EXHIBIT 23.1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 333-206750, 333-169568, 333-146768, 333-109962, 333-100842) and the Registration Statement on Form S-3 (No. 333-54006) of Daktronics, Inc., respectively, of our reports dated June 9, 2017, with respect to the consolidated financial statements and schedule of Daktronics, Inc., and the effectiveness of internal control over financial reporting of Daktronics, Inc. included in this Annual Report (Form 10-K) of Daktronics, Inc. for the year ended April 29,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2017</w:t>
      </w:r>
    </w:p>
    <w:p>
      <w:pPr>
        <w:sectPr>
          <w:pgSz w:w="11900" w:h="16838" w:orient="portrait"/>
          <w:cols w:equalWidth="0" w:num="1">
            <w:col w:w="11420"/>
          </w:cols>
          <w:pgMar w:left="240" w:top="58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each of Reece A. Kurtenbach and 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29, 2017,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ectPr>
          <w:pgSz w:w="11900" w:h="16838" w:orient="portrait"/>
          <w:cols w:equalWidth="0" w:num="1">
            <w:col w:w="11420"/>
          </w:cols>
          <w:pgMar w:left="240" w:top="58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3500" w:type="dxa"/>
            <w:vAlign w:val="bottom"/>
            <w:gridSpan w:val="9"/>
          </w:tcPr>
          <w:p>
            <w:pPr>
              <w:spacing w:after="0"/>
              <w:rPr>
                <w:sz w:val="20"/>
                <w:szCs w:val="20"/>
                <w:color w:val="auto"/>
              </w:rPr>
            </w:pPr>
            <w:r>
              <w:rPr>
                <w:rFonts w:ascii="Arial" w:cs="Arial" w:eastAsia="Arial" w:hAnsi="Arial"/>
                <w:sz w:val="18"/>
                <w:szCs w:val="18"/>
                <w:b w:val="1"/>
                <w:bCs w:val="1"/>
                <w:color w:val="auto"/>
              </w:rPr>
              <w:t>Signature</w:t>
            </w:r>
          </w:p>
        </w:tc>
        <w:tc>
          <w:tcPr>
            <w:tcW w:w="2880" w:type="dxa"/>
            <w:vAlign w:val="bottom"/>
          </w:tcPr>
          <w:p>
            <w:pPr>
              <w:ind w:left="1380"/>
              <w:spacing w:after="0"/>
              <w:rPr>
                <w:sz w:val="20"/>
                <w:szCs w:val="20"/>
                <w:color w:val="auto"/>
              </w:rPr>
            </w:pPr>
            <w:r>
              <w:rPr>
                <w:rFonts w:ascii="Arial" w:cs="Arial" w:eastAsia="Arial" w:hAnsi="Arial"/>
                <w:sz w:val="18"/>
                <w:szCs w:val="18"/>
                <w:b w:val="1"/>
                <w:bCs w:val="1"/>
                <w:color w:val="auto"/>
              </w:rPr>
              <w:t>Title</w:t>
            </w:r>
          </w:p>
        </w:tc>
        <w:tc>
          <w:tcPr>
            <w:tcW w:w="1800" w:type="dxa"/>
            <w:vAlign w:val="bottom"/>
          </w:tcPr>
          <w:p>
            <w:pPr>
              <w:ind w:left="880"/>
              <w:spacing w:after="0"/>
              <w:rPr>
                <w:sz w:val="20"/>
                <w:szCs w:val="20"/>
                <w:color w:val="auto"/>
              </w:rPr>
            </w:pPr>
            <w:r>
              <w:rPr>
                <w:rFonts w:ascii="Arial" w:cs="Arial" w:eastAsia="Arial" w:hAnsi="Arial"/>
                <w:sz w:val="18"/>
                <w:szCs w:val="18"/>
                <w:b w:val="1"/>
                <w:bCs w:val="1"/>
                <w:color w:val="auto"/>
              </w:rPr>
              <w:t>Date</w:t>
            </w:r>
          </w:p>
        </w:tc>
      </w:tr>
      <w:tr>
        <w:trPr>
          <w:trHeight w:val="729"/>
        </w:trPr>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By /s/ Byron J. Anderson</w:t>
            </w:r>
          </w:p>
        </w:tc>
        <w:tc>
          <w:tcPr>
            <w:tcW w:w="1640" w:type="dxa"/>
            <w:vAlign w:val="bottom"/>
            <w:gridSpan w:val="3"/>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9, 2017</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Byron J. Anderson</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By /s/ Robert G. Dutcher</w:t>
            </w:r>
          </w:p>
        </w:tc>
        <w:tc>
          <w:tcPr>
            <w:tcW w:w="1660" w:type="dxa"/>
            <w:vAlign w:val="bottom"/>
            <w:gridSpan w:val="4"/>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9, 2017</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Robert G. Dutcher</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By /s/ Nancy D. Frame</w:t>
            </w:r>
          </w:p>
        </w:tc>
        <w:tc>
          <w:tcPr>
            <w:tcW w:w="1800" w:type="dxa"/>
            <w:vAlign w:val="bottom"/>
            <w:gridSpan w:val="7"/>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9, 2017</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Nancy D. Frame</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20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2"/>
              </w:rPr>
              <w:t>By /s/ Reece A. Kurtenbach</w:t>
            </w:r>
          </w:p>
        </w:tc>
        <w:tc>
          <w:tcPr>
            <w:tcW w:w="1440" w:type="dxa"/>
            <w:vAlign w:val="bottom"/>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9, 2017</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Reece A. Kurtenbach</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By /s/ James B. Morgan</w:t>
            </w:r>
          </w:p>
        </w:tc>
        <w:tc>
          <w:tcPr>
            <w:tcW w:w="1720" w:type="dxa"/>
            <w:vAlign w:val="bottom"/>
            <w:gridSpan w:val="5"/>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9, 2017</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James B. Morgan</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By /s/ John L. Mulligan</w:t>
            </w:r>
          </w:p>
        </w:tc>
        <w:tc>
          <w:tcPr>
            <w:tcW w:w="1740" w:type="dxa"/>
            <w:vAlign w:val="bottom"/>
            <w:gridSpan w:val="6"/>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9, 2017</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John L. Mulligan</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3500" w:type="dxa"/>
            <w:vAlign w:val="bottom"/>
            <w:gridSpan w:val="9"/>
          </w:tcPr>
          <w:p>
            <w:pPr>
              <w:spacing w:after="0"/>
              <w:rPr>
                <w:sz w:val="20"/>
                <w:szCs w:val="20"/>
                <w:color w:val="auto"/>
              </w:rPr>
            </w:pPr>
            <w:r>
              <w:rPr>
                <w:rFonts w:ascii="Arial" w:cs="Arial" w:eastAsia="Arial" w:hAnsi="Arial"/>
                <w:sz w:val="18"/>
                <w:szCs w:val="18"/>
                <w:color w:val="auto"/>
              </w:rPr>
              <w:t>By /s/ John P. Friel</w:t>
            </w: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9, 2017</w:t>
            </w:r>
          </w:p>
        </w:tc>
      </w:tr>
      <w:tr>
        <w:trPr>
          <w:trHeight w:val="20"/>
        </w:trPr>
        <w:tc>
          <w:tcPr>
            <w:tcW w:w="1360" w:type="dxa"/>
            <w:vAlign w:val="bottom"/>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John P. Friel</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29"/>
        </w:trPr>
        <w:tc>
          <w:tcPr>
            <w:tcW w:w="19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2"/>
              </w:rPr>
              <w:t>By /s/ Kevin P. McDermott</w:t>
            </w:r>
          </w:p>
        </w:tc>
        <w:tc>
          <w:tcPr>
            <w:tcW w:w="1540" w:type="dxa"/>
            <w:vAlign w:val="bottom"/>
            <w:gridSpan w:val="2"/>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880"/>
              <w:spacing w:after="0"/>
              <w:rPr>
                <w:sz w:val="20"/>
                <w:szCs w:val="20"/>
                <w:color w:val="auto"/>
              </w:rPr>
            </w:pPr>
            <w:r>
              <w:rPr>
                <w:rFonts w:ascii="Arial" w:cs="Arial" w:eastAsia="Arial" w:hAnsi="Arial"/>
                <w:sz w:val="18"/>
                <w:szCs w:val="18"/>
                <w:color w:val="auto"/>
                <w:w w:val="86"/>
              </w:rPr>
              <w:t>June 9, 2017</w:t>
            </w:r>
          </w:p>
        </w:tc>
      </w:tr>
      <w:tr>
        <w:trPr>
          <w:trHeight w:val="291"/>
        </w:trPr>
        <w:tc>
          <w:tcPr>
            <w:tcW w:w="3500" w:type="dxa"/>
            <w:vAlign w:val="bottom"/>
            <w:gridSpan w:val="9"/>
          </w:tcPr>
          <w:p>
            <w:pPr>
              <w:ind w:left="580"/>
              <w:spacing w:after="0"/>
              <w:rPr>
                <w:sz w:val="20"/>
                <w:szCs w:val="20"/>
                <w:color w:val="auto"/>
              </w:rPr>
            </w:pPr>
            <w:r>
              <w:rPr>
                <w:rFonts w:ascii="Arial" w:cs="Arial" w:eastAsia="Arial" w:hAnsi="Arial"/>
                <w:sz w:val="18"/>
                <w:szCs w:val="18"/>
                <w:color w:val="auto"/>
              </w:rPr>
              <w:t>Kevin P. McDermott</w:t>
            </w:r>
          </w:p>
        </w:tc>
        <w:tc>
          <w:tcPr>
            <w:tcW w:w="28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0179"/>
          </w:cols>
          <w:pgMar w:left="280" w:top="742"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29, 2017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right="200" w:hanging="244"/>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June 9, 2017</w:t>
      </w:r>
    </w:p>
    <w:p>
      <w:pPr>
        <w:sectPr>
          <w:pgSz w:w="11900" w:h="16838" w:orient="portrait"/>
          <w:cols w:equalWidth="0" w:num="1">
            <w:col w:w="11420"/>
          </w:cols>
          <w:pgMar w:left="240" w:top="58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April 29, 2017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June 9, 2017</w:t>
      </w:r>
    </w:p>
    <w:p>
      <w:pPr>
        <w:sectPr>
          <w:pgSz w:w="11900" w:h="16838" w:orient="portrait"/>
          <w:cols w:equalWidth="0" w:num="1">
            <w:col w:w="11420"/>
          </w:cols>
          <w:pgMar w:left="240" w:top="58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April 29, 2017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June 9, 2017</w:t>
      </w:r>
    </w:p>
    <w:p>
      <w:pPr>
        <w:sectPr>
          <w:pgSz w:w="11900" w:h="16838" w:orient="portrait"/>
          <w:cols w:equalWidth="0" w:num="1">
            <w:col w:w="11420"/>
          </w:cols>
          <w:pgMar w:left="240" w:top="58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In connection with the Annual Report on Form 10-K of Daktronics, Inc. (the “Company”) for the annual period ended April 29, 2017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4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June 9, 2017</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lowerLetter"/>
      <w:start w:val="1"/>
    </w:lvl>
    <w:lvl w:ilvl="1">
      <w:lvlJc w:val="left"/>
      <w:lvlText w:val="(%2)"/>
      <w:numFmt w:val="lowerLetter"/>
      <w:start w:val="2"/>
    </w:lvl>
  </w:abstractNum>
  <w:abstractNum w:abstractNumId="11">
    <w:nsid w:val="25E45D32"/>
    <w:multiLevelType w:val="hybridMultilevel"/>
    <w:lvl w:ilvl="0">
      <w:lvlJc w:val="left"/>
      <w:lvlText w:val="%1"/>
      <w:numFmt w:val="decimal"/>
      <w:start w:val="10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lvl w:ilvl="1">
      <w:lvlJc w:val="left"/>
      <w:lvlText w:val="(%2)"/>
      <w:numFmt w:val="lowerLetter"/>
      <w:start w:val="1"/>
    </w:lvl>
  </w:abstractNum>
  <w:abstractNum w:abstractNumId="15">
    <w:nsid w:val="7C83E45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6">
    <w:nsid w:val="257130A3"/>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1"/>
    </w:lvl>
  </w:abstractNum>
  <w:abstractNum w:abstractNumId="17">
    <w:nsid w:val="62BBD95A"/>
    <w:multiLevelType w:val="hybridMultilevel"/>
    <w:lvl w:ilvl="0">
      <w:lvlJc w:val="left"/>
      <w:lvlText w:val="%1."/>
      <w:numFmt w:val="decimal"/>
      <w:start w:val="7"/>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2019-12-29T06:15:53Z</dcterms:created>
  <dcterms:modified xsi:type="dcterms:W3CDTF">2019-12-29T06:15:53Z</dcterms:modified>
</cp:coreProperties>
</file>