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10-Q</w:t>
      </w:r>
    </w:p>
    <w:p>
      <w:pPr>
        <w:spacing w:after="0" w:line="22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b w:val="1"/>
          <w:bCs w:val="1"/>
          <w:i w:val="1"/>
          <w:iCs w:val="1"/>
          <w:color w:val="auto"/>
        </w:rPr>
        <w:t>(Mark One)</w:t>
      </w:r>
    </w:p>
    <w:p>
      <w:pPr>
        <w:spacing w:after="0" w:line="227" w:lineRule="exact"/>
        <w:rPr>
          <w:sz w:val="24"/>
          <w:szCs w:val="24"/>
          <w:color w:val="auto"/>
        </w:rPr>
      </w:pPr>
    </w:p>
    <w:p>
      <w:pPr>
        <w:ind w:left="4660" w:right="2020" w:hanging="2452"/>
        <w:spacing w:after="0" w:line="528" w:lineRule="auto"/>
        <w:tabs>
          <w:tab w:leader="none" w:pos="262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left="4660" w:right="2120" w:hanging="2525"/>
        <w:spacing w:after="0" w:line="501" w:lineRule="auto"/>
        <w:tabs>
          <w:tab w:leader="none" w:pos="2327"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TRANSITION REPORT PURSUANT TO SECTION 13 OR 15(d) OF THE SECURITIES EXCHANGE ACT OF 1934</w:t>
      </w:r>
    </w:p>
    <w:p>
      <w:pPr>
        <w:ind w:left="39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 to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0-23246</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1" w:lineRule="exact"/>
        <w:rPr>
          <w:sz w:val="24"/>
          <w:szCs w:val="24"/>
          <w:color w:val="auto"/>
        </w:rPr>
      </w:pPr>
    </w:p>
    <w:tbl>
      <w:tblPr>
        <w:tblLayout w:type="fixed"/>
        <w:tblInd w:w="2380" w:type="dxa"/>
        <w:tblCellMar>
          <w:top w:w="0" w:type="dxa"/>
          <w:left w:w="0" w:type="dxa"/>
          <w:bottom w:w="0" w:type="dxa"/>
          <w:right w:w="0" w:type="dxa"/>
        </w:tblCellMar>
      </w:tblPr>
      <w:tr>
        <w:trPr>
          <w:trHeight w:val="218"/>
        </w:trPr>
        <w:tc>
          <w:tcPr>
            <w:tcW w:w="3380" w:type="dxa"/>
            <w:vAlign w:val="bottom"/>
          </w:tcPr>
          <w:p>
            <w:pPr>
              <w:jc w:val="center"/>
              <w:ind w:right="1152"/>
              <w:spacing w:after="0"/>
              <w:rPr>
                <w:sz w:val="20"/>
                <w:szCs w:val="20"/>
                <w:color w:val="auto"/>
              </w:rPr>
            </w:pPr>
            <w:r>
              <w:rPr>
                <w:rFonts w:ascii="Times New Roman" w:cs="Times New Roman" w:eastAsia="Times New Roman" w:hAnsi="Times New Roman"/>
                <w:sz w:val="18"/>
                <w:szCs w:val="18"/>
                <w:b w:val="1"/>
                <w:bCs w:val="1"/>
                <w:color w:val="auto"/>
                <w:w w:val="96"/>
              </w:rPr>
              <w:t>South Dakota</w:t>
            </w:r>
          </w:p>
        </w:tc>
        <w:tc>
          <w:tcPr>
            <w:tcW w:w="2880" w:type="dxa"/>
            <w:vAlign w:val="bottom"/>
          </w:tcPr>
          <w:p>
            <w:pPr>
              <w:jc w:val="center"/>
              <w:ind w:left="1152"/>
              <w:spacing w:after="0"/>
              <w:rPr>
                <w:sz w:val="20"/>
                <w:szCs w:val="20"/>
                <w:color w:val="auto"/>
              </w:rPr>
            </w:pPr>
            <w:r>
              <w:rPr>
                <w:rFonts w:ascii="Times New Roman" w:cs="Times New Roman" w:eastAsia="Times New Roman" w:hAnsi="Times New Roman"/>
                <w:sz w:val="18"/>
                <w:szCs w:val="18"/>
                <w:b w:val="1"/>
                <w:bCs w:val="1"/>
                <w:color w:val="auto"/>
                <w:w w:val="96"/>
              </w:rPr>
              <w:t>46-0306862</w:t>
            </w:r>
          </w:p>
        </w:tc>
      </w:tr>
      <w:tr>
        <w:trPr>
          <w:trHeight w:val="216"/>
        </w:trPr>
        <w:tc>
          <w:tcPr>
            <w:tcW w:w="3380" w:type="dxa"/>
            <w:vAlign w:val="bottom"/>
          </w:tcPr>
          <w:p>
            <w:pPr>
              <w:jc w:val="center"/>
              <w:ind w:right="1172"/>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2880" w:type="dxa"/>
            <w:vAlign w:val="bottom"/>
          </w:tcPr>
          <w:p>
            <w:pPr>
              <w:jc w:val="center"/>
              <w:ind w:left="115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3380" w:type="dxa"/>
            <w:vAlign w:val="bottom"/>
          </w:tcPr>
          <w:p>
            <w:pPr>
              <w:jc w:val="center"/>
              <w:ind w:right="1172"/>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2880" w:type="dxa"/>
            <w:vAlign w:val="bottom"/>
          </w:tcPr>
          <w:p>
            <w:pPr>
              <w:jc w:val="center"/>
              <w:ind w:left="1152"/>
              <w:spacing w:after="0"/>
              <w:rPr>
                <w:sz w:val="20"/>
                <w:szCs w:val="20"/>
                <w:color w:val="auto"/>
              </w:rPr>
            </w:pPr>
            <w:r>
              <w:rPr>
                <w:rFonts w:ascii="Times New Roman" w:cs="Times New Roman" w:eastAsia="Times New Roman" w:hAnsi="Times New Roman"/>
                <w:sz w:val="18"/>
                <w:szCs w:val="18"/>
                <w:color w:val="auto"/>
                <w:w w:val="98"/>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275590</wp:posOffset>
            </wp:positionV>
            <wp:extent cx="1406525" cy="866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6525" cy="866140"/>
                    </a:xfrm>
                    <a:prstGeom prst="rect">
                      <a:avLst/>
                    </a:prstGeom>
                    <a:noFill/>
                  </pic:spPr>
                </pic:pic>
              </a:graphicData>
            </a:graphic>
          </wp:anchor>
        </w:drawing>
      </w:r>
    </w:p>
    <w:p>
      <w:pPr>
        <w:sectPr>
          <w:pgSz w:w="11900" w:h="16838" w:orient="portrait"/>
          <w:cols w:equalWidth="0" w:num="1">
            <w:col w:w="11420"/>
          </w:cols>
          <w:pgMar w:left="240" w:top="623"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331 32nd Avenue</w:t>
      </w:r>
    </w:p>
    <w:p>
      <w:pPr>
        <w:spacing w:after="0" w:line="23"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Brookings, SD</w:t>
      </w:r>
    </w:p>
    <w:p>
      <w:pPr>
        <w:spacing w:after="0" w:line="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57006</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6600" w:space="300"/>
            <w:col w:w="4520"/>
          </w:cols>
          <w:pgMar w:left="240" w:top="623" w:right="239" w:bottom="0" w:gutter="0" w:footer="0" w:header="0"/>
          <w:type w:val="continuous"/>
        </w:sectPr>
      </w:pP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(605) 697-4000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3" w:lineRule="exact"/>
        <w:rPr>
          <w:sz w:val="24"/>
          <w:szCs w:val="24"/>
          <w:color w:val="auto"/>
        </w:rPr>
      </w:pPr>
    </w:p>
    <w:p>
      <w:pPr>
        <w:ind w:right="200"/>
        <w:spacing w:after="0" w:line="28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the past 90 days.</w:t>
      </w:r>
      <w:r>
        <w:rPr>
          <w:sz w:val="20"/>
          <w:szCs w:val="20"/>
          <w:color w:val="auto"/>
        </w:rPr>
        <w:tab/>
      </w:r>
      <w:r>
        <w:rPr>
          <w:rFonts w:ascii="Times New Roman" w:cs="Times New Roman" w:eastAsia="Times New Roman" w:hAnsi="Times New Roman"/>
          <w:sz w:val="18"/>
          <w:szCs w:val="18"/>
          <w:color w:val="auto"/>
        </w:rPr>
        <w:t>Yes [ X ] No [ ]</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Indicate by check mark whether the registrant is an accelerated filer (as defined in Rule 12b-2 of the Exchange Act).   Yes [ X] No [</w:t>
            </w:r>
          </w:p>
        </w:tc>
        <w:tc>
          <w:tcPr>
            <w:tcW w:w="2000" w:type="dxa"/>
            <w:vAlign w:val="bottom"/>
          </w:tcPr>
          <w:p>
            <w:pPr>
              <w:jc w:val="right"/>
              <w:ind w:right="1812"/>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Indicate by check mark whether the registrant is a shell company (as defined in Rule 12b-2 of the Exchange Act).  Yes [ ] No [ X ]</w:t>
            </w:r>
          </w:p>
        </w:tc>
        <w:tc>
          <w:tcPr>
            <w:tcW w:w="2000" w:type="dxa"/>
            <w:vAlign w:val="bottom"/>
          </w:tcPr>
          <w:p>
            <w:pPr>
              <w:spacing w:after="0"/>
              <w:rPr>
                <w:sz w:val="24"/>
                <w:szCs w:val="24"/>
                <w:color w:val="auto"/>
              </w:rPr>
            </w:pPr>
          </w:p>
        </w:tc>
      </w:tr>
      <w:tr>
        <w:trPr>
          <w:trHeight w:val="432"/>
        </w:trPr>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number of shares of the registrant’s common stock outstanding as of August 17, 2005 was 19,302,691.</w:t>
            </w:r>
          </w:p>
        </w:tc>
        <w:tc>
          <w:tcPr>
            <w:tcW w:w="2000" w:type="dxa"/>
            <w:vAlign w:val="bottom"/>
          </w:tcPr>
          <w:p>
            <w:pPr>
              <w:spacing w:after="0"/>
              <w:rPr>
                <w:sz w:val="24"/>
                <w:szCs w:val="24"/>
                <w:color w:val="auto"/>
              </w:rPr>
            </w:pPr>
          </w:p>
        </w:tc>
      </w:tr>
      <w:tr>
        <w:trPr>
          <w:trHeight w:val="215"/>
        </w:trPr>
        <w:tc>
          <w:tcPr>
            <w:tcW w:w="6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74"/>
        </w:trPr>
        <w:tc>
          <w:tcPr>
            <w:tcW w:w="640" w:type="dxa"/>
            <w:vAlign w:val="bottom"/>
            <w:shd w:val="clear" w:color="auto" w:fill="808080"/>
          </w:tcPr>
          <w:p>
            <w:pPr>
              <w:spacing w:after="0"/>
              <w:rPr>
                <w:sz w:val="6"/>
                <w:szCs w:val="6"/>
                <w:color w:val="auto"/>
              </w:rPr>
            </w:pPr>
          </w:p>
        </w:tc>
        <w:tc>
          <w:tcPr>
            <w:tcW w:w="5100" w:type="dxa"/>
            <w:vAlign w:val="bottom"/>
            <w:shd w:val="clear" w:color="auto" w:fill="808080"/>
          </w:tcPr>
          <w:p>
            <w:pPr>
              <w:spacing w:after="0"/>
              <w:rPr>
                <w:sz w:val="6"/>
                <w:szCs w:val="6"/>
                <w:color w:val="auto"/>
              </w:rPr>
            </w:pPr>
          </w:p>
        </w:tc>
        <w:tc>
          <w:tcPr>
            <w:tcW w:w="3680" w:type="dxa"/>
            <w:vAlign w:val="bottom"/>
            <w:shd w:val="clear" w:color="auto" w:fill="808080"/>
          </w:tcPr>
          <w:p>
            <w:pPr>
              <w:spacing w:after="0"/>
              <w:rPr>
                <w:sz w:val="6"/>
                <w:szCs w:val="6"/>
                <w:color w:val="auto"/>
              </w:rPr>
            </w:pPr>
          </w:p>
        </w:tc>
        <w:tc>
          <w:tcPr>
            <w:tcW w:w="2000" w:type="dxa"/>
            <w:vAlign w:val="bottom"/>
            <w:shd w:val="clear" w:color="auto" w:fill="808080"/>
          </w:tcPr>
          <w:p>
            <w:pPr>
              <w:spacing w:after="0"/>
              <w:rPr>
                <w:sz w:val="6"/>
                <w:szCs w:val="6"/>
                <w:color w:val="auto"/>
              </w:rPr>
            </w:pPr>
          </w:p>
        </w:tc>
      </w:tr>
      <w:tr>
        <w:trPr>
          <w:trHeight w:val="415"/>
        </w:trPr>
        <w:tc>
          <w:tcPr>
            <w:tcW w:w="640" w:type="dxa"/>
            <w:vAlign w:val="bottom"/>
          </w:tcPr>
          <w:p>
            <w:pPr>
              <w:spacing w:after="0"/>
              <w:rPr>
                <w:sz w:val="24"/>
                <w:szCs w:val="24"/>
                <w:color w:val="auto"/>
              </w:rPr>
            </w:pPr>
          </w:p>
        </w:tc>
        <w:tc>
          <w:tcPr>
            <w:tcW w:w="8780" w:type="dxa"/>
            <w:vAlign w:val="bottom"/>
            <w:gridSpan w:val="2"/>
          </w:tcPr>
          <w:p>
            <w:pPr>
              <w:jc w:val="center"/>
              <w:ind w:left="1272"/>
              <w:spacing w:after="0"/>
              <w:rPr>
                <w:sz w:val="20"/>
                <w:szCs w:val="20"/>
                <w:color w:val="auto"/>
              </w:rPr>
            </w:pPr>
            <w:r>
              <w:rPr>
                <w:rFonts w:ascii="Times New Roman" w:cs="Times New Roman" w:eastAsia="Times New Roman" w:hAnsi="Times New Roman"/>
                <w:sz w:val="18"/>
                <w:szCs w:val="18"/>
                <w:b w:val="1"/>
                <w:bCs w:val="1"/>
                <w:color w:val="auto"/>
                <w:w w:val="97"/>
              </w:rPr>
              <w:t>DAKTRONICS, INC. AND SUBSIDIARIES</w:t>
            </w:r>
          </w:p>
        </w:tc>
        <w:tc>
          <w:tcPr>
            <w:tcW w:w="200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8780" w:type="dxa"/>
            <w:vAlign w:val="bottom"/>
            <w:gridSpan w:val="2"/>
          </w:tcPr>
          <w:p>
            <w:pPr>
              <w:jc w:val="center"/>
              <w:ind w:left="1272"/>
              <w:spacing w:after="0"/>
              <w:rPr>
                <w:sz w:val="20"/>
                <w:szCs w:val="20"/>
                <w:color w:val="auto"/>
              </w:rPr>
            </w:pPr>
            <w:r>
              <w:rPr>
                <w:rFonts w:ascii="Times New Roman" w:cs="Times New Roman" w:eastAsia="Times New Roman" w:hAnsi="Times New Roman"/>
                <w:sz w:val="18"/>
                <w:szCs w:val="18"/>
                <w:color w:val="auto"/>
                <w:w w:val="97"/>
              </w:rPr>
              <w:t>FORM 10-Q</w:t>
            </w:r>
          </w:p>
        </w:tc>
        <w:tc>
          <w:tcPr>
            <w:tcW w:w="2000" w:type="dxa"/>
            <w:vAlign w:val="bottom"/>
          </w:tcPr>
          <w:p>
            <w:pPr>
              <w:spacing w:after="0"/>
              <w:rPr>
                <w:sz w:val="18"/>
                <w:szCs w:val="18"/>
                <w:color w:val="auto"/>
              </w:rPr>
            </w:pPr>
          </w:p>
        </w:tc>
      </w:tr>
      <w:tr>
        <w:trPr>
          <w:trHeight w:val="228"/>
        </w:trPr>
        <w:tc>
          <w:tcPr>
            <w:tcW w:w="640" w:type="dxa"/>
            <w:vAlign w:val="bottom"/>
          </w:tcPr>
          <w:p>
            <w:pPr>
              <w:spacing w:after="0"/>
              <w:rPr>
                <w:sz w:val="19"/>
                <w:szCs w:val="19"/>
                <w:color w:val="auto"/>
              </w:rPr>
            </w:pPr>
          </w:p>
        </w:tc>
        <w:tc>
          <w:tcPr>
            <w:tcW w:w="8780" w:type="dxa"/>
            <w:vAlign w:val="bottom"/>
            <w:gridSpan w:val="2"/>
          </w:tcPr>
          <w:p>
            <w:pPr>
              <w:jc w:val="center"/>
              <w:ind w:left="1272"/>
              <w:spacing w:after="0"/>
              <w:rPr>
                <w:sz w:val="20"/>
                <w:szCs w:val="20"/>
                <w:color w:val="auto"/>
              </w:rPr>
            </w:pPr>
            <w:r>
              <w:rPr>
                <w:rFonts w:ascii="Times New Roman" w:cs="Times New Roman" w:eastAsia="Times New Roman" w:hAnsi="Times New Roman"/>
                <w:sz w:val="18"/>
                <w:szCs w:val="18"/>
                <w:color w:val="auto"/>
                <w:w w:val="97"/>
              </w:rPr>
              <w:t>For the Quarter Ended July 30, 2005</w:t>
            </w:r>
          </w:p>
        </w:tc>
        <w:tc>
          <w:tcPr>
            <w:tcW w:w="2000" w:type="dxa"/>
            <w:vAlign w:val="bottom"/>
          </w:tcPr>
          <w:p>
            <w:pPr>
              <w:spacing w:after="0"/>
              <w:rPr>
                <w:sz w:val="19"/>
                <w:szCs w:val="19"/>
                <w:color w:val="auto"/>
              </w:rPr>
            </w:pPr>
          </w:p>
        </w:tc>
      </w:tr>
      <w:tr>
        <w:trPr>
          <w:trHeight w:val="432"/>
        </w:trPr>
        <w:tc>
          <w:tcPr>
            <w:tcW w:w="640" w:type="dxa"/>
            <w:vAlign w:val="bottom"/>
          </w:tcPr>
          <w:p>
            <w:pPr>
              <w:spacing w:after="0"/>
              <w:rPr>
                <w:sz w:val="24"/>
                <w:szCs w:val="24"/>
                <w:color w:val="auto"/>
              </w:rPr>
            </w:pPr>
          </w:p>
        </w:tc>
        <w:tc>
          <w:tcPr>
            <w:tcW w:w="8780" w:type="dxa"/>
            <w:vAlign w:val="bottom"/>
            <w:gridSpan w:val="2"/>
          </w:tcPr>
          <w:p>
            <w:pPr>
              <w:jc w:val="center"/>
              <w:ind w:left="1292"/>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000" w:type="dxa"/>
            <w:vAlign w:val="bottom"/>
          </w:tcPr>
          <w:p>
            <w:pPr>
              <w:spacing w:after="0"/>
              <w:rPr>
                <w:sz w:val="24"/>
                <w:szCs w:val="24"/>
                <w:color w:val="auto"/>
              </w:rPr>
            </w:pPr>
          </w:p>
        </w:tc>
      </w:tr>
      <w:tr>
        <w:trPr>
          <w:trHeight w:val="420"/>
        </w:trPr>
        <w:tc>
          <w:tcPr>
            <w:tcW w:w="6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Page</w:t>
            </w:r>
          </w:p>
        </w:tc>
      </w:tr>
      <w:tr>
        <w:trPr>
          <w:trHeight w:val="190"/>
        </w:trPr>
        <w:tc>
          <w:tcPr>
            <w:tcW w:w="640" w:type="dxa"/>
            <w:vAlign w:val="bottom"/>
          </w:tcPr>
          <w:p>
            <w:pPr>
              <w:spacing w:after="0"/>
              <w:rPr>
                <w:sz w:val="16"/>
                <w:szCs w:val="16"/>
                <w:color w:val="auto"/>
              </w:rPr>
            </w:pPr>
          </w:p>
        </w:tc>
        <w:tc>
          <w:tcPr>
            <w:tcW w:w="8780" w:type="dxa"/>
            <w:vAlign w:val="bottom"/>
            <w:gridSpan w:val="2"/>
          </w:tcPr>
          <w:p>
            <w:pPr>
              <w:spacing w:after="0" w:line="190" w:lineRule="exact"/>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SPECIAL NOTE REGARDING FORWARD LOOKING STATEMENT</w:t>
              </w:r>
            </w:hyperlink>
          </w:p>
        </w:tc>
        <w:tc>
          <w:tcPr>
            <w:tcW w:w="2000" w:type="dxa"/>
            <w:vAlign w:val="bottom"/>
          </w:tcPr>
          <w:p>
            <w:pPr>
              <w:jc w:val="right"/>
              <w:ind w:right="1152"/>
              <w:spacing w:after="0" w:line="190"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640" w:type="dxa"/>
            <w:vAlign w:val="bottom"/>
          </w:tcPr>
          <w:p>
            <w:pPr>
              <w:spacing w:after="0" w:line="20" w:lineRule="exact"/>
              <w:rPr>
                <w:sz w:val="1"/>
                <w:szCs w:val="1"/>
                <w:color w:val="auto"/>
              </w:rPr>
            </w:pPr>
          </w:p>
        </w:tc>
        <w:tc>
          <w:tcPr>
            <w:tcW w:w="5100" w:type="dxa"/>
            <w:vAlign w:val="bottom"/>
            <w:shd w:val="clear" w:color="auto" w:fill="0000E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ectPr>
          <w:pgSz w:w="11900" w:h="16838" w:orient="portrait"/>
          <w:cols w:equalWidth="0" w:num="1">
            <w:col w:w="11420"/>
          </w:cols>
          <w:pgMar w:left="240" w:top="623" w:right="239" w:bottom="0" w:gutter="0" w:footer="0" w:header="0"/>
          <w:type w:val="continuous"/>
        </w:sectPr>
      </w:pPr>
    </w:p>
    <w:bookmarkStart w:id="1" w:name="page2"/>
    <w:bookmarkEnd w:id="1"/>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8260" w:type="dxa"/>
            <w:vAlign w:val="bottom"/>
            <w:gridSpan w:val="20"/>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PART I. FINANCIAL INFORMATION</w:t>
              </w:r>
            </w:hyperlink>
          </w:p>
        </w:tc>
        <w:tc>
          <w:tcPr>
            <w:tcW w:w="1280" w:type="dxa"/>
            <w:vAlign w:val="bottom"/>
          </w:tcPr>
          <w:p>
            <w:pPr>
              <w:spacing w:after="0"/>
              <w:rPr>
                <w:sz w:val="17"/>
                <w:szCs w:val="17"/>
                <w:color w:val="auto"/>
              </w:rPr>
            </w:pPr>
          </w:p>
        </w:tc>
      </w:tr>
      <w:tr>
        <w:trPr>
          <w:trHeight w:val="196"/>
        </w:trPr>
        <w:tc>
          <w:tcPr>
            <w:tcW w:w="28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2">
              <w:r>
                <w:rPr>
                  <w:rFonts w:ascii="Times New Roman" w:cs="Times New Roman" w:eastAsia="Times New Roman" w:hAnsi="Times New Roman"/>
                  <w:sz w:val="18"/>
                  <w:szCs w:val="18"/>
                  <w:color w:val="0000EE"/>
                  <w:w w:val="97"/>
                </w:rPr>
                <w:t>ITEM 1. FINANCIAL STATEMENTS</w:t>
              </w:r>
            </w:hyperlink>
          </w:p>
        </w:tc>
        <w:tc>
          <w:tcPr>
            <w:tcW w:w="240" w:type="dxa"/>
            <w:vAlign w:val="bottom"/>
            <w:tcBorders>
              <w:top w:val="single" w:sz="8" w:color="0000EE"/>
            </w:tcBorders>
          </w:tcPr>
          <w:p>
            <w:pPr>
              <w:spacing w:after="0"/>
              <w:rPr>
                <w:sz w:val="17"/>
                <w:szCs w:val="17"/>
                <w:color w:val="auto"/>
              </w:rPr>
            </w:pPr>
          </w:p>
        </w:tc>
        <w:tc>
          <w:tcPr>
            <w:tcW w:w="5220" w:type="dxa"/>
            <w:vAlign w:val="bottom"/>
            <w:gridSpan w:val="12"/>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61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6"/>
              </w:rPr>
            </w:pPr>
            <w:hyperlink w:anchor="page2">
              <w:r>
                <w:rPr>
                  <w:rFonts w:ascii="Times New Roman" w:cs="Times New Roman" w:eastAsia="Times New Roman" w:hAnsi="Times New Roman"/>
                  <w:sz w:val="18"/>
                  <w:szCs w:val="18"/>
                  <w:color w:val="0000EE"/>
                  <w:w w:val="96"/>
                </w:rPr>
                <w:t>CONSOLIDATED BALANCE SHEETS AS OF JULY 30, 2005 AND APRIL 30, 2005</w:t>
              </w:r>
            </w:hyperlink>
          </w:p>
        </w:tc>
        <w:tc>
          <w:tcPr>
            <w:tcW w:w="132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760" w:type="dxa"/>
            <w:vAlign w:val="bottom"/>
          </w:tcPr>
          <w:p>
            <w:pPr>
              <w:spacing w:after="0"/>
              <w:rPr>
                <w:sz w:val="17"/>
                <w:szCs w:val="17"/>
                <w:color w:val="auto"/>
              </w:rPr>
            </w:pPr>
          </w:p>
        </w:tc>
        <w:tc>
          <w:tcPr>
            <w:tcW w:w="56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CONSOLIDATED STATEMENTS OF INCOME FOR THE THREE MONTHS</w:t>
              </w:r>
            </w:hyperlink>
          </w:p>
        </w:tc>
        <w:tc>
          <w:tcPr>
            <w:tcW w:w="1840" w:type="dxa"/>
            <w:vAlign w:val="bottom"/>
            <w:gridSpan w:val="5"/>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20" w:type="dxa"/>
            <w:vAlign w:val="bottom"/>
            <w:gridSpan w:val="17"/>
          </w:tcPr>
          <w:p>
            <w:pPr>
              <w:jc w:val="center"/>
              <w:ind w:right="4040"/>
              <w:spacing w:after="0" w:line="196" w:lineRule="exact"/>
              <w:rPr>
                <w:rFonts w:ascii="Times New Roman" w:cs="Times New Roman" w:eastAsia="Times New Roman" w:hAnsi="Times New Roman"/>
                <w:sz w:val="18"/>
                <w:szCs w:val="18"/>
                <w:color w:val="0000EE"/>
                <w:w w:val="94"/>
              </w:rPr>
            </w:pPr>
            <w:hyperlink w:anchor="page4">
              <w:r>
                <w:rPr>
                  <w:rFonts w:ascii="Times New Roman" w:cs="Times New Roman" w:eastAsia="Times New Roman" w:hAnsi="Times New Roman"/>
                  <w:sz w:val="18"/>
                  <w:szCs w:val="18"/>
                  <w:color w:val="0000EE"/>
                  <w:w w:val="94"/>
                </w:rPr>
                <w:t>ENDED JULY 30, 2005 AND JULY 31, 2003</w:t>
              </w:r>
            </w:hyperlink>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7500" w:type="dxa"/>
            <w:vAlign w:val="bottom"/>
            <w:gridSpan w:val="19"/>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CASH FLOWS FOR THE THREE MONTHS</w:t>
              </w:r>
            </w:hyperlink>
          </w:p>
        </w:tc>
        <w:tc>
          <w:tcPr>
            <w:tcW w:w="12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880" w:type="dxa"/>
            <w:vAlign w:val="bottom"/>
            <w:tcBorders>
              <w:top w:val="single" w:sz="8" w:color="0000EE"/>
            </w:tcBorders>
            <w:gridSpan w:val="16"/>
          </w:tcPr>
          <w:p>
            <w:pPr>
              <w:jc w:val="center"/>
              <w:ind w:right="2560"/>
              <w:spacing w:after="0" w:line="196" w:lineRule="exact"/>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ENDED JULY 30, 2005 AND JULY 31, 20043</w:t>
              </w:r>
            </w:hyperlink>
          </w:p>
        </w:tc>
        <w:tc>
          <w:tcPr>
            <w:tcW w:w="1440" w:type="dxa"/>
            <w:vAlign w:val="bottom"/>
            <w:gridSpan w:val="2"/>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7500" w:type="dxa"/>
            <w:vAlign w:val="bottom"/>
            <w:gridSpan w:val="19"/>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NOTES TO THE CONSOLIDATED FINANCIAL STATEMENTS</w:t>
              </w:r>
            </w:hyperlink>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39"/>
        </w:trPr>
        <w:tc>
          <w:tcPr>
            <w:tcW w:w="82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ITEM 2. MANAGEMENT'S DISCUSSION AND ANALYSIS OF FINANCIAL CONDITION AND RESULTS OF</w:t>
              </w:r>
            </w:hyperlink>
          </w:p>
        </w:tc>
        <w:tc>
          <w:tcPr>
            <w:tcW w:w="1280" w:type="dxa"/>
            <w:vAlign w:val="bottom"/>
          </w:tcPr>
          <w:p>
            <w:pPr>
              <w:spacing w:after="0"/>
              <w:rPr>
                <w:sz w:val="24"/>
                <w:szCs w:val="24"/>
                <w:color w:val="auto"/>
              </w:rPr>
            </w:pPr>
          </w:p>
        </w:tc>
      </w:tr>
      <w:tr>
        <w:trPr>
          <w:trHeight w:val="196"/>
        </w:trPr>
        <w:tc>
          <w:tcPr>
            <w:tcW w:w="8260" w:type="dxa"/>
            <w:vAlign w:val="bottom"/>
            <w:gridSpan w:val="20"/>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OPERATIONS</w:t>
              </w:r>
            </w:hyperlink>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67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w:anchor="page14">
              <w:r>
                <w:rPr>
                  <w:rFonts w:ascii="Times New Roman" w:cs="Times New Roman" w:eastAsia="Times New Roman" w:hAnsi="Times New Roman"/>
                  <w:sz w:val="18"/>
                  <w:szCs w:val="18"/>
                  <w:color w:val="0000EE"/>
                  <w:w w:val="97"/>
                </w:rPr>
                <w:t>ITEM 3. QUANTITATIVE AND QUALITATIVE DISCLOSURES ABOUT MARKET RISK</w:t>
              </w:r>
            </w:hyperlink>
          </w:p>
        </w:tc>
        <w:tc>
          <w:tcPr>
            <w:tcW w:w="1560" w:type="dxa"/>
            <w:vAlign w:val="bottom"/>
            <w:gridSpan w:val="3"/>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32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15">
              <w:r>
                <w:rPr>
                  <w:rFonts w:ascii="Times New Roman" w:cs="Times New Roman" w:eastAsia="Times New Roman" w:hAnsi="Times New Roman"/>
                  <w:sz w:val="18"/>
                  <w:szCs w:val="18"/>
                  <w:color w:val="0000EE"/>
                  <w:w w:val="98"/>
                </w:rPr>
                <w:t>ITEM 4. CONTROLS AND PROCEDURES</w:t>
              </w:r>
            </w:hyperlink>
          </w:p>
        </w:tc>
        <w:tc>
          <w:tcPr>
            <w:tcW w:w="5020" w:type="dxa"/>
            <w:vAlign w:val="bottom"/>
            <w:gridSpan w:val="11"/>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439"/>
        </w:trPr>
        <w:tc>
          <w:tcPr>
            <w:tcW w:w="8260" w:type="dxa"/>
            <w:vAlign w:val="bottom"/>
            <w:gridSpan w:val="20"/>
          </w:tcPr>
          <w:p>
            <w:pPr>
              <w:spacing w:after="0"/>
              <w:rPr>
                <w:rFonts w:ascii="Times New Roman" w:cs="Times New Roman" w:eastAsia="Times New Roman" w:hAnsi="Times New Roman"/>
                <w:sz w:val="18"/>
                <w:szCs w:val="18"/>
                <w:b w:val="1"/>
                <w:bCs w:val="1"/>
                <w:color w:val="0000EE"/>
              </w:rPr>
            </w:pPr>
            <w:hyperlink w:anchor="page15">
              <w:r>
                <w:rPr>
                  <w:rFonts w:ascii="Times New Roman" w:cs="Times New Roman" w:eastAsia="Times New Roman" w:hAnsi="Times New Roman"/>
                  <w:sz w:val="18"/>
                  <w:szCs w:val="18"/>
                  <w:b w:val="1"/>
                  <w:bCs w:val="1"/>
                  <w:color w:val="0000EE"/>
                </w:rPr>
                <w:t>PART II. OTHER INFORMATION</w:t>
              </w:r>
            </w:hyperlink>
          </w:p>
        </w:tc>
        <w:tc>
          <w:tcPr>
            <w:tcW w:w="1280" w:type="dxa"/>
            <w:vAlign w:val="bottom"/>
          </w:tcPr>
          <w:p>
            <w:pPr>
              <w:spacing w:after="0"/>
              <w:rPr>
                <w:sz w:val="24"/>
                <w:szCs w:val="24"/>
                <w:color w:val="auto"/>
              </w:rPr>
            </w:pPr>
          </w:p>
        </w:tc>
      </w:tr>
      <w:tr>
        <w:trPr>
          <w:trHeight w:val="196"/>
        </w:trPr>
        <w:tc>
          <w:tcPr>
            <w:tcW w:w="25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ITEM 1. LEGAL PROCEEDINGS</w:t>
              </w:r>
            </w:hyperlink>
          </w:p>
        </w:tc>
        <w:tc>
          <w:tcPr>
            <w:tcW w:w="160" w:type="dxa"/>
            <w:vAlign w:val="bottom"/>
            <w:tcBorders>
              <w:top w:val="single" w:sz="8" w:color="0000EE"/>
            </w:tcBorders>
          </w:tcPr>
          <w:p>
            <w:pPr>
              <w:spacing w:after="0"/>
              <w:rPr>
                <w:sz w:val="17"/>
                <w:szCs w:val="17"/>
                <w:color w:val="auto"/>
              </w:rPr>
            </w:pPr>
          </w:p>
        </w:tc>
        <w:tc>
          <w:tcPr>
            <w:tcW w:w="5560" w:type="dxa"/>
            <w:vAlign w:val="bottom"/>
            <w:gridSpan w:val="14"/>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8260" w:type="dxa"/>
            <w:vAlign w:val="bottom"/>
            <w:gridSpan w:val="20"/>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ITEM 2. UNREGISTERED SALES OF EQUITY SECURITIES AND USE OF PROCEEDS</w:t>
              </w:r>
            </w:hyperlink>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37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ITEM 3. DEFAULTS UPON SENIOR SECURITES</w:t>
              </w:r>
            </w:hyperlink>
          </w:p>
        </w:tc>
        <w:tc>
          <w:tcPr>
            <w:tcW w:w="2860" w:type="dxa"/>
            <w:vAlign w:val="bottom"/>
            <w:tcBorders>
              <w:top w:val="single" w:sz="8" w:color="0000EE"/>
            </w:tcBorders>
            <w:gridSpan w:val="6"/>
          </w:tcPr>
          <w:p>
            <w:pPr>
              <w:spacing w:after="0"/>
              <w:rPr>
                <w:sz w:val="17"/>
                <w:szCs w:val="17"/>
                <w:color w:val="auto"/>
              </w:rPr>
            </w:pPr>
          </w:p>
        </w:tc>
        <w:tc>
          <w:tcPr>
            <w:tcW w:w="1640" w:type="dxa"/>
            <w:vAlign w:val="bottom"/>
            <w:gridSpan w:val="4"/>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58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ITEM 4. SUBMISSION OF MATTERS TO A VOTE OF SECURITY HOLDERS</w:t>
              </w:r>
            </w:hyperlink>
          </w:p>
        </w:tc>
        <w:tc>
          <w:tcPr>
            <w:tcW w:w="2400" w:type="dxa"/>
            <w:vAlign w:val="bottom"/>
            <w:gridSpan w:val="6"/>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8260" w:type="dxa"/>
            <w:vAlign w:val="bottom"/>
            <w:gridSpan w:val="20"/>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ITEM 5. OTHER INFORMATION</w:t>
              </w:r>
            </w:hyperlink>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254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ITEM 6. EXHIBITS</w:t>
              </w:r>
            </w:hyperlink>
          </w:p>
        </w:tc>
        <w:tc>
          <w:tcPr>
            <w:tcW w:w="5720" w:type="dxa"/>
            <w:vAlign w:val="bottom"/>
            <w:gridSpan w:val="15"/>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412"/>
        </w:trPr>
        <w:tc>
          <w:tcPr>
            <w:tcW w:w="1500" w:type="dxa"/>
            <w:vAlign w:val="bottom"/>
            <w:tcBorders>
              <w:top w:val="single" w:sz="8" w:color="0000EE"/>
            </w:tcBorders>
            <w:gridSpan w:val="4"/>
          </w:tcPr>
          <w:p>
            <w:pPr>
              <w:spacing w:after="0"/>
              <w:rPr>
                <w:rFonts w:ascii="Times New Roman" w:cs="Times New Roman" w:eastAsia="Times New Roman" w:hAnsi="Times New Roman"/>
                <w:sz w:val="18"/>
                <w:szCs w:val="18"/>
                <w:b w:val="1"/>
                <w:bCs w:val="1"/>
                <w:color w:val="0000EE"/>
              </w:rPr>
            </w:pPr>
            <w:hyperlink w:anchor="page16">
              <w:r>
                <w:rPr>
                  <w:rFonts w:ascii="Times New Roman" w:cs="Times New Roman" w:eastAsia="Times New Roman" w:hAnsi="Times New Roman"/>
                  <w:sz w:val="18"/>
                  <w:szCs w:val="18"/>
                  <w:b w:val="1"/>
                  <w:bCs w:val="1"/>
                  <w:color w:val="0000EE"/>
                </w:rPr>
                <w:t>SIGNATURE</w:t>
              </w:r>
            </w:hyperlink>
          </w:p>
        </w:tc>
        <w:tc>
          <w:tcPr>
            <w:tcW w:w="6760" w:type="dxa"/>
            <w:vAlign w:val="bottom"/>
            <w:gridSpan w:val="16"/>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7"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18"/>
          <w:szCs w:val="18"/>
          <w:u w:val="single" w:color="auto"/>
          <w:color w:val="0000EE"/>
        </w:rPr>
        <w:t>Ex. 31.1</w:t>
      </w:r>
      <w:r>
        <w:rPr>
          <w:sz w:val="20"/>
          <w:szCs w:val="20"/>
          <w:color w:val="auto"/>
        </w:rPr>
        <w:tab/>
      </w:r>
      <w:r>
        <w:rPr>
          <w:rFonts w:ascii="Times New Roman" w:cs="Times New Roman" w:eastAsia="Times New Roman" w:hAnsi="Times New Roman"/>
          <w:sz w:val="16"/>
          <w:szCs w:val="16"/>
          <w:color w:val="auto"/>
        </w:rPr>
        <w:t>CERTIFICATION OF THE CHIEF EXECUTIVE OFFICER REQUIRED BY RULE 13a-14(a)</w:t>
      </w:r>
    </w:p>
    <w:p>
      <w:pPr>
        <w:spacing w:after="0" w:line="2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OR RULE 15d-14(a) OF THE SECURITIES EXCHANGE ACT OF 1934,</w:t>
      </w:r>
    </w:p>
    <w:p>
      <w:pPr>
        <w:spacing w:after="0" w:line="9" w:lineRule="exact"/>
        <w:rPr>
          <w:sz w:val="20"/>
          <w:szCs w:val="20"/>
          <w:color w:val="auto"/>
        </w:rPr>
      </w:pPr>
    </w:p>
    <w:p>
      <w:pPr>
        <w:ind w:left="1520" w:right="3740" w:hanging="9"/>
        <w:spacing w:after="0" w:line="250" w:lineRule="auto"/>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p>
      <w:pPr>
        <w:spacing w:after="0" w:line="1" w:lineRule="exact"/>
        <w:rPr>
          <w:sz w:val="20"/>
          <w:szCs w:val="20"/>
          <w:color w:val="auto"/>
        </w:rPr>
      </w:pPr>
    </w:p>
    <w:p>
      <w:pPr>
        <w:jc w:val="both"/>
        <w:ind w:left="1520" w:right="3740" w:hanging="735"/>
        <w:spacing w:after="0" w:line="250" w:lineRule="auto"/>
        <w:tabs>
          <w:tab w:leader="none" w:pos="1500" w:val="left"/>
        </w:tabs>
        <w:rPr>
          <w:sz w:val="20"/>
          <w:szCs w:val="20"/>
          <w:color w:val="auto"/>
        </w:rPr>
      </w:pPr>
      <w:r>
        <w:rPr>
          <w:rFonts w:ascii="Times New Roman" w:cs="Times New Roman" w:eastAsia="Times New Roman" w:hAnsi="Times New Roman"/>
          <w:sz w:val="18"/>
          <w:szCs w:val="18"/>
          <w:u w:val="single" w:color="auto"/>
          <w:color w:val="0000EE"/>
        </w:rPr>
        <w:t>Ex. 31.2</w:t>
      </w:r>
      <w:r>
        <w:rPr>
          <w:sz w:val="20"/>
          <w:szCs w:val="20"/>
          <w:color w:val="auto"/>
        </w:rPr>
        <w:tab/>
      </w:r>
      <w:r>
        <w:rPr>
          <w:rFonts w:ascii="Times New Roman" w:cs="Times New Roman" w:eastAsia="Times New Roman" w:hAnsi="Times New Roman"/>
          <w:sz w:val="18"/>
          <w:szCs w:val="18"/>
          <w:color w:val="auto"/>
        </w:rPr>
        <w:t>CERTIFICATION OF THE CHIEF FINANCIAL OFFICER REQUIRED BY RULE 13a-14(a) OR RULE 15d-14(a) OF THE SECURITIES EXCHANGE ACT OF 1934, AS ADOPTED PURSUANT TO SECTION 302 OF THE SARBANES-OXLEY ACT OF 2002</w:t>
      </w:r>
    </w:p>
    <w:p>
      <w:pPr>
        <w:spacing w:after="0" w:line="2"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18"/>
          <w:szCs w:val="18"/>
          <w:u w:val="single" w:color="auto"/>
          <w:color w:val="0000EE"/>
        </w:rPr>
        <w:t>Ex. 32.1</w:t>
      </w:r>
      <w:r>
        <w:rPr>
          <w:sz w:val="20"/>
          <w:szCs w:val="20"/>
          <w:color w:val="auto"/>
        </w:rPr>
        <w:tab/>
      </w:r>
      <w:r>
        <w:rPr>
          <w:rFonts w:ascii="Times New Roman" w:cs="Times New Roman" w:eastAsia="Times New Roman" w:hAnsi="Times New Roman"/>
          <w:sz w:val="16"/>
          <w:szCs w:val="16"/>
          <w:color w:val="auto"/>
        </w:rPr>
        <w:t>CERTIFICATION OF THE CHIEF EXECUTIVE OFFICER PURSUANT TO</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SECTION 906 OF THE SARBANES-OXLEY ACT OF 2002 (18 U.S.C. SECTION 1350)</w:t>
      </w:r>
    </w:p>
    <w:p>
      <w:pPr>
        <w:spacing w:after="0" w:line="9" w:lineRule="exact"/>
        <w:rPr>
          <w:sz w:val="20"/>
          <w:szCs w:val="20"/>
          <w:color w:val="auto"/>
        </w:rPr>
      </w:pPr>
    </w:p>
    <w:p>
      <w:pPr>
        <w:ind w:left="780"/>
        <w:spacing w:after="0"/>
        <w:tabs>
          <w:tab w:leader="none" w:pos="1520" w:val="left"/>
        </w:tabs>
        <w:rPr>
          <w:sz w:val="20"/>
          <w:szCs w:val="20"/>
          <w:color w:val="auto"/>
        </w:rPr>
      </w:pPr>
      <w:r>
        <w:rPr>
          <w:rFonts w:ascii="Times New Roman" w:cs="Times New Roman" w:eastAsia="Times New Roman" w:hAnsi="Times New Roman"/>
          <w:sz w:val="18"/>
          <w:szCs w:val="18"/>
          <w:u w:val="single" w:color="auto"/>
          <w:color w:val="0000EE"/>
        </w:rPr>
        <w:t>Ex. 32.2</w:t>
      </w:r>
      <w:r>
        <w:rPr>
          <w:sz w:val="20"/>
          <w:szCs w:val="20"/>
          <w:color w:val="auto"/>
        </w:rPr>
        <w:tab/>
      </w:r>
      <w:r>
        <w:rPr>
          <w:rFonts w:ascii="Times New Roman" w:cs="Times New Roman" w:eastAsia="Times New Roman" w:hAnsi="Times New Roman"/>
          <w:sz w:val="16"/>
          <w:szCs w:val="16"/>
          <w:color w:val="auto"/>
        </w:rPr>
        <w:t>CERTIFICATION OF THE CHIEF FINANCIAL OFFICER PURSUANT TO</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SECTION 906 OF THE SARBANES-OXLEY ACT OF 2002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302" w:lineRule="exact"/>
        <w:rPr>
          <w:sz w:val="20"/>
          <w:szCs w:val="20"/>
          <w:color w:val="auto"/>
        </w:rPr>
      </w:pPr>
    </w:p>
    <w:p>
      <w:pPr>
        <w:ind w:firstLine="351"/>
        <w:spacing w:after="0" w:line="287" w:lineRule="auto"/>
        <w:rPr>
          <w:sz w:val="20"/>
          <w:szCs w:val="20"/>
          <w:color w:val="auto"/>
        </w:rPr>
      </w:pPr>
      <w:r>
        <w:rPr>
          <w:rFonts w:ascii="Times New Roman" w:cs="Times New Roman" w:eastAsia="Times New Roman" w:hAnsi="Times New Roman"/>
          <w:sz w:val="16"/>
          <w:szCs w:val="16"/>
          <w:i w:val="1"/>
          <w:iCs w:val="1"/>
          <w:color w:val="auto"/>
        </w:rPr>
        <w:t>This Quarterly Report on Form 10-Q (including exhibits and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and (iv) the declaration and payment of dividends. The words “may,” “would,” “could,” “will,” “expect,” “estimate,” “anticipate,” “believe,” “intend,” “plan”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and those factors discussed in detail in our filings with the Securities and Exchange Commission, including in our Annual Report on Form 10-K for the fiscal year ended April 30, 2005 in the section entitled “Item F. Management’s Discussion and Analysis of Financial Condition and Results of Operations – Business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share data)</w:t>
      </w:r>
    </w:p>
    <w:tbl>
      <w:tblPr>
        <w:tblLayout w:type="fixed"/>
        <w:tblInd w:w="1660" w:type="dxa"/>
        <w:tblCellMar>
          <w:top w:w="0" w:type="dxa"/>
          <w:left w:w="0" w:type="dxa"/>
          <w:bottom w:w="0" w:type="dxa"/>
          <w:right w:w="0" w:type="dxa"/>
        </w:tblCellMar>
      </w:tblPr>
      <w:tr>
        <w:trPr>
          <w:trHeight w:val="143"/>
        </w:trPr>
        <w:tc>
          <w:tcPr>
            <w:tcW w:w="5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gridSpan w:val="2"/>
          </w:tcPr>
          <w:p>
            <w:pPr>
              <w:jc w:val="center"/>
              <w:ind w:right="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July 30,</w:t>
            </w:r>
          </w:p>
        </w:tc>
        <w:tc>
          <w:tcPr>
            <w:tcW w:w="680" w:type="dxa"/>
            <w:vAlign w:val="bottom"/>
          </w:tcPr>
          <w:p>
            <w:pPr>
              <w:jc w:val="center"/>
              <w:ind w:left="60"/>
              <w:spacing w:after="0" w:line="143" w:lineRule="exact"/>
              <w:rPr>
                <w:sz w:val="20"/>
                <w:szCs w:val="20"/>
                <w:color w:val="auto"/>
              </w:rPr>
            </w:pPr>
            <w:r>
              <w:rPr>
                <w:rFonts w:ascii="Times New Roman" w:cs="Times New Roman" w:eastAsia="Times New Roman" w:hAnsi="Times New Roman"/>
                <w:sz w:val="14"/>
                <w:szCs w:val="14"/>
                <w:b w:val="1"/>
                <w:bCs w:val="1"/>
                <w:color w:val="auto"/>
                <w:w w:val="94"/>
              </w:rPr>
              <w:t>April 30,</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780" w:type="dxa"/>
            <w:vAlign w:val="bottom"/>
            <w:gridSpan w:val="2"/>
          </w:tcPr>
          <w:p>
            <w:pPr>
              <w:jc w:val="center"/>
              <w:ind w:left="1236"/>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2005</w:t>
            </w:r>
          </w:p>
        </w:tc>
        <w:tc>
          <w:tcPr>
            <w:tcW w:w="240" w:type="dxa"/>
            <w:vAlign w:val="bottom"/>
          </w:tcPr>
          <w:p>
            <w:pPr>
              <w:spacing w:after="0"/>
              <w:rPr>
                <w:sz w:val="12"/>
                <w:szCs w:val="12"/>
                <w:color w:val="auto"/>
              </w:rPr>
            </w:pPr>
          </w:p>
        </w:tc>
        <w:tc>
          <w:tcPr>
            <w:tcW w:w="680" w:type="dxa"/>
            <w:vAlign w:val="bottom"/>
          </w:tcPr>
          <w:p>
            <w:pPr>
              <w:jc w:val="center"/>
              <w:ind w:left="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2005</w:t>
            </w:r>
          </w:p>
        </w:tc>
        <w:tc>
          <w:tcPr>
            <w:tcW w:w="0" w:type="dxa"/>
            <w:vAlign w:val="bottom"/>
          </w:tcPr>
          <w:p>
            <w:pPr>
              <w:spacing w:after="0"/>
              <w:rPr>
                <w:sz w:val="1"/>
                <w:szCs w:val="1"/>
                <w:color w:val="auto"/>
              </w:rPr>
            </w:pPr>
          </w:p>
        </w:tc>
      </w:tr>
      <w:tr>
        <w:trPr>
          <w:trHeight w:val="178"/>
        </w:trPr>
        <w:tc>
          <w:tcPr>
            <w:tcW w:w="5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(unaudited)</w:t>
            </w:r>
          </w:p>
        </w:tc>
        <w:tc>
          <w:tcPr>
            <w:tcW w:w="680" w:type="dxa"/>
            <w:vAlign w:val="bottom"/>
          </w:tcPr>
          <w:p>
            <w:pPr>
              <w:jc w:val="center"/>
              <w:ind w:left="40"/>
              <w:spacing w:after="0"/>
              <w:rPr>
                <w:sz w:val="20"/>
                <w:szCs w:val="20"/>
                <w:color w:val="auto"/>
              </w:rPr>
            </w:pPr>
            <w:r>
              <w:rPr>
                <w:rFonts w:ascii="Times New Roman" w:cs="Times New Roman" w:eastAsia="Times New Roman" w:hAnsi="Times New Roman"/>
                <w:sz w:val="14"/>
                <w:szCs w:val="14"/>
                <w:b w:val="1"/>
                <w:bCs w:val="1"/>
                <w:color w:val="auto"/>
                <w:w w:val="96"/>
              </w:rPr>
              <w:t>(note 1)</w:t>
            </w:r>
          </w:p>
        </w:tc>
        <w:tc>
          <w:tcPr>
            <w:tcW w:w="0" w:type="dxa"/>
            <w:vAlign w:val="bottom"/>
          </w:tcPr>
          <w:p>
            <w:pPr>
              <w:spacing w:after="0"/>
              <w:rPr>
                <w:sz w:val="1"/>
                <w:szCs w:val="1"/>
                <w:color w:val="auto"/>
              </w:rPr>
            </w:pPr>
          </w:p>
        </w:tc>
      </w:tr>
      <w:tr>
        <w:trPr>
          <w:trHeight w:val="95"/>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52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9,858</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$ 15,961</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0" w:type="dxa"/>
            <w:vAlign w:val="bottom"/>
          </w:tcPr>
          <w:p>
            <w:pPr>
              <w:spacing w:after="0"/>
              <w:rPr>
                <w:sz w:val="1"/>
                <w:szCs w:val="1"/>
                <w:color w:val="auto"/>
              </w:rPr>
            </w:pPr>
          </w:p>
        </w:tc>
      </w:tr>
      <w:tr>
        <w:trPr>
          <w:trHeight w:val="216"/>
        </w:trPr>
        <w:tc>
          <w:tcPr>
            <w:tcW w:w="5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32,731</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23,762</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maturities of long-term receivables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0" w:type="dxa"/>
            <w:vAlign w:val="bottom"/>
          </w:tcPr>
          <w:p>
            <w:pPr>
              <w:spacing w:after="0"/>
              <w:rPr>
                <w:sz w:val="1"/>
                <w:szCs w:val="1"/>
                <w:color w:val="auto"/>
              </w:rPr>
            </w:pPr>
          </w:p>
        </w:tc>
      </w:tr>
      <w:tr>
        <w:trPr>
          <w:trHeight w:val="228"/>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27,376</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24,612</w:t>
            </w:r>
          </w:p>
        </w:tc>
        <w:tc>
          <w:tcPr>
            <w:tcW w:w="0" w:type="dxa"/>
            <w:vAlign w:val="bottom"/>
          </w:tcPr>
          <w:p>
            <w:pPr>
              <w:spacing w:after="0"/>
              <w:rPr>
                <w:sz w:val="1"/>
                <w:szCs w:val="1"/>
                <w:color w:val="auto"/>
              </w:rPr>
            </w:pPr>
          </w:p>
        </w:tc>
      </w:tr>
    </w:tbl>
    <w:p>
      <w:pPr>
        <w:sectPr>
          <w:pgSz w:w="11900" w:h="16855" w:orient="portrait"/>
          <w:cols w:equalWidth="0" w:num="1">
            <w:col w:w="11340"/>
          </w:cols>
          <w:pgMar w:left="240" w:top="351" w:right="319" w:bottom="0" w:gutter="0" w:footer="0" w:header="0"/>
        </w:sectPr>
      </w:pPr>
    </w:p>
    <w:bookmarkStart w:id="2" w:name="page3"/>
    <w:bookmarkEnd w:id="2"/>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Income tax receivable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Rental equipment available for sale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112,790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104,283</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9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Advertising rights, net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Long term receivables, less current maturities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Intangible and other assets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16,075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color w:val="auto"/>
              </w:rPr>
              <w:t>PROPERTY AND EQUIPMENT:</w:t>
            </w:r>
          </w:p>
        </w:tc>
        <w:tc>
          <w:tcPr>
            <w:tcW w:w="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Land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Buildings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Machinery and equipment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Equipment held for rent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Demonstration equipment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Transportation equipment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67,643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63,334</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9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33,477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31,053</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$162,342</w:t>
            </w:r>
          </w:p>
        </w:tc>
        <w:tc>
          <w:tcPr>
            <w:tcW w:w="10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$151,462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94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7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794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62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413"/>
        </w:trPr>
        <w:tc>
          <w:tcPr>
            <w:tcW w:w="7940" w:type="dxa"/>
            <w:vAlign w:val="bottom"/>
          </w:tcPr>
          <w:p>
            <w:pPr>
              <w:jc w:val="center"/>
              <w:ind w:left="3392"/>
              <w:spacing w:after="0"/>
              <w:rPr>
                <w:sz w:val="20"/>
                <w:szCs w:val="20"/>
                <w:color w:val="auto"/>
              </w:rPr>
            </w:pPr>
            <w:r>
              <w:rPr>
                <w:rFonts w:ascii="Times New Roman" w:cs="Times New Roman" w:eastAsia="Times New Roman" w:hAnsi="Times New Roman"/>
                <w:sz w:val="18"/>
                <w:szCs w:val="18"/>
                <w:b w:val="1"/>
                <w:bCs w:val="1"/>
                <w:color w:val="auto"/>
                <w:w w:val="97"/>
              </w:rPr>
              <w:t>DAKTRONICS, INC. AND SUBSIDIARIES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940" w:type="dxa"/>
            <w:vAlign w:val="bottom"/>
          </w:tcPr>
          <w:p>
            <w:pPr>
              <w:jc w:val="center"/>
              <w:ind w:left="3392"/>
              <w:spacing w:after="0"/>
              <w:rPr>
                <w:sz w:val="20"/>
                <w:szCs w:val="20"/>
                <w:color w:val="auto"/>
              </w:rPr>
            </w:pPr>
            <w:r>
              <w:rPr>
                <w:rFonts w:ascii="Times New Roman" w:cs="Times New Roman" w:eastAsia="Times New Roman" w:hAnsi="Times New Roman"/>
                <w:sz w:val="18"/>
                <w:szCs w:val="18"/>
                <w:b w:val="1"/>
                <w:bCs w:val="1"/>
                <w:color w:val="auto"/>
                <w:w w:val="97"/>
              </w:rPr>
              <w:t xml:space="preserve">CONSOLIDATED BALANCE SHEETS </w:t>
            </w:r>
            <w:r>
              <w:rPr>
                <w:rFonts w:ascii="Times New Roman" w:cs="Times New Roman" w:eastAsia="Times New Roman" w:hAnsi="Times New Roman"/>
                <w:sz w:val="18"/>
                <w:szCs w:val="18"/>
                <w:color w:val="auto"/>
                <w:w w:val="97"/>
              </w:rPr>
              <w:t>(continued)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40" w:type="dxa"/>
            <w:vAlign w:val="bottom"/>
          </w:tcPr>
          <w:p>
            <w:pPr>
              <w:jc w:val="center"/>
              <w:ind w:left="3352"/>
              <w:spacing w:after="0"/>
              <w:rPr>
                <w:sz w:val="20"/>
                <w:szCs w:val="20"/>
                <w:color w:val="auto"/>
              </w:rPr>
            </w:pPr>
            <w:r>
              <w:rPr>
                <w:rFonts w:ascii="Times New Roman" w:cs="Times New Roman" w:eastAsia="Times New Roman" w:hAnsi="Times New Roman"/>
                <w:sz w:val="18"/>
                <w:szCs w:val="18"/>
                <w:color w:val="auto"/>
                <w:w w:val="97"/>
              </w:rPr>
              <w:t>(in thousands, except share data)</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4"/>
              </w:rPr>
              <w:t>July 30,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20" w:type="dxa"/>
            <w:vAlign w:val="bottom"/>
            <w:gridSpan w:val="2"/>
            <w:vMerge w:val="restart"/>
          </w:tcPr>
          <w:p>
            <w:pPr>
              <w:jc w:val="center"/>
              <w:ind w:right="1800"/>
              <w:spacing w:after="0"/>
              <w:rPr>
                <w:sz w:val="20"/>
                <w:szCs w:val="20"/>
                <w:color w:val="auto"/>
              </w:rPr>
            </w:pPr>
            <w:r>
              <w:rPr>
                <w:rFonts w:ascii="Times New Roman" w:cs="Times New Roman" w:eastAsia="Times New Roman" w:hAnsi="Times New Roman"/>
                <w:sz w:val="14"/>
                <w:szCs w:val="14"/>
                <w:b w:val="1"/>
                <w:bCs w:val="1"/>
                <w:color w:val="auto"/>
                <w:w w:val="94"/>
              </w:rPr>
              <w:t>April 30,</w:t>
            </w:r>
          </w:p>
        </w:tc>
        <w:tc>
          <w:tcPr>
            <w:tcW w:w="0" w:type="dxa"/>
            <w:vAlign w:val="bottom"/>
          </w:tcPr>
          <w:p>
            <w:pPr>
              <w:spacing w:after="0"/>
              <w:rPr>
                <w:sz w:val="1"/>
                <w:szCs w:val="1"/>
                <w:color w:val="auto"/>
              </w:rPr>
            </w:pPr>
          </w:p>
        </w:tc>
      </w:tr>
      <w:tr>
        <w:trPr>
          <w:trHeight w:val="134"/>
        </w:trPr>
        <w:tc>
          <w:tcPr>
            <w:tcW w:w="7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center"/>
              <w:ind w:left="54"/>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2005</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20" w:type="dxa"/>
            <w:vAlign w:val="bottom"/>
            <w:gridSpan w:val="2"/>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w w:val="96"/>
              </w:rPr>
              <w:t>(note 1)</w:t>
            </w:r>
          </w:p>
        </w:tc>
        <w:tc>
          <w:tcPr>
            <w:tcW w:w="0" w:type="dxa"/>
            <w:vAlign w:val="bottom"/>
          </w:tcPr>
          <w:p>
            <w:pPr>
              <w:spacing w:after="0"/>
              <w:rPr>
                <w:sz w:val="1"/>
                <w:szCs w:val="1"/>
                <w:color w:val="auto"/>
              </w:rPr>
            </w:pPr>
          </w:p>
        </w:tc>
      </w:tr>
      <w:tr>
        <w:trPr>
          <w:trHeight w:val="95"/>
        </w:trPr>
        <w:tc>
          <w:tcPr>
            <w:tcW w:w="794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7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9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Notes payable, bank</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Accrued expenses and warranty obligations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Current maturities of long-term marketing obligations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Customer deposits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Deferred maintenance revenue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Income taxes payable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20" w:type="dxa"/>
            <w:vAlign w:val="bottom"/>
            <w:gridSpan w:val="2"/>
          </w:tcPr>
          <w:p>
            <w:pPr>
              <w:jc w:val="right"/>
              <w:ind w:right="1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41,996</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9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Long-term marketing obligations, less current maturities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Deferred income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79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SHAREHOLDERS' EQUITY:</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Common stock, no par value, authorized 60,000,000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shares, 19,300,364 and 19,165,369 shares issued at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July 30, 2005 and April 30, 2005, respectively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Retained earnings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Treasury stock, at cost, 19,680 shares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jc w:val="right"/>
              <w:ind w:right="17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8"/>
        </w:trPr>
        <w:tc>
          <w:tcPr>
            <w:tcW w:w="79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107,375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103,910</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-6114415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-6114415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-6114415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-6114415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68" w:orient="portrait"/>
          <w:cols w:equalWidth="0" w:num="1">
            <w:col w:w="11420"/>
          </w:cols>
          <w:pgMar w:left="240" w:top="125"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2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00" w:type="dxa"/>
            <w:vAlign w:val="bottom"/>
          </w:tcPr>
          <w:p>
            <w:pPr>
              <w:spacing w:after="0"/>
              <w:rPr>
                <w:sz w:val="19"/>
                <w:szCs w:val="19"/>
                <w:color w:val="auto"/>
              </w:rPr>
            </w:pPr>
          </w:p>
        </w:tc>
        <w:tc>
          <w:tcPr>
            <w:tcW w:w="108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$162,342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$ 151,462</w:t>
            </w: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724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7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5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7540" w:type="dxa"/>
            <w:vAlign w:val="bottom"/>
            <w:gridSpan w:val="2"/>
            <w:shd w:val="clear" w:color="auto" w:fill="808080"/>
          </w:tcPr>
          <w:p>
            <w:pPr>
              <w:spacing w:after="0"/>
              <w:rPr>
                <w:sz w:val="6"/>
                <w:szCs w:val="6"/>
                <w:color w:val="auto"/>
              </w:rPr>
            </w:pPr>
          </w:p>
        </w:tc>
        <w:tc>
          <w:tcPr>
            <w:tcW w:w="14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14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28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42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178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413"/>
        </w:trPr>
        <w:tc>
          <w:tcPr>
            <w:tcW w:w="7540" w:type="dxa"/>
            <w:vAlign w:val="bottom"/>
            <w:gridSpan w:val="2"/>
          </w:tcPr>
          <w:p>
            <w:pPr>
              <w:jc w:val="center"/>
              <w:ind w:left="3792"/>
              <w:spacing w:after="0"/>
              <w:rPr>
                <w:sz w:val="20"/>
                <w:szCs w:val="20"/>
                <w:color w:val="auto"/>
              </w:rPr>
            </w:pPr>
            <w:r>
              <w:rPr>
                <w:rFonts w:ascii="Times New Roman" w:cs="Times New Roman" w:eastAsia="Times New Roman" w:hAnsi="Times New Roman"/>
                <w:sz w:val="18"/>
                <w:szCs w:val="18"/>
                <w:b w:val="1"/>
                <w:bCs w:val="1"/>
                <w:color w:val="auto"/>
                <w:w w:val="97"/>
              </w:rPr>
              <w:t>DAKTRONICS, INC. AND SUBSIDIARIES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540" w:type="dxa"/>
            <w:vAlign w:val="bottom"/>
            <w:gridSpan w:val="2"/>
          </w:tcPr>
          <w:p>
            <w:pPr>
              <w:jc w:val="center"/>
              <w:ind w:left="3792"/>
              <w:spacing w:after="0"/>
              <w:rPr>
                <w:sz w:val="20"/>
                <w:szCs w:val="20"/>
                <w:color w:val="auto"/>
              </w:rPr>
            </w:pPr>
            <w:r>
              <w:rPr>
                <w:rFonts w:ascii="Times New Roman" w:cs="Times New Roman" w:eastAsia="Times New Roman" w:hAnsi="Times New Roman"/>
                <w:sz w:val="18"/>
                <w:szCs w:val="18"/>
                <w:b w:val="1"/>
                <w:bCs w:val="1"/>
                <w:color w:val="auto"/>
                <w:w w:val="95"/>
              </w:rPr>
              <w:t>CONSOLIDATED STATEMENT OF INCOME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jc w:val="center"/>
              <w:ind w:left="4072"/>
              <w:spacing w:after="0"/>
              <w:rPr>
                <w:sz w:val="20"/>
                <w:szCs w:val="20"/>
                <w:color w:val="auto"/>
              </w:rPr>
            </w:pPr>
            <w:r>
              <w:rPr>
                <w:rFonts w:ascii="Times New Roman" w:cs="Times New Roman" w:eastAsia="Times New Roman" w:hAnsi="Times New Roman"/>
                <w:sz w:val="18"/>
                <w:szCs w:val="18"/>
                <w:color w:val="auto"/>
                <w:w w:val="97"/>
              </w:rPr>
              <w:t>(in thousands, except per share data)</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40" w:type="dxa"/>
            <w:vAlign w:val="bottom"/>
          </w:tcPr>
          <w:p>
            <w:pPr>
              <w:jc w:val="center"/>
              <w:ind w:left="4092"/>
              <w:spacing w:after="0"/>
              <w:rPr>
                <w:sz w:val="20"/>
                <w:szCs w:val="20"/>
                <w:color w:val="auto"/>
              </w:rPr>
            </w:pPr>
            <w:r>
              <w:rPr>
                <w:rFonts w:ascii="Times New Roman" w:cs="Times New Roman" w:eastAsia="Times New Roman" w:hAnsi="Times New Roman"/>
                <w:sz w:val="18"/>
                <w:szCs w:val="18"/>
                <w:color w:val="auto"/>
                <w:w w:val="98"/>
              </w:rPr>
              <w:t>(unaudited)</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7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19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7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4"/>
          </w:tcPr>
          <w:p>
            <w:pPr>
              <w:jc w:val="right"/>
              <w:ind w:right="40"/>
              <w:spacing w:after="0" w:line="125" w:lineRule="exact"/>
              <w:rPr>
                <w:sz w:val="20"/>
                <w:szCs w:val="20"/>
                <w:color w:val="auto"/>
              </w:rPr>
            </w:pPr>
            <w:r>
              <w:rPr>
                <w:rFonts w:ascii="Times New Roman" w:cs="Times New Roman" w:eastAsia="Times New Roman" w:hAnsi="Times New Roman"/>
                <w:sz w:val="14"/>
                <w:szCs w:val="14"/>
                <w:b w:val="1"/>
                <w:bCs w:val="1"/>
                <w:color w:val="auto"/>
                <w:w w:val="89"/>
              </w:rPr>
              <w:t>July 30,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20" w:type="dxa"/>
            <w:vAlign w:val="bottom"/>
            <w:gridSpan w:val="4"/>
          </w:tcPr>
          <w:p>
            <w:pPr>
              <w:jc w:val="center"/>
              <w:ind w:right="1820"/>
              <w:spacing w:after="0" w:line="125" w:lineRule="exact"/>
              <w:rPr>
                <w:sz w:val="20"/>
                <w:szCs w:val="20"/>
                <w:color w:val="auto"/>
              </w:rPr>
            </w:pPr>
            <w:r>
              <w:rPr>
                <w:rFonts w:ascii="Times New Roman" w:cs="Times New Roman" w:eastAsia="Times New Roman" w:hAnsi="Times New Roman"/>
                <w:sz w:val="14"/>
                <w:szCs w:val="14"/>
                <w:b w:val="1"/>
                <w:bCs w:val="1"/>
                <w:color w:val="auto"/>
                <w:w w:val="98"/>
              </w:rPr>
              <w:t>July 31,</w:t>
            </w:r>
          </w:p>
        </w:tc>
        <w:tc>
          <w:tcPr>
            <w:tcW w:w="0" w:type="dxa"/>
            <w:vAlign w:val="bottom"/>
          </w:tcPr>
          <w:p>
            <w:pPr>
              <w:spacing w:after="0"/>
              <w:rPr>
                <w:sz w:val="1"/>
                <w:szCs w:val="1"/>
                <w:color w:val="auto"/>
              </w:rPr>
            </w:pPr>
          </w:p>
        </w:tc>
      </w:tr>
      <w:tr>
        <w:trPr>
          <w:trHeight w:val="178"/>
        </w:trPr>
        <w:tc>
          <w:tcPr>
            <w:tcW w:w="7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gridSpan w:val="2"/>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72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Pr>
          <w:p>
            <w:pPr>
              <w:spacing w:after="0"/>
              <w:rPr>
                <w:sz w:val="24"/>
                <w:szCs w:val="24"/>
                <w:color w:val="auto"/>
              </w:rPr>
            </w:pPr>
          </w:p>
        </w:tc>
        <w:tc>
          <w:tcPr>
            <w:tcW w:w="116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$ 72,345</w:t>
            </w:r>
          </w:p>
        </w:tc>
        <w:tc>
          <w:tcPr>
            <w:tcW w:w="6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58,710</w:t>
            </w: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2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50,151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38,592</w:t>
            </w: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240" w:type="dxa"/>
            <w:vAlign w:val="bottom"/>
            <w:vMerge w:val="restart"/>
          </w:tcPr>
          <w:p>
            <w:pPr>
              <w:ind w:left="180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22,194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20,118</w:t>
            </w: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24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Selling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9,809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12,235</w:t>
            </w: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240" w:type="dxa"/>
            <w:vAlign w:val="bottom"/>
            <w:vMerge w:val="restart"/>
          </w:tcPr>
          <w:p>
            <w:pPr>
              <w:ind w:left="18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72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gridSpan w:val="4"/>
          </w:tcPr>
          <w:p>
            <w:pPr>
              <w:jc w:val="right"/>
              <w:ind w:right="17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8"/>
        </w:trPr>
        <w:tc>
          <w:tcPr>
            <w:tcW w:w="72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240" w:type="dxa"/>
            <w:vAlign w:val="bottom"/>
            <w:vMerge w:val="restart"/>
          </w:tcPr>
          <w:p>
            <w:pPr>
              <w:ind w:left="18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2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240" w:type="dxa"/>
            <w:vAlign w:val="bottom"/>
            <w:vMerge w:val="restart"/>
          </w:tcPr>
          <w:p>
            <w:pPr>
              <w:ind w:left="17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6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24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color w:val="auto"/>
              </w:rPr>
              <w:t>Weighted average number of fully diluted shares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2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and common equivalent shares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20,171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20,124</w:t>
            </w: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724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2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6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60" w:type="dxa"/>
            <w:vAlign w:val="bottom"/>
          </w:tcPr>
          <w:p>
            <w:pPr>
              <w:spacing w:after="0"/>
              <w:rPr>
                <w:sz w:val="19"/>
                <w:szCs w:val="19"/>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7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gridSpan w:val="2"/>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4"/>
                <w:szCs w:val="24"/>
                <w:color w:val="auto"/>
              </w:rPr>
            </w:pPr>
          </w:p>
        </w:tc>
        <w:tc>
          <w:tcPr>
            <w:tcW w:w="6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6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gridSpan w:val="2"/>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Cash dividend paid per share</w:t>
            </w:r>
          </w:p>
        </w:tc>
        <w:tc>
          <w:tcPr>
            <w:tcW w:w="300" w:type="dxa"/>
            <w:vAlign w:val="bottom"/>
          </w:tcPr>
          <w:p>
            <w:pPr>
              <w:spacing w:after="0"/>
              <w:rPr>
                <w:sz w:val="24"/>
                <w:szCs w:val="24"/>
                <w:color w:val="auto"/>
              </w:rPr>
            </w:pPr>
          </w:p>
        </w:tc>
        <w:tc>
          <w:tcPr>
            <w:tcW w:w="6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00" w:type="dxa"/>
            <w:vAlign w:val="bottom"/>
            <w:gridSpan w:val="3"/>
          </w:tcPr>
          <w:p>
            <w:pPr>
              <w:jc w:val="right"/>
              <w:ind w:right="18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20"/>
        </w:trPr>
        <w:tc>
          <w:tcPr>
            <w:tcW w:w="724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7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54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7540" w:type="dxa"/>
            <w:vAlign w:val="bottom"/>
            <w:gridSpan w:val="2"/>
            <w:shd w:val="clear" w:color="auto" w:fill="808080"/>
          </w:tcPr>
          <w:p>
            <w:pPr>
              <w:spacing w:after="0"/>
              <w:rPr>
                <w:sz w:val="6"/>
                <w:szCs w:val="6"/>
                <w:color w:val="auto"/>
              </w:rPr>
            </w:pPr>
          </w:p>
        </w:tc>
        <w:tc>
          <w:tcPr>
            <w:tcW w:w="14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14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28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42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178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413"/>
        </w:trPr>
        <w:tc>
          <w:tcPr>
            <w:tcW w:w="7540" w:type="dxa"/>
            <w:vAlign w:val="bottom"/>
            <w:gridSpan w:val="2"/>
          </w:tcPr>
          <w:p>
            <w:pPr>
              <w:jc w:val="center"/>
              <w:ind w:left="3792"/>
              <w:spacing w:after="0"/>
              <w:rPr>
                <w:sz w:val="20"/>
                <w:szCs w:val="20"/>
                <w:color w:val="auto"/>
              </w:rPr>
            </w:pPr>
            <w:r>
              <w:rPr>
                <w:rFonts w:ascii="Times New Roman" w:cs="Times New Roman" w:eastAsia="Times New Roman" w:hAnsi="Times New Roman"/>
                <w:sz w:val="18"/>
                <w:szCs w:val="18"/>
                <w:b w:val="1"/>
                <w:bCs w:val="1"/>
                <w:color w:val="auto"/>
                <w:w w:val="97"/>
              </w:rPr>
              <w:t>DAKTRONICS, INC. AND SUBSIDIARIES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180" w:type="dxa"/>
            <w:vAlign w:val="bottom"/>
            <w:gridSpan w:val="7"/>
          </w:tcPr>
          <w:p>
            <w:pPr>
              <w:jc w:val="center"/>
              <w:ind w:left="3112"/>
              <w:spacing w:after="0"/>
              <w:rPr>
                <w:sz w:val="20"/>
                <w:szCs w:val="20"/>
                <w:color w:val="auto"/>
              </w:rPr>
            </w:pPr>
            <w:r>
              <w:rPr>
                <w:rFonts w:ascii="Times New Roman" w:cs="Times New Roman" w:eastAsia="Times New Roman" w:hAnsi="Times New Roman"/>
                <w:sz w:val="18"/>
                <w:szCs w:val="18"/>
                <w:b w:val="1"/>
                <w:bCs w:val="1"/>
                <w:color w:val="auto"/>
                <w:w w:val="96"/>
              </w:rPr>
              <w:t>CONSOLIDATED STATEMENTS OF CASH FLOWS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jc w:val="center"/>
              <w:ind w:left="4072"/>
              <w:spacing w:after="0"/>
              <w:rPr>
                <w:sz w:val="20"/>
                <w:szCs w:val="20"/>
                <w:color w:val="auto"/>
              </w:rPr>
            </w:pPr>
            <w:r>
              <w:rPr>
                <w:rFonts w:ascii="Times New Roman" w:cs="Times New Roman" w:eastAsia="Times New Roman" w:hAnsi="Times New Roman"/>
                <w:sz w:val="18"/>
                <w:szCs w:val="18"/>
                <w:color w:val="auto"/>
                <w:w w:val="97"/>
              </w:rPr>
              <w:t>(in thousands)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40" w:type="dxa"/>
            <w:vAlign w:val="bottom"/>
          </w:tcPr>
          <w:p>
            <w:pPr>
              <w:jc w:val="center"/>
              <w:ind w:left="4092"/>
              <w:spacing w:after="0"/>
              <w:rPr>
                <w:sz w:val="20"/>
                <w:szCs w:val="20"/>
                <w:color w:val="auto"/>
              </w:rPr>
            </w:pPr>
            <w:r>
              <w:rPr>
                <w:rFonts w:ascii="Times New Roman" w:cs="Times New Roman" w:eastAsia="Times New Roman" w:hAnsi="Times New Roman"/>
                <w:sz w:val="18"/>
                <w:szCs w:val="18"/>
                <w:color w:val="auto"/>
                <w:w w:val="98"/>
              </w:rPr>
              <w:t>(unaudited)</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7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1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4"/>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gridSpan w:val="5"/>
            <w:shd w:val="clear" w:color="auto" w:fill="000000"/>
          </w:tcPr>
          <w:p>
            <w:pPr>
              <w:spacing w:after="0" w:line="20" w:lineRule="exact"/>
              <w:rPr>
                <w:sz w:val="1"/>
                <w:szCs w:val="1"/>
                <w:color w:val="auto"/>
              </w:rPr>
            </w:pPr>
          </w:p>
        </w:tc>
        <w:tc>
          <w:tcPr>
            <w:tcW w:w="200" w:type="dxa"/>
            <w:vAlign w:val="bottom"/>
            <w:gridSpan w:val="3"/>
            <w:vMerge w:val="restart"/>
          </w:tcPr>
          <w:p>
            <w:pPr>
              <w:jc w:val="right"/>
              <w:ind w:right="20"/>
              <w:spacing w:after="0" w:line="145" w:lineRule="exact"/>
              <w:rPr>
                <w:sz w:val="20"/>
                <w:szCs w:val="20"/>
                <w:color w:val="auto"/>
              </w:rPr>
            </w:pPr>
            <w:r>
              <w:rPr>
                <w:rFonts w:ascii="Times New Roman" w:cs="Times New Roman" w:eastAsia="Times New Roman" w:hAnsi="Times New Roman"/>
                <w:sz w:val="14"/>
                <w:szCs w:val="14"/>
                <w:b w:val="1"/>
                <w:bCs w:val="1"/>
                <w:color w:val="auto"/>
                <w:w w:val="91"/>
              </w:rPr>
              <w:t>31,</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7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gridSpan w:val="5"/>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July 30,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5"/>
          </w:tcPr>
          <w:p>
            <w:pPr>
              <w:ind w:left="280"/>
              <w:spacing w:after="0" w:line="125" w:lineRule="exact"/>
              <w:rPr>
                <w:sz w:val="20"/>
                <w:szCs w:val="20"/>
                <w:color w:val="auto"/>
              </w:rPr>
            </w:pPr>
            <w:r>
              <w:rPr>
                <w:rFonts w:ascii="Times New Roman" w:cs="Times New Roman" w:eastAsia="Times New Roman" w:hAnsi="Times New Roman"/>
                <w:sz w:val="14"/>
                <w:szCs w:val="14"/>
                <w:b w:val="1"/>
                <w:bCs w:val="1"/>
                <w:color w:val="auto"/>
              </w:rPr>
              <w:t>July</w:t>
            </w:r>
          </w:p>
        </w:tc>
        <w:tc>
          <w:tcPr>
            <w:tcW w:w="2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7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9"/>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24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7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5,032</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Adjustments to reconcile net income to net cash (used) provided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 operating activities: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(Gain) loss on sale of property and equipment</w:t>
            </w:r>
          </w:p>
        </w:tc>
        <w:tc>
          <w:tcPr>
            <w:tcW w:w="300" w:type="dxa"/>
            <w:vAlign w:val="bottom"/>
          </w:tcPr>
          <w:p>
            <w:pPr>
              <w:spacing w:after="0"/>
              <w:rPr>
                <w:sz w:val="18"/>
                <w:szCs w:val="18"/>
                <w:color w:val="auto"/>
              </w:rPr>
            </w:pPr>
          </w:p>
        </w:tc>
        <w:tc>
          <w:tcPr>
            <w:tcW w:w="6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0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6"/>
              </w:rPr>
              <w:t>237</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00" w:type="dxa"/>
            <w:vAlign w:val="bottom"/>
          </w:tcPr>
          <w:p>
            <w:pPr>
              <w:spacing w:after="0"/>
              <w:rPr>
                <w:sz w:val="18"/>
                <w:szCs w:val="18"/>
                <w:color w:val="auto"/>
              </w:rPr>
            </w:pPr>
          </w:p>
        </w:tc>
        <w:tc>
          <w:tcPr>
            <w:tcW w:w="6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6"/>
              </w:rPr>
              <w:t>294</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tcPr>
          <w:p>
            <w:pPr>
              <w:spacing w:after="0"/>
              <w:rPr>
                <w:sz w:val="19"/>
                <w:szCs w:val="19"/>
                <w:color w:val="auto"/>
              </w:rPr>
            </w:pPr>
          </w:p>
        </w:tc>
        <w:tc>
          <w:tcPr>
            <w:tcW w:w="6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w w:val="95"/>
              </w:rPr>
              <w:t>(6,654)</w:t>
            </w:r>
          </w:p>
        </w:tc>
        <w:tc>
          <w:tcPr>
            <w:tcW w:w="92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240" w:type="dxa"/>
            <w:vAlign w:val="bottom"/>
            <w:vMerge w:val="restart"/>
          </w:tcPr>
          <w:p>
            <w:pPr>
              <w:ind w:left="1880"/>
              <w:spacing w:after="0"/>
              <w:rPr>
                <w:sz w:val="20"/>
                <w:szCs w:val="20"/>
                <w:color w:val="auto"/>
              </w:rPr>
            </w:pPr>
            <w:r>
              <w:rPr>
                <w:rFonts w:ascii="Times New Roman" w:cs="Times New Roman" w:eastAsia="Times New Roman" w:hAnsi="Times New Roman"/>
                <w:sz w:val="18"/>
                <w:szCs w:val="18"/>
                <w:b w:val="1"/>
                <w:bCs w:val="1"/>
                <w:color w:val="auto"/>
              </w:rPr>
              <w:t>Net cash (used) provided by operating activities</w:t>
            </w:r>
          </w:p>
        </w:tc>
        <w:tc>
          <w:tcPr>
            <w:tcW w:w="3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gridSpan w:val="2"/>
          </w:tcPr>
          <w:p>
            <w:pPr>
              <w:spacing w:after="0"/>
              <w:rPr>
                <w:sz w:val="9"/>
                <w:szCs w:val="9"/>
                <w:color w:val="auto"/>
              </w:rPr>
            </w:pPr>
          </w:p>
        </w:tc>
        <w:tc>
          <w:tcPr>
            <w:tcW w:w="1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bottom w:val="single" w:sz="8" w:color="808080"/>
            </w:tcBorders>
            <w:gridSpan w:val="5"/>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(242)</w:t>
            </w:r>
          </w:p>
        </w:tc>
        <w:tc>
          <w:tcPr>
            <w:tcW w:w="86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24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2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00" w:type="dxa"/>
            <w:vAlign w:val="bottom"/>
          </w:tcPr>
          <w:p>
            <w:pPr>
              <w:spacing w:after="0"/>
              <w:rPr>
                <w:sz w:val="19"/>
                <w:szCs w:val="19"/>
                <w:color w:val="auto"/>
              </w:rPr>
            </w:pPr>
          </w:p>
        </w:tc>
        <w:tc>
          <w:tcPr>
            <w:tcW w:w="6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w w:val="95"/>
              </w:rPr>
              <w:t>(3,856)</w:t>
            </w:r>
          </w:p>
        </w:tc>
        <w:tc>
          <w:tcPr>
            <w:tcW w:w="92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5200015</wp:posOffset>
            </wp:positionH>
            <wp:positionV relativeFrom="page">
              <wp:posOffset>88900</wp:posOffset>
            </wp:positionV>
            <wp:extent cx="10547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4735"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-10179685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-10179685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-10179685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-10179685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-5233670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-5233670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-5233670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-5233670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-4805045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-4805045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-4805045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-4805045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-4375785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-4375785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-4375785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-4375785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-4084320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-4084320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-4084320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-4084320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-3792855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-3792855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-3792855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-3792855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47" w:right="239" w:bottom="0" w:gutter="0" w:footer="0" w:header="0"/>
        </w:sectPr>
      </w:pPr>
    </w:p>
    <w:bookmarkStart w:id="4" w:name="page5"/>
    <w:bookmarkEnd w:id="4"/>
    <w:tbl>
      <w:tblPr>
        <w:tblLayout w:type="fixed"/>
        <w:tblInd w:w="1660" w:type="dxa"/>
        <w:tblCellMar>
          <w:top w:w="0" w:type="dxa"/>
          <w:left w:w="0" w:type="dxa"/>
          <w:bottom w:w="0" w:type="dxa"/>
          <w:right w:w="0" w:type="dxa"/>
        </w:tblCellMar>
      </w:tblP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(purchases) of mareketable securities, net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8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7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(3,847)</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11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7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8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 paid</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borrowing (payments) on notes payable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8"/>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exercise of stock options and warrants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8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7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(1,806)</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110"/>
        </w:trPr>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(DECREASE) INCREASE IN CASH AND CASH</w:t>
            </w:r>
          </w:p>
        </w:tc>
        <w:tc>
          <w:tcPr>
            <w:tcW w:w="7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8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EQUIVALENTS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(6,103)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PERIOD</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18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7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8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payments for:</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schedule of non-cash investing and</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benefits related to exercise of stock options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costs in accounts payable</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-1329690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-1329690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-1329690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-1329690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308"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contain all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190"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have been condensed or omitted. The balance sheet at April 30, 2005 has been derived from the audited financial statements at that date but does not include all of the information and footnotes required by generally accepted accounting principles for complete financial statements. These financial statements should be read in conjunction with our financial statements and notes thereto for the year ended April 30, 2005,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93" w:lineRule="exact"/>
        <w:rPr>
          <w:sz w:val="20"/>
          <w:szCs w:val="20"/>
          <w:color w:val="auto"/>
        </w:rPr>
      </w:pPr>
    </w:p>
    <w:p>
      <w:pPr>
        <w:jc w:val="both"/>
        <w:ind w:right="80" w:firstLine="348"/>
        <w:spacing w:after="0" w:line="26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our wholly-owned subsidiaries, Daktronics GmbH, Star Circuits, Inc., Sports Link, Ltd., MSC Technologies, Inc., Daktronics UK, Ltd., Daktronics Hong Kong, Ltd. and Daktronics Canada, Inc. Investments in affiliates owned 50% or less are accounted for by the equity method. Intercompany balances and transactions have been eliminated in consolidation.</w:t>
      </w:r>
    </w:p>
    <w:p>
      <w:pPr>
        <w:spacing w:after="0" w:line="186"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 xml:space="preserve">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long-term contracts, estimated costs to be incurred for product warranty, inventory valuation reserves for doubtful accounts and estimated effective annual tax rates. Changes in estimates are reflected in the periods in which they become known.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308"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u w:val="single" w:color="auto"/>
          <w:color w:val="auto"/>
        </w:rPr>
        <w:t>Stock-based compensation.</w:t>
      </w:r>
      <w:r>
        <w:rPr>
          <w:rFonts w:ascii="Times New Roman" w:cs="Times New Roman" w:eastAsia="Times New Roman" w:hAnsi="Times New Roman"/>
          <w:sz w:val="18"/>
          <w:szCs w:val="18"/>
          <w:color w:val="auto"/>
        </w:rPr>
        <w:t xml:space="preserve"> At July 30, 2005, we had four stock-based employee compensation plans, which are described more fully in our Annual Report on Form 10-K. We account for these plans under the recognition and measurement principles of APB Opinion No. 25, “Accounting for Stock Issued to Employees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related interpretations. No stock-based employee compensation cost is reflected in net income, as all options granted under those plans had an exercise price equal to the market value of the underlying common stock on the date of grant. The following table illustrates the effect on net income and earnings per share if we had applied the fair value recognition provisions of Statement of Financial Accounting Standards (“SFAS”) No. 123, “Accounting for Stock-Based Compensation,” to stock-based compensation.</w:t>
      </w:r>
    </w:p>
    <w:p>
      <w:pPr>
        <w:sectPr>
          <w:pgSz w:w="11900" w:h="16838" w:orient="portrait"/>
          <w:cols w:equalWidth="0" w:num="1">
            <w:col w:w="11420"/>
          </w:cols>
          <w:pgMar w:left="240" w:top="125"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4"/>
              </w:rPr>
              <w:t>Three Months Ended</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July 30,</w:t>
            </w:r>
          </w:p>
        </w:tc>
        <w:tc>
          <w:tcPr>
            <w:tcW w:w="200" w:type="dxa"/>
            <w:vAlign w:val="bottom"/>
          </w:tcPr>
          <w:p>
            <w:pPr>
              <w:spacing w:after="0"/>
              <w:rPr>
                <w:sz w:val="10"/>
                <w:szCs w:val="10"/>
                <w:color w:val="auto"/>
              </w:rPr>
            </w:pPr>
          </w:p>
        </w:tc>
        <w:tc>
          <w:tcPr>
            <w:tcW w:w="580" w:type="dxa"/>
            <w:vAlign w:val="bottom"/>
            <w:gridSpan w:val="3"/>
          </w:tcPr>
          <w:p>
            <w:pPr>
              <w:jc w:val="center"/>
              <w:ind w:right="20"/>
              <w:spacing w:after="0" w:line="125" w:lineRule="exact"/>
              <w:rPr>
                <w:sz w:val="20"/>
                <w:szCs w:val="20"/>
                <w:color w:val="auto"/>
              </w:rPr>
            </w:pPr>
            <w:r>
              <w:rPr>
                <w:rFonts w:ascii="Times New Roman" w:cs="Times New Roman" w:eastAsia="Times New Roman" w:hAnsi="Times New Roman"/>
                <w:sz w:val="14"/>
                <w:szCs w:val="14"/>
                <w:b w:val="1"/>
                <w:bCs w:val="1"/>
                <w:color w:val="auto"/>
                <w:w w:val="94"/>
              </w:rPr>
              <w:t>July 31,</w:t>
            </w:r>
          </w:p>
        </w:tc>
        <w:tc>
          <w:tcPr>
            <w:tcW w:w="0" w:type="dxa"/>
            <w:vAlign w:val="bottom"/>
          </w:tcPr>
          <w:p>
            <w:pPr>
              <w:spacing w:after="0"/>
              <w:rPr>
                <w:sz w:val="1"/>
                <w:szCs w:val="1"/>
                <w:color w:val="auto"/>
              </w:rPr>
            </w:pPr>
          </w:p>
        </w:tc>
      </w:tr>
      <w:tr>
        <w:trPr>
          <w:trHeight w:val="178"/>
        </w:trPr>
        <w:tc>
          <w:tcPr>
            <w:tcW w:w="3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2005</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3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Deduct: Total stock-based method employee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 determined under fair value based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method for all</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awards, net of related tax effects</w:t>
            </w:r>
          </w:p>
        </w:tc>
        <w:tc>
          <w:tcPr>
            <w:tcW w:w="240" w:type="dxa"/>
            <w:vAlign w:val="bottom"/>
          </w:tcPr>
          <w:p>
            <w:pPr>
              <w:spacing w:after="0"/>
              <w:rPr>
                <w:sz w:val="19"/>
                <w:szCs w:val="19"/>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3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 as reported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 pro forma</w:t>
            </w:r>
          </w:p>
        </w:tc>
        <w:tc>
          <w:tcPr>
            <w:tcW w:w="2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 as reported</w:t>
            </w:r>
          </w:p>
        </w:tc>
        <w:tc>
          <w:tcPr>
            <w:tcW w:w="2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 pro forma</w:t>
            </w:r>
          </w:p>
        </w:tc>
        <w:tc>
          <w:tcPr>
            <w:tcW w:w="2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-765810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-765810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-765810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-765810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u w:val="single" w:color="auto"/>
          <w:color w:val="auto"/>
        </w:rPr>
        <w:t>Commitments and Contingencies.</w:t>
      </w:r>
      <w:r>
        <w:rPr>
          <w:rFonts w:ascii="Times New Roman" w:cs="Times New Roman" w:eastAsia="Times New Roman" w:hAnsi="Times New Roman"/>
          <w:sz w:val="18"/>
          <w:szCs w:val="18"/>
          <w:color w:val="auto"/>
        </w:rPr>
        <w:t xml:space="preserve"> In connection with certain sales of equipment, we have agreed to accept a specified level of recourse on the money owed by our customers to other financial institutions. At July 30, 2005 and at April 30, 2004, we were contingently liable on such recourse agreements in the amount of $250.</w:t>
      </w:r>
    </w:p>
    <w:p>
      <w:pPr>
        <w:spacing w:after="0" w:line="186"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We are involved in various claims and legal actions arising in the ordinary course of business. In our opinion, based upon consultation with legal counsel, the ultimate disposition of these matters will not have a material adverse effect on our consolidated financial position.</w:t>
      </w:r>
    </w:p>
    <w:p>
      <w:pPr>
        <w:spacing w:after="0" w:line="174"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u w:val="single" w:color="auto"/>
          <w:color w:val="auto"/>
        </w:rPr>
        <w:t>Product Warranties.</w:t>
      </w:r>
      <w:r>
        <w:rPr>
          <w:rFonts w:ascii="Times New Roman" w:cs="Times New Roman" w:eastAsia="Times New Roman" w:hAnsi="Times New Roman"/>
          <w:sz w:val="18"/>
          <w:szCs w:val="18"/>
          <w:color w:val="auto"/>
        </w:rPr>
        <w:t xml:space="preserve"> We offer standard warranty coverages on many of our products, which include parts and in some cases labor, maintenance and support, for periods varying from one to 10 years. The specific terms and conditions of these warranties vary depending on the product sold and other factors. We estimate the costs that may be incurred under the warranty and record a liability in the amount of such costs at the time the product is shipped in the case of standard orders and prorated over the construction period in the case of custom projects. Factors that affect our warranty liability include historical and anticipated costs. We periodically assess the adequacy of our recorded warranty costs and adjust the amounts as necessary.</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Changes in our product warranties for the three months ended July 30, 2005 consisted of the following:</w:t>
      </w:r>
    </w:p>
    <w:p>
      <w:pPr>
        <w:spacing w:after="0" w:line="2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85090</wp:posOffset>
            </wp:positionV>
            <wp:extent cx="668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ectPr>
          <w:pgSz w:w="11900" w:h="16838" w:orient="portrait"/>
          <w:cols w:equalWidth="0" w:num="1">
            <w:col w:w="11420"/>
          </w:cols>
          <w:pgMar w:left="240" w:top="262" w:right="239" w:bottom="0" w:gutter="0" w:footer="0" w:header="0"/>
        </w:sectPr>
      </w:pPr>
    </w:p>
    <w:p>
      <w:pPr>
        <w:spacing w:after="0" w:line="24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Beginning accrued warranty costs</w:t>
      </w:r>
    </w:p>
    <w:p>
      <w:pPr>
        <w:spacing w:after="0" w:line="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Warranties issued during the period</w:t>
      </w:r>
    </w:p>
    <w:p>
      <w:pPr>
        <w:spacing w:after="0" w:line="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Settlements made during the period</w:t>
      </w:r>
    </w:p>
    <w:p>
      <w:pPr>
        <w:spacing w:after="0" w:line="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6"/>
          <w:szCs w:val="16"/>
          <w:color w:val="auto"/>
        </w:rPr>
        <w:t>Changes in accrued warranty costs for pre-</w:t>
      </w:r>
    </w:p>
    <w:p>
      <w:pPr>
        <w:spacing w:after="0" w:line="3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existing warranties during the period,</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including expirations</w:t>
      </w:r>
    </w:p>
    <w:p>
      <w:pPr>
        <w:spacing w:after="0" w:line="22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Ending accrued warranty costs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600" w:hanging="591"/>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5,028</w:t>
      </w:r>
    </w:p>
    <w:p>
      <w:pPr>
        <w:spacing w:after="0" w:line="21" w:lineRule="exact"/>
        <w:rPr>
          <w:rFonts w:ascii="Times New Roman" w:cs="Times New Roman" w:eastAsia="Times New Roman" w:hAnsi="Times New Roman"/>
          <w:sz w:val="18"/>
          <w:szCs w:val="18"/>
          <w:color w:val="auto"/>
        </w:rPr>
      </w:pP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1,571</w:t>
      </w:r>
    </w:p>
    <w:p>
      <w:pPr>
        <w:spacing w:after="0" w:line="9" w:lineRule="exact"/>
        <w:rPr>
          <w:sz w:val="20"/>
          <w:szCs w:val="20"/>
          <w:color w:val="auto"/>
        </w:rPr>
      </w:pPr>
    </w:p>
    <w:p>
      <w:pPr>
        <w:jc w:val="right"/>
        <w:ind w:right="2980"/>
        <w:spacing w:after="0"/>
        <w:rPr>
          <w:sz w:val="20"/>
          <w:szCs w:val="20"/>
          <w:color w:val="auto"/>
        </w:rPr>
      </w:pPr>
      <w:r>
        <w:rPr>
          <w:rFonts w:ascii="Times New Roman" w:cs="Times New Roman" w:eastAsia="Times New Roman" w:hAnsi="Times New Roman"/>
          <w:sz w:val="18"/>
          <w:szCs w:val="18"/>
          <w:color w:val="auto"/>
        </w:rPr>
        <w:t>(1,027)</w:t>
      </w:r>
    </w:p>
    <w:p>
      <w:pPr>
        <w:spacing w:after="0" w:line="200" w:lineRule="exact"/>
        <w:rPr>
          <w:sz w:val="20"/>
          <w:szCs w:val="20"/>
          <w:color w:val="auto"/>
        </w:rPr>
      </w:pPr>
    </w:p>
    <w:p>
      <w:pPr>
        <w:spacing w:after="0" w:line="229" w:lineRule="exact"/>
        <w:rPr>
          <w:sz w:val="20"/>
          <w:szCs w:val="20"/>
          <w:color w:val="auto"/>
        </w:rPr>
      </w:pPr>
    </w:p>
    <w:p>
      <w:pPr>
        <w:jc w:val="right"/>
        <w:ind w:right="2980"/>
        <w:spacing w:after="0"/>
        <w:rPr>
          <w:sz w:val="20"/>
          <w:szCs w:val="20"/>
          <w:color w:val="auto"/>
        </w:rPr>
      </w:pPr>
      <w:r>
        <w:rPr>
          <w:rFonts w:ascii="Times New Roman" w:cs="Times New Roman" w:eastAsia="Times New Roman" w:hAnsi="Times New Roman"/>
          <w:sz w:val="18"/>
          <w:szCs w:val="18"/>
          <w:color w:val="auto"/>
        </w:rPr>
        <w:t>(298)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83820</wp:posOffset>
            </wp:positionV>
            <wp:extent cx="668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19" w:lineRule="exact"/>
        <w:rPr>
          <w:sz w:val="20"/>
          <w:szCs w:val="20"/>
          <w:color w:val="auto"/>
        </w:rPr>
      </w:pPr>
    </w:p>
    <w:p>
      <w:pPr>
        <w:ind w:left="600" w:hanging="591"/>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81280</wp:posOffset>
            </wp:positionV>
            <wp:extent cx="67310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80" w:space="720"/>
            <w:col w:w="4020"/>
          </w:cols>
          <w:pgMar w:left="240" w:top="262" w:right="239" w:bottom="0" w:gutter="0" w:footer="0" w:header="0"/>
          <w:type w:val="continuous"/>
        </w:sectPr>
      </w:pPr>
    </w:p>
    <w:p>
      <w:pPr>
        <w:spacing w:after="0" w:line="268" w:lineRule="exact"/>
        <w:rPr>
          <w:sz w:val="20"/>
          <w:szCs w:val="20"/>
          <w:color w:val="auto"/>
        </w:rPr>
      </w:pPr>
    </w:p>
    <w:p>
      <w:pPr>
        <w:ind w:right="260" w:firstLine="351"/>
        <w:spacing w:after="0" w:line="258" w:lineRule="auto"/>
        <w:rPr>
          <w:sz w:val="20"/>
          <w:szCs w:val="20"/>
          <w:color w:val="auto"/>
        </w:rPr>
      </w:pPr>
      <w:r>
        <w:rPr>
          <w:rFonts w:ascii="Times New Roman" w:cs="Times New Roman" w:eastAsia="Times New Roman" w:hAnsi="Times New Roman"/>
          <w:sz w:val="18"/>
          <w:szCs w:val="18"/>
          <w:u w:val="single" w:color="auto"/>
          <w:color w:val="auto"/>
        </w:rPr>
        <w:t>Lease Commitments</w:t>
      </w:r>
      <w:r>
        <w:rPr>
          <w:rFonts w:ascii="Times New Roman" w:cs="Times New Roman" w:eastAsia="Times New Roman" w:hAnsi="Times New Roman"/>
          <w:sz w:val="18"/>
          <w:szCs w:val="18"/>
          <w:color w:val="auto"/>
        </w:rPr>
        <w:t>. We lease office space for various sales and service locations and various equipment, primarily office equipment. Rental expense for operating leases was $376 and $301 for the three months ended July 30, 2005 and July 31, 2004, respectively. Future minimum payments under noncancelable operating leases, excluding executory costs such as management and maintenance fees, with initial or remaining terms of one year or more consisted of the following at July 30, 2005:</w:t>
      </w:r>
    </w:p>
    <w:p>
      <w:pPr>
        <w:spacing w:after="0" w:line="173" w:lineRule="exact"/>
        <w:rPr>
          <w:sz w:val="20"/>
          <w:szCs w:val="20"/>
          <w:color w:val="auto"/>
        </w:rPr>
      </w:pPr>
    </w:p>
    <w:tbl>
      <w:tblPr>
        <w:tblLayout w:type="fixed"/>
        <w:tblInd w:w="5440" w:type="dxa"/>
        <w:tblCellMar>
          <w:top w:w="0" w:type="dxa"/>
          <w:left w:w="0" w:type="dxa"/>
          <w:bottom w:w="0" w:type="dxa"/>
          <w:right w:w="0" w:type="dxa"/>
        </w:tblCellMar>
      </w:tblPr>
      <w:tr>
        <w:trPr>
          <w:trHeight w:val="20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Fiscal Year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1"/>
              </w:rPr>
              <w:t>Amount</w:t>
            </w:r>
          </w:p>
        </w:tc>
      </w:tr>
      <w:tr>
        <w:trPr>
          <w:trHeight w:val="20"/>
        </w:trPr>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r>
      <w:tr>
        <w:trPr>
          <w:trHeight w:val="22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110"/>
        </w:trPr>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r>
      <w:tr>
        <w:trPr>
          <w:trHeight w:val="316"/>
        </w:trPr>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1,201</w:t>
            </w:r>
          </w:p>
        </w:tc>
      </w:tr>
      <w:tr>
        <w:trPr>
          <w:trHeight w:val="120"/>
        </w:trPr>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400" w:firstLine="351"/>
        <w:spacing w:after="0" w:line="275" w:lineRule="auto"/>
        <w:rPr>
          <w:sz w:val="20"/>
          <w:szCs w:val="20"/>
          <w:color w:val="auto"/>
        </w:rPr>
      </w:pPr>
      <w:r>
        <w:rPr>
          <w:rFonts w:ascii="Times New Roman" w:cs="Times New Roman" w:eastAsia="Times New Roman" w:hAnsi="Times New Roman"/>
          <w:sz w:val="18"/>
          <w:szCs w:val="18"/>
          <w:u w:val="single" w:color="auto"/>
          <w:color w:val="auto"/>
        </w:rPr>
        <w:t>Purchase Commitments.</w:t>
      </w:r>
      <w:r>
        <w:rPr>
          <w:rFonts w:ascii="Times New Roman" w:cs="Times New Roman" w:eastAsia="Times New Roman" w:hAnsi="Times New Roman"/>
          <w:sz w:val="18"/>
          <w:szCs w:val="18"/>
          <w:color w:val="auto"/>
        </w:rPr>
        <w:t xml:space="preserve"> From time to time, we commit to purchase inventory and advertising rights over periods that extend over a year. As of July 30, 2005, we were obligated to purchase inventory and advertising rights through fiscal year 2009 as follows:</w:t>
      </w:r>
    </w:p>
    <w:p>
      <w:pPr>
        <w:spacing w:after="0" w:line="157" w:lineRule="exact"/>
        <w:rPr>
          <w:sz w:val="20"/>
          <w:szCs w:val="20"/>
          <w:color w:val="auto"/>
        </w:rPr>
      </w:pPr>
    </w:p>
    <w:tbl>
      <w:tblPr>
        <w:tblLayout w:type="fixed"/>
        <w:tblInd w:w="5440" w:type="dxa"/>
        <w:tblCellMar>
          <w:top w:w="0" w:type="dxa"/>
          <w:left w:w="0" w:type="dxa"/>
          <w:bottom w:w="0" w:type="dxa"/>
          <w:right w:w="0" w:type="dxa"/>
        </w:tblCellMar>
      </w:tblPr>
      <w:tr>
        <w:trPr>
          <w:trHeight w:val="20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Fiscal Year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1"/>
              </w:rPr>
              <w:t>Amount</w:t>
            </w:r>
          </w:p>
        </w:tc>
      </w:tr>
      <w:tr>
        <w:trPr>
          <w:trHeight w:val="20"/>
        </w:trPr>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r>
      <w:tr>
        <w:trPr>
          <w:trHeight w:val="22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r>
      <w:tr>
        <w:trPr>
          <w:trHeight w:val="110"/>
        </w:trPr>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r>
      <w:tr>
        <w:trPr>
          <w:trHeight w:val="316"/>
        </w:trPr>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r>
      <w:tr>
        <w:trPr>
          <w:trHeight w:val="120"/>
        </w:trPr>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Recently Issued Accounting Pronouncements</w:t>
      </w:r>
    </w:p>
    <w:p>
      <w:pPr>
        <w:sectPr>
          <w:pgSz w:w="11900" w:h="16838" w:orient="portrait"/>
          <w:cols w:equalWidth="0" w:num="1">
            <w:col w:w="11420"/>
          </w:cols>
          <w:pgMar w:left="240" w:top="262" w:right="239" w:bottom="0" w:gutter="0" w:footer="0" w:header="0"/>
          <w:type w:val="continuous"/>
        </w:sectPr>
      </w:pPr>
    </w:p>
    <w:bookmarkStart w:id="6" w:name="page7"/>
    <w:bookmarkEnd w:id="6"/>
    <w:p>
      <w:pPr>
        <w:spacing w:after="0" w:line="117"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In May 2005, the Financial Accounting Standards Board (“FASB”) issued SFAS No. 154, “Accounting Changes and Error Corrections”. SFAS No. 154 supersedes APB Opinion No. 20, “Accounting Changes”, and SFAS No. 3, “Reporting Accounting Changes in Interim Financial Statements”. Generally, the provisions of SFAS No. 154 are similar to the provisions of both Opinion 20 and SFAS No. 3. However, SFAS No. 154 requires retrospective application to prior periods’ financial statements of a voluntary change in accounting principle. Recognition of the cumulative effect of a voluntary change in accounting principle in net earnings in the period of change would be permitted only if retrospective application to prior periods’ financial statements is impractical. SFAS No. 154 is effective for fiscal years beginning after December 15, 2005. The adoption of SFAS No. 154 is not expected to have any impact on our consolidated results of operations, financial position or cash flows.</w:t>
      </w:r>
    </w:p>
    <w:p>
      <w:pPr>
        <w:spacing w:after="0" w:line="195" w:lineRule="exact"/>
        <w:rPr>
          <w:sz w:val="20"/>
          <w:szCs w:val="20"/>
          <w:color w:val="auto"/>
        </w:rPr>
      </w:pPr>
    </w:p>
    <w:p>
      <w:pPr>
        <w:ind w:right="160" w:firstLine="351"/>
        <w:spacing w:after="0" w:line="255" w:lineRule="auto"/>
        <w:rPr>
          <w:sz w:val="20"/>
          <w:szCs w:val="20"/>
          <w:color w:val="auto"/>
        </w:rPr>
      </w:pPr>
      <w:r>
        <w:rPr>
          <w:rFonts w:ascii="Times New Roman" w:cs="Times New Roman" w:eastAsia="Times New Roman" w:hAnsi="Times New Roman"/>
          <w:sz w:val="18"/>
          <w:szCs w:val="18"/>
          <w:color w:val="auto"/>
        </w:rPr>
        <w:t>In November 2004, the FASB issued SFAS No. 151, “Inventory Costs”. SFAS No. 151 amends the guidance in Accounting Research Bulletin No. 43, Chapter 4, “Inventory Pricing,” to clarify the accounting for abnormal amounts of idle facility expense, freight, handling costs, and wasted material. SFAS No. 151 requires that those items be recognized as current period charges regardless of whether they meet the criterion of “so abnormal.” In addition, SFAS No. 151 requires that allocation of fixed production overheads to the costs of conversion be based on the normal capacity of the production facilities. The provisions of SFAS No. 151 are effective for fiscal years beginning after June 15, 2005. We do not expect that implementation of SFAS No. 151 will have a material effect on our consolidated financial condition or results of operations.</w:t>
      </w:r>
    </w:p>
    <w:p>
      <w:pPr>
        <w:spacing w:after="0" w:line="193"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On December 16, 2004, the FASB issued SFAS No. 123R, “Share-Based Payment,” which is a revision of SFAS No. 123, “Accounting for Stock-Based Compensation.” SFAS No, 123R supersedes APB Opinion No. 25, “Accounting for Stock Issued to Employees,” and amends FASB Statement No. 95, “Statement of Cash Flows.” Generally, the approach in SFAS No. 123R is similar to the approach described in SFAS No. 123. However, SFAS No. 123R requires all share-based payments to employees, including grants of employee stock options, to be recognized in the income statement based on their fair values. Pro forma disclosure will no longer be an alternative. SFAS No. 123R must be adopted no later than the first annual period beginning after June 15, 2005. Early adoption will be permitted in periods in which financial statements have not yet been issued.</w:t>
      </w:r>
    </w:p>
    <w:p>
      <w:pPr>
        <w:spacing w:after="0" w:line="193" w:lineRule="exact"/>
        <w:rPr>
          <w:sz w:val="20"/>
          <w:szCs w:val="20"/>
          <w:color w:val="auto"/>
        </w:rPr>
      </w:pPr>
    </w:p>
    <w:p>
      <w:pPr>
        <w:ind w:firstLine="341"/>
        <w:spacing w:after="0" w:line="290" w:lineRule="auto"/>
        <w:rPr>
          <w:sz w:val="20"/>
          <w:szCs w:val="20"/>
          <w:color w:val="auto"/>
        </w:rPr>
      </w:pPr>
      <w:r>
        <w:rPr>
          <w:rFonts w:ascii="Times New Roman" w:cs="Times New Roman" w:eastAsia="Times New Roman" w:hAnsi="Times New Roman"/>
          <w:sz w:val="16"/>
          <w:szCs w:val="16"/>
          <w:color w:val="auto"/>
        </w:rPr>
        <w:t>As permitted by SFAS No. 123, we currently account for share-based payments to employees using APB Opinion No. 25‘s intrinsic value method and, as such, generally recognize no compensation cost for employee stock options. Accordingly, the adoption of SFAS No. 123R’s fair value method will have an impact on our result of operations, although it will have no impact on our overall financial position. The ultimate impact of adoption of SFAS No. 123R cannot be predicted at this time because it will depend on levels of share-based payments granted in the future and other factors. However, had we adopted SFAS No. 123R in prior periods, the impact of that standard would have approximated the impact of SFAS No. 123 as described in the disclosure of pro forma net income and earnings per share in Note 2 to our consolidated financial statements. SFAS No. 123R also requires the benefits of tax deductions in excess of recognized compensation cost to be reported as a financing cash flow rather than as an operating cash flow as required under current literature. This requirement will reduce net operating cash flows and increase net financing cash flows in periods after adoption. We are currently analyzing the impact of these provisions.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306" w:lineRule="exact"/>
        <w:rPr>
          <w:sz w:val="20"/>
          <w:szCs w:val="20"/>
          <w:color w:val="auto"/>
        </w:rPr>
      </w:pPr>
    </w:p>
    <w:p>
      <w:pPr>
        <w:ind w:right="2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Long-term contracts: </w:t>
      </w:r>
      <w:r>
        <w:rPr>
          <w:rFonts w:ascii="Times New Roman" w:cs="Times New Roman" w:eastAsia="Times New Roman" w:hAnsi="Times New Roman"/>
          <w:sz w:val="18"/>
          <w:szCs w:val="18"/>
          <w:color w:val="auto"/>
        </w:rPr>
        <w:t>Earnings on long-term contracts are recognized on the percentage-of-completion method, measured by the percentage of costs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date to estimated total costs for each contract. Operating expenses are charged to operations as incurred and are not allocated to contract costs. Provisions for estimated losses on uncompleted contracts are made in the period in which such losses are estimable.</w:t>
      </w:r>
    </w:p>
    <w:p>
      <w:pPr>
        <w:spacing w:after="0" w:line="181" w:lineRule="exact"/>
        <w:rPr>
          <w:sz w:val="20"/>
          <w:szCs w:val="20"/>
          <w:color w:val="auto"/>
        </w:rPr>
      </w:pPr>
    </w:p>
    <w:p>
      <w:pPr>
        <w:ind w:right="34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Equipment other than long-term contracts: </w:t>
      </w:r>
      <w:r>
        <w:rPr>
          <w:rFonts w:ascii="Times New Roman" w:cs="Times New Roman" w:eastAsia="Times New Roman" w:hAnsi="Times New Roman"/>
          <w:sz w:val="18"/>
          <w:szCs w:val="18"/>
          <w:color w:val="auto"/>
        </w:rPr>
        <w:t>We recognize revenue on equipment sales, other than long-term contracts, when title passes, which is usually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shipment and then only if the revenue is fixed and determinable.</w:t>
      </w:r>
    </w:p>
    <w:p>
      <w:pPr>
        <w:spacing w:after="0" w:line="170" w:lineRule="exact"/>
        <w:rPr>
          <w:sz w:val="20"/>
          <w:szCs w:val="20"/>
          <w:color w:val="auto"/>
        </w:rPr>
      </w:pPr>
    </w:p>
    <w:p>
      <w:pPr>
        <w:ind w:right="80" w:firstLine="395"/>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Long-term receivables and advertising rights: </w:t>
      </w:r>
      <w:r>
        <w:rPr>
          <w:rFonts w:ascii="Times New Roman" w:cs="Times New Roman" w:eastAsia="Times New Roman" w:hAnsi="Times New Roman"/>
          <w:sz w:val="16"/>
          <w:szCs w:val="16"/>
          <w:color w:val="auto"/>
        </w:rPr>
        <w:t>We occasionally sell and install our products at facilities in exchange for the rights to sell or to retain future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advertising revenues.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under the provisions of the applicable advertising contracts. At the time the revenue is recognized, costs of the equipment are recognized based on an estimate of overall margin expected.</w:t>
      </w:r>
    </w:p>
    <w:p>
      <w:pPr>
        <w:spacing w:after="0" w:line="167" w:lineRule="exact"/>
        <w:rPr>
          <w:sz w:val="20"/>
          <w:szCs w:val="20"/>
          <w:color w:val="auto"/>
        </w:rPr>
      </w:pPr>
    </w:p>
    <w:p>
      <w:pPr>
        <w:jc w:val="both"/>
        <w:ind w:right="100" w:firstLine="351"/>
        <w:spacing w:after="0" w:line="262" w:lineRule="auto"/>
        <w:rPr>
          <w:sz w:val="20"/>
          <w:szCs w:val="20"/>
          <w:color w:val="auto"/>
        </w:rPr>
      </w:pPr>
      <w:r>
        <w:rPr>
          <w:rFonts w:ascii="Times New Roman" w:cs="Times New Roman" w:eastAsia="Times New Roman" w:hAnsi="Times New Roman"/>
          <w:sz w:val="18"/>
          <w:szCs w:val="18"/>
          <w:color w:val="auto"/>
        </w:rPr>
        <w:t>In cases where we receive advertising rights, as opposed to only cash payments, in exchange for the equipment, revenue is recognized as it becomes earned, and the related costs of the equipment are amortized over the term of the advertising rights, which were owned by us. On these transactions, advance collections of advertising revenues are recorded as deferred income.</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cost of advertising rights, net of amortization, was $1,937 as of July 30, 2005 and $1,722 as of April 30, 2005.</w:t>
      </w:r>
    </w:p>
    <w:p>
      <w:pPr>
        <w:spacing w:after="0" w:line="223" w:lineRule="exact"/>
        <w:rPr>
          <w:sz w:val="20"/>
          <w:szCs w:val="20"/>
          <w:color w:val="auto"/>
        </w:rPr>
      </w:pPr>
    </w:p>
    <w:p>
      <w:pPr>
        <w:jc w:val="both"/>
        <w:ind w:right="80" w:firstLine="351"/>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Product maintenance: </w:t>
      </w:r>
      <w:r>
        <w:rPr>
          <w:rFonts w:ascii="Times New Roman" w:cs="Times New Roman" w:eastAsia="Times New Roman" w:hAnsi="Times New Roman"/>
          <w:sz w:val="16"/>
          <w:szCs w:val="16"/>
          <w:color w:val="auto"/>
        </w:rPr>
        <w:t>In connection with the sale of our products, we also occasionally sell separately priced extended warranties and product maintenance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contracts. The revenue related to such contracts are deferred and recognized ratably as net sales over the term of the contracts, which varies from one to 10 years.</w:t>
      </w:r>
    </w:p>
    <w:p>
      <w:pPr>
        <w:spacing w:after="0" w:line="124" w:lineRule="exact"/>
        <w:rPr>
          <w:sz w:val="20"/>
          <w:szCs w:val="20"/>
          <w:color w:val="auto"/>
        </w:rPr>
      </w:pPr>
    </w:p>
    <w:p>
      <w:pPr>
        <w:ind w:right="10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Software: </w:t>
      </w:r>
      <w:r>
        <w:rPr>
          <w:rFonts w:ascii="Times New Roman" w:cs="Times New Roman" w:eastAsia="Times New Roman" w:hAnsi="Times New Roman"/>
          <w:sz w:val="18"/>
          <w:szCs w:val="18"/>
          <w:color w:val="auto"/>
        </w:rPr>
        <w:t>We sell our proprietary software bundled with displays and certain other products. Pursuant to American Institute of Certified Public Accountants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long-term contracts, are recognized when persuasive evidence of an agreement exists, delivery of the product has occurred, the fee is fixed and determinable and collection is probable. For sales of software included in long-term contracts, the revenue is recognized under the percentage-of-completion method for long-term contracts starting when all of the above-mentioned criteria have been met.</w:t>
      </w:r>
    </w:p>
    <w:p>
      <w:pPr>
        <w:spacing w:after="0" w:line="193" w:lineRule="exact"/>
        <w:rPr>
          <w:sz w:val="20"/>
          <w:szCs w:val="20"/>
          <w:color w:val="auto"/>
        </w:rPr>
      </w:pPr>
    </w:p>
    <w:p>
      <w:pPr>
        <w:ind w:right="34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Revenues generated by us for services such as event support, control room design, on-site training, equipment service and continuing technical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for operators of our equipment are recognized as net sales as the services are performed.</w:t>
      </w:r>
    </w:p>
    <w:p>
      <w:pPr>
        <w:spacing w:after="0" w:line="170" w:lineRule="exact"/>
        <w:rPr>
          <w:sz w:val="20"/>
          <w:szCs w:val="20"/>
          <w:color w:val="auto"/>
        </w:rPr>
      </w:pPr>
    </w:p>
    <w:p>
      <w:pPr>
        <w:ind w:right="8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SFAS No. 133, “Accounting for Derivative Instruments and Hedging Activities”, requires companies to recognize all of its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as either assets or liabilities in the statement of financial position at fair value. The accounting for changes in the fair value of a derivative instrument depends on whether it has been designated and qualifies as part of a hedging relationship and also on the type of hedging relationship. For those derivative instruments that are designated and qualify as hedging instruments, a company must designate the hedging instrument, based upon the exposure being hedged, as a fair value hedge, cash flow hedge or hedge of a net investment in a foreign operation.</w:t>
      </w:r>
    </w:p>
    <w:p>
      <w:pPr>
        <w:spacing w:after="0" w:line="190" w:lineRule="exact"/>
        <w:rPr>
          <w:sz w:val="20"/>
          <w:szCs w:val="20"/>
          <w:color w:val="auto"/>
        </w:rPr>
      </w:pPr>
    </w:p>
    <w:p>
      <w:pPr>
        <w:ind w:right="20" w:firstLine="351"/>
        <w:spacing w:after="0" w:line="301" w:lineRule="auto"/>
        <w:rPr>
          <w:sz w:val="20"/>
          <w:szCs w:val="20"/>
          <w:color w:val="auto"/>
        </w:rPr>
      </w:pPr>
      <w:r>
        <w:rPr>
          <w:rFonts w:ascii="Times New Roman" w:cs="Times New Roman" w:eastAsia="Times New Roman" w:hAnsi="Times New Roman"/>
          <w:sz w:val="16"/>
          <w:szCs w:val="16"/>
          <w:color w:val="auto"/>
        </w:rPr>
        <w:t>For derivative instruments that are designated and qualify as a fair value hedge (that is, hedging the exposure to changes in the fair value of an asset or a liability or an identified portion thereof that is attributable to a particular risk), the gain or loss on the derivative instrument as well as the offsetting loss or gain on the hedged item attributable to the hedged risk are recognized in the same line item associated with the hedged item in current earnings during the period of the change in fair values. For derivative instruments that are designated and qualify as a cash flow hedge (that is, hedging the exposure to variability in expected</w:t>
      </w:r>
    </w:p>
    <w:p>
      <w:pPr>
        <w:sectPr>
          <w:pgSz w:w="11900" w:h="16955" w:orient="portrait"/>
          <w:cols w:equalWidth="0" w:num="1">
            <w:col w:w="11420"/>
          </w:cols>
          <w:pgMar w:left="240" w:top="125" w:right="239" w:bottom="0" w:gutter="0" w:footer="0" w:header="0"/>
        </w:sectPr>
      </w:pPr>
    </w:p>
    <w:bookmarkStart w:id="7" w:name="page8"/>
    <w:bookmarkEnd w:id="7"/>
    <w:p>
      <w:pPr>
        <w:jc w:val="both"/>
        <w:ind w:right="120"/>
        <w:spacing w:after="0" w:line="290" w:lineRule="auto"/>
        <w:rPr>
          <w:sz w:val="20"/>
          <w:szCs w:val="20"/>
          <w:color w:val="auto"/>
        </w:rPr>
      </w:pPr>
      <w:r>
        <w:rPr>
          <w:rFonts w:ascii="Times New Roman" w:cs="Times New Roman" w:eastAsia="Times New Roman" w:hAnsi="Times New Roman"/>
          <w:sz w:val="16"/>
          <w:szCs w:val="16"/>
          <w:color w:val="auto"/>
        </w:rPr>
        <w:t>future cash flows that is attributable to a particular risk), the effective portion of the gain or loss on the derivative instrument is reported as a component of other comprehensive income and reclassified into earnings in the same line item associated with the forecasted transaction in the same period or periods during which the hedged transaction affects earnings. The remaining gain or loss on the derivative instrument in excess of the cumulative change in the present value of future cash flows of the hedged item, if any, is recognized in other income/expense in current earnings during the period of change. For derivative instruments that are designated and qualify as a hedge of a net investment in a foreign currency, the gain or loss is reported in other comprehensive income as part of the cumulative translation adjustment to the extent it is effective. Any ineffective portions of net investment hedges are recognized in other income/expense in current earnings during the period of change. For derivative instruments not designated as hedging instruments, the gain or loss is recognized in other income/expense in current earnings during the period of change. Currently, we have not designated any hedges as fair value hedges or as hedges of a net investment in a foreign currency.</w:t>
      </w:r>
    </w:p>
    <w:p>
      <w:pPr>
        <w:spacing w:after="0" w:line="166" w:lineRule="exact"/>
        <w:rPr>
          <w:sz w:val="20"/>
          <w:szCs w:val="20"/>
          <w:color w:val="auto"/>
        </w:rPr>
      </w:pPr>
    </w:p>
    <w:p>
      <w:pPr>
        <w:ind w:right="200" w:firstLine="351"/>
        <w:spacing w:after="0" w:line="256" w:lineRule="auto"/>
        <w:rPr>
          <w:sz w:val="20"/>
          <w:szCs w:val="20"/>
          <w:color w:val="auto"/>
        </w:rPr>
      </w:pPr>
      <w:r>
        <w:rPr>
          <w:rFonts w:ascii="Times New Roman" w:cs="Times New Roman" w:eastAsia="Times New Roman" w:hAnsi="Times New Roman"/>
          <w:sz w:val="18"/>
          <w:szCs w:val="18"/>
          <w:color w:val="auto"/>
        </w:rPr>
        <w:t>Cash Flow Hedging Strategy — To protect against the reduction in value of forecasted foreign currency cash flows resulting from certain expected export sales, we have instituted a foreign currency cash flow hedging program. We hedge portions of our forecasted revenue denominated in foreign currencies with forward contracts. When the dollar strengthens significantly against the foreign currencies, the decline in value of future foreign currency revenue is offset by gains in the value of the forward contracts designated as hedges. Conversely, when the dollar weakens, the increase in the value of future foreign currency cash flows is offset by losses in the value of the forward contracts.</w:t>
      </w:r>
    </w:p>
    <w:p>
      <w:pPr>
        <w:spacing w:after="0" w:line="193"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Derivatives — We utilize derivative financial instruments to manage the economic impact of fluctuations in currency exchange rates on those transactions that are denominated in a currency other than our functional currency, which is the US Dollar. We enter into currency forward contracts to manage these economic risks. As of January 1, 2001, we adopted SFAS No. 133, “Accounting for Derivative Instruments and Hedging Activities, as amended by SFAS No. 137 and No. 138. SFAS No. 133, as amended, requires us to recognize all derivatives on the balance sheet at fair value. Derivatives that are not hedges must be adjusted to fair value through earnings. If a derivative is a hedge, depending on the nature of the hedge, changes in the fair value of derivatives are either offset against the change in the fair value of the hedged assets, liabilities or firm commitments through earnings or recognized in accumulated other comprehensive gain (loss) until the hedged item is recognized in earnings.</w:t>
      </w:r>
    </w:p>
    <w:p>
      <w:pPr>
        <w:spacing w:after="0" w:line="195"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To protect against the reduction in value of forecasted foreign currency cash flows resulting from export sales over the next year, we have instituted a foreign currency cash flow hedging program. We hedge portions of our forecasted revenue denominated in foreign currencies with forward contracts. When the dollar strengthens significantly against the foreign currencies, the decline in value of future foreign currency revenue is offset by gains in the value of the forward contracts designated as hedges. Conversely, when the dollar weakens, the increase in the value of future foreign currency cash flows is offset by losses in the value of the forward contracts.</w:t>
      </w:r>
    </w:p>
    <w:p>
      <w:pPr>
        <w:spacing w:after="0" w:line="193" w:lineRule="exact"/>
        <w:rPr>
          <w:sz w:val="20"/>
          <w:szCs w:val="20"/>
          <w:color w:val="auto"/>
        </w:rPr>
      </w:pPr>
    </w:p>
    <w:p>
      <w:pPr>
        <w:jc w:val="both"/>
        <w:ind w:right="100" w:firstLine="351"/>
        <w:spacing w:after="0" w:line="258" w:lineRule="auto"/>
        <w:rPr>
          <w:sz w:val="20"/>
          <w:szCs w:val="20"/>
          <w:color w:val="auto"/>
        </w:rPr>
      </w:pPr>
      <w:r>
        <w:rPr>
          <w:rFonts w:ascii="Times New Roman" w:cs="Times New Roman" w:eastAsia="Times New Roman" w:hAnsi="Times New Roman"/>
          <w:sz w:val="18"/>
          <w:szCs w:val="18"/>
          <w:color w:val="auto"/>
        </w:rPr>
        <w:t>During three months ended July 30, 2005, we did not recognize any net gain or loss related to the ineffective portion of our hedging instruments, or any net gain or loss related to the portion of the hedging instrument excluded from the assessment of hedge effectiveness. No cash flow hedges were discontinued which would have caused the recognition of a gain or loss in other income (expense), net. The fair value of all derivatives is included in prepaid expenses and other in the statement of financial condition.</w:t>
      </w:r>
    </w:p>
    <w:p>
      <w:pPr>
        <w:spacing w:after="0" w:line="190" w:lineRule="exact"/>
        <w:rPr>
          <w:sz w:val="20"/>
          <w:szCs w:val="20"/>
          <w:color w:val="auto"/>
        </w:rPr>
      </w:pPr>
    </w:p>
    <w:p>
      <w:pPr>
        <w:ind w:right="200" w:firstLine="341"/>
        <w:spacing w:after="0" w:line="275" w:lineRule="auto"/>
        <w:rPr>
          <w:sz w:val="20"/>
          <w:szCs w:val="20"/>
          <w:color w:val="auto"/>
        </w:rPr>
      </w:pPr>
      <w:r>
        <w:rPr>
          <w:rFonts w:ascii="Times New Roman" w:cs="Times New Roman" w:eastAsia="Times New Roman" w:hAnsi="Times New Roman"/>
          <w:sz w:val="18"/>
          <w:szCs w:val="18"/>
          <w:color w:val="auto"/>
        </w:rPr>
        <w:t>As of July 30, 2005, we expect to reclassify $66 of net gains (losses) on derivative instruments from accumulated other comprehensive income to earnings during the next 12 months due to actual export sales.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Earnings Per Share</w:t>
      </w:r>
    </w:p>
    <w:p>
      <w:pPr>
        <w:spacing w:after="0" w:line="308"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Basic earnings per share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income and common share amounts used in the calculation of basic and diluted EPS for the three months ended July 30, 2005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2004 follows:</w:t>
      </w:r>
    </w:p>
    <w:p>
      <w:pPr>
        <w:spacing w:after="0" w:line="211"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6"/>
              </w:rPr>
              <w:t>Per Share</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Net Income</w:t>
            </w:r>
          </w:p>
        </w:tc>
        <w:tc>
          <w:tcPr>
            <w:tcW w:w="240" w:type="dxa"/>
            <w:vAlign w:val="bottom"/>
          </w:tcPr>
          <w:p>
            <w:pPr>
              <w:spacing w:after="0"/>
              <w:rPr>
                <w:sz w:val="20"/>
                <w:szCs w:val="20"/>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110"/>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For the three months ended July 30, 2005:</w:t>
            </w: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19,200,518</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970,909</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20,171,427</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For the three months ended July 31, 2004:</w:t>
            </w:r>
          </w:p>
        </w:tc>
        <w:tc>
          <w:tcPr>
            <w:tcW w:w="3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4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18,889,106</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1,235,011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20,124,117</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-1000760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-1000760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-1000760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-1000760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-1000760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-1000760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w:t>
      </w:r>
    </w:p>
    <w:p>
      <w:pPr>
        <w:spacing w:after="0" w:line="308" w:lineRule="exact"/>
        <w:rPr>
          <w:sz w:val="20"/>
          <w:szCs w:val="20"/>
          <w:color w:val="auto"/>
        </w:rPr>
      </w:pPr>
    </w:p>
    <w:p>
      <w:pPr>
        <w:ind w:right="580" w:firstLine="348"/>
        <w:spacing w:after="0" w:line="275" w:lineRule="auto"/>
        <w:rPr>
          <w:sz w:val="20"/>
          <w:szCs w:val="20"/>
          <w:color w:val="auto"/>
        </w:rPr>
      </w:pPr>
      <w:r>
        <w:rPr>
          <w:rFonts w:ascii="Times New Roman" w:cs="Times New Roman" w:eastAsia="Times New Roman" w:hAnsi="Times New Roman"/>
          <w:sz w:val="18"/>
          <w:szCs w:val="18"/>
          <w:color w:val="auto"/>
        </w:rPr>
        <w:t>We account for goodwill and other intangible assets in accordance with SFAS No. 142, “Goodwill and Other Intangible Assets,” and we complete an impairment analysis on at least an annual basis and more frequently if circumstances warrant.</w:t>
      </w:r>
    </w:p>
    <w:p>
      <w:pPr>
        <w:spacing w:after="0" w:line="174" w:lineRule="exact"/>
        <w:rPr>
          <w:sz w:val="20"/>
          <w:szCs w:val="20"/>
          <w:color w:val="auto"/>
        </w:rPr>
      </w:pPr>
    </w:p>
    <w:p>
      <w:pPr>
        <w:ind w:right="200" w:firstLine="615"/>
        <w:spacing w:after="0" w:line="262" w:lineRule="auto"/>
        <w:rPr>
          <w:sz w:val="20"/>
          <w:szCs w:val="20"/>
          <w:color w:val="auto"/>
        </w:rPr>
      </w:pPr>
      <w:r>
        <w:rPr>
          <w:rFonts w:ascii="Times New Roman" w:cs="Times New Roman" w:eastAsia="Times New Roman" w:hAnsi="Times New Roman"/>
          <w:sz w:val="18"/>
          <w:szCs w:val="18"/>
          <w:color w:val="auto"/>
        </w:rPr>
        <w:t>Goodwill, net of accumulated amortization, was $2,588 at July 30, 2005 and $2,621 at April 30, 2005. Accumulated amortization was $157 at July 30, 2005 and at April 30, 2005. We performed our annual impairment analysis of goodwill as of October 30, 2004. The result of this analysis indicated that no goodwill impairment existed as of that date.</w:t>
      </w:r>
    </w:p>
    <w:p>
      <w:pPr>
        <w:sectPr>
          <w:pgSz w:w="11900" w:h="16838" w:orient="portrait"/>
          <w:cols w:equalWidth="0" w:num="1">
            <w:col w:w="11400"/>
          </w:cols>
          <w:pgMar w:left="240" w:top="125" w:right="259" w:bottom="169" w:gutter="0" w:footer="0" w:header="0"/>
        </w:sectPr>
      </w:pPr>
    </w:p>
    <w:bookmarkStart w:id="8" w:name="page9"/>
    <w:bookmarkEnd w:id="8"/>
    <w:p>
      <w:pPr>
        <w:ind w:firstLine="341"/>
        <w:spacing w:after="0" w:line="256" w:lineRule="auto"/>
        <w:rPr>
          <w:sz w:val="20"/>
          <w:szCs w:val="20"/>
          <w:color w:val="auto"/>
        </w:rPr>
      </w:pPr>
      <w:r>
        <w:rPr>
          <w:rFonts w:ascii="Times New Roman" w:cs="Times New Roman" w:eastAsia="Times New Roman" w:hAnsi="Times New Roman"/>
          <w:sz w:val="18"/>
          <w:szCs w:val="18"/>
          <w:color w:val="auto"/>
        </w:rPr>
        <w:t>As required by SFAS No. 142, intangibles with finite lives continue to be amortized. Included in intangible assets are a non-compete agreement and a patent license. Intangible assets before accumulated amortization were $560 at July 30, 2005 at April 30, 2005. Accumulated amortization was $534 and $524 at July 30, 2005 and April 30, 2005, respectively. The net value of intangible assets is included as a component of intangible and other assets in the accompanying consolidated balance sheets. Estimated amortization expense based on intangibles as of April 30, 2005 was $28 and $1 and $1 for the fiscal years ending 2006, 2007 and 2008, respectively.</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10"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8"/>
        </w:trPr>
        <w:tc>
          <w:tcPr>
            <w:tcW w:w="3880" w:type="dxa"/>
            <w:vAlign w:val="bottom"/>
          </w:tcPr>
          <w:p>
            <w:pPr>
              <w:spacing w:after="0"/>
              <w:rPr>
                <w:sz w:val="15"/>
                <w:szCs w:val="15"/>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2005</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2005</w:t>
            </w:r>
          </w:p>
        </w:tc>
      </w:tr>
      <w:tr>
        <w:trPr>
          <w:trHeight w:val="95"/>
        </w:trPr>
        <w:tc>
          <w:tcPr>
            <w:tcW w:w="388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r>
      <w:tr>
        <w:trPr>
          <w:trHeight w:val="30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120" w:type="dxa"/>
            <w:vAlign w:val="bottom"/>
          </w:tcPr>
          <w:p>
            <w:pPr>
              <w:jc w:val="right"/>
              <w:ind w:right="94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8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10,446</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w:t>
            </w:r>
          </w:p>
        </w:tc>
      </w:tr>
      <w:tr>
        <w:trPr>
          <w:trHeight w:val="22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w:t>
            </w:r>
          </w:p>
        </w:tc>
      </w:tr>
      <w:tr>
        <w:trPr>
          <w:trHeight w:val="110"/>
        </w:trPr>
        <w:tc>
          <w:tcPr>
            <w:tcW w:w="388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316"/>
        </w:trPr>
        <w:tc>
          <w:tcPr>
            <w:tcW w:w="3880" w:type="dxa"/>
            <w:vAlign w:val="bottom"/>
          </w:tcPr>
          <w:p>
            <w:pPr>
              <w:spacing w:after="0"/>
              <w:rPr>
                <w:sz w:val="24"/>
                <w:szCs w:val="24"/>
                <w:color w:val="auto"/>
              </w:rPr>
            </w:pPr>
          </w:p>
        </w:tc>
        <w:tc>
          <w:tcPr>
            <w:tcW w:w="1120" w:type="dxa"/>
            <w:vAlign w:val="bottom"/>
          </w:tcPr>
          <w:p>
            <w:pPr>
              <w:jc w:val="right"/>
              <w:ind w:right="94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27,376</w:t>
            </w:r>
          </w:p>
        </w:tc>
        <w:tc>
          <w:tcPr>
            <w:tcW w:w="8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24,612</w:t>
            </w:r>
          </w:p>
        </w:tc>
      </w:tr>
      <w:tr>
        <w:trPr>
          <w:trHeight w:val="120"/>
        </w:trPr>
        <w:tc>
          <w:tcPr>
            <w:tcW w:w="388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Segment Disclosure</w:t>
      </w:r>
    </w:p>
    <w:p>
      <w:pPr>
        <w:spacing w:after="0" w:line="308" w:lineRule="exact"/>
        <w:rPr>
          <w:sz w:val="20"/>
          <w:szCs w:val="20"/>
          <w:color w:val="auto"/>
        </w:rPr>
      </w:pPr>
    </w:p>
    <w:p>
      <w:pPr>
        <w:ind w:right="240" w:firstLine="351"/>
        <w:spacing w:after="0" w:line="262" w:lineRule="auto"/>
        <w:rPr>
          <w:sz w:val="20"/>
          <w:szCs w:val="20"/>
          <w:color w:val="auto"/>
        </w:rPr>
      </w:pPr>
      <w:r>
        <w:rPr>
          <w:rFonts w:ascii="Times New Roman" w:cs="Times New Roman" w:eastAsia="Times New Roman" w:hAnsi="Times New Roman"/>
          <w:sz w:val="18"/>
          <w:szCs w:val="18"/>
          <w:color w:val="auto"/>
        </w:rPr>
        <w:t>Our chief operating decision maker reviews financial information presented on a consolidated basis, accompanied by disaggregated information about revenue and certain expenses, by market and geographic region, for purposes of assessing financial performance and making operating decisions. Accordingly, we consider ourselves to be operating in a single industry segment. We do not manage our business by solution or focus area.</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do not maintain information on sales by products and, therefore, disclosure of such information is not practical.</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information about us by geographic area: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United States</w:t>
            </w:r>
          </w:p>
        </w:tc>
        <w:tc>
          <w:tcPr>
            <w:tcW w:w="20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10"/>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 for the three months ended:</w:t>
            </w: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July 30, 2005</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60,775</w:t>
            </w:r>
          </w:p>
        </w:tc>
        <w:tc>
          <w:tcPr>
            <w:tcW w:w="16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72,345</w:t>
            </w:r>
          </w:p>
        </w:tc>
        <w:tc>
          <w:tcPr>
            <w:tcW w:w="0" w:type="dxa"/>
            <w:vAlign w:val="bottom"/>
          </w:tcPr>
          <w:p>
            <w:pPr>
              <w:spacing w:after="0"/>
              <w:rPr>
                <w:sz w:val="1"/>
                <w:szCs w:val="1"/>
                <w:color w:val="auto"/>
              </w:rPr>
            </w:pPr>
          </w:p>
        </w:tc>
      </w:tr>
      <w:tr>
        <w:trPr>
          <w:trHeight w:val="228"/>
        </w:trPr>
        <w:tc>
          <w:tcPr>
            <w:tcW w:w="4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July 31, 2004</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58,710</w:t>
            </w:r>
          </w:p>
        </w:tc>
        <w:tc>
          <w:tcPr>
            <w:tcW w:w="0" w:type="dxa"/>
            <w:vAlign w:val="bottom"/>
          </w:tcPr>
          <w:p>
            <w:pPr>
              <w:spacing w:after="0"/>
              <w:rPr>
                <w:sz w:val="1"/>
                <w:szCs w:val="1"/>
                <w:color w:val="auto"/>
              </w:rPr>
            </w:pPr>
          </w:p>
        </w:tc>
      </w:tr>
      <w:tr>
        <w:trPr>
          <w:trHeight w:val="42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Long-lived assets at:</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July 30,2005</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33,477</w:t>
            </w:r>
          </w:p>
        </w:tc>
        <w:tc>
          <w:tcPr>
            <w:tcW w:w="0" w:type="dxa"/>
            <w:vAlign w:val="bottom"/>
          </w:tcPr>
          <w:p>
            <w:pPr>
              <w:spacing w:after="0"/>
              <w:rPr>
                <w:sz w:val="1"/>
                <w:szCs w:val="1"/>
                <w:color w:val="auto"/>
              </w:rPr>
            </w:pPr>
          </w:p>
        </w:tc>
      </w:tr>
      <w:tr>
        <w:trPr>
          <w:trHeight w:val="228"/>
        </w:trPr>
        <w:tc>
          <w:tcPr>
            <w:tcW w:w="4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July 31, 2004</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28,714</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Equipment Held for Sale</w:t>
      </w:r>
    </w:p>
    <w:p>
      <w:pPr>
        <w:spacing w:after="0" w:line="308"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In accordance with SFAS No. 144, “Accounting for the Impairment or Disposal of Long-Lived Assets,” we review long-lived assets to be held and used and long-lived assets to be disposed of, including intangible assets, for impairment whenever events or changes in circumstances indicate that the carrying amount of such assets may not be recoverable. Recoverability of assets to be held and used is measured by comparing the carrying amount of the asset to the future undiscounted net cash flows expected to be generated by the asset. Recoverability of assets held for sale is measured by comparing the carrying amount of the assets to their estimated fair market value. If any assets are considered to be impaired, the impairment is measured by the amount by which the carrying amount of the assets exceeds the estimated fair value.</w:t>
      </w:r>
    </w:p>
    <w:p>
      <w:pPr>
        <w:spacing w:after="0" w:line="193"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During the second quarter of fiscal year 2005, we entered into a plan to sell the rental equipment owned by a wholly owned subsidiary to allow us to focus more on sales of our new line of ProTour™ displays and to provide deeper support of the display rental market. As a result, this equipment was classified in the April 30, 2005 balance sheet as rental equipment held for sale, and based on our analysis of recoverability, no loss had been recognized related to the equipment, in accordance with SFAS No. 144. During the first quarter of fiscal year 2006, we completed the transaction. The sale and related costs of sold equipment were reported in income from operations.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Acquisitions</w:t>
      </w:r>
    </w:p>
    <w:p>
      <w:pPr>
        <w:spacing w:after="0" w:line="308"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On November 30, 2004, we acquired all of the assets and assumed certain liabilities of Dodge Electronics, Inc. (“Dodge”), and on December 14, 2004, we acquired 100% of the outstanding stock of European Timing Systems, Ltd. Both acquisitions were paid for in cash, and the related acquisition agreements contain provisions for contingent consideration based on the gross profit of future transactions connected with each business. The amount of the contingent consideration is not expected to be significant and will be treated as compensation expense as it becomes earned. No amounts have been paid through July 30, 2005. We are also currently leasing facilities in Topeka, Kansas from the seller of Dodge for term of up to five years.</w:t>
      </w:r>
    </w:p>
    <w:p>
      <w:pPr>
        <w:spacing w:after="0" w:line="193"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The aggregate cost of these acquisitions was approximately $1,024. Goodwill in the amount of $1,126 was recognized, and that amount is expected to be fully deductible for tax purposes. Because these transactions are not material to us, no pro forma disclosures have been made.</w:t>
      </w:r>
    </w:p>
    <w:p>
      <w:pPr>
        <w:spacing w:after="0" w:line="174"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u w:val="single" w:color="auto"/>
          <w:color w:val="auto"/>
        </w:rPr>
        <w:t>Comprehensive income:</w:t>
      </w:r>
      <w:r>
        <w:rPr>
          <w:rFonts w:ascii="Times New Roman" w:cs="Times New Roman" w:eastAsia="Times New Roman" w:hAnsi="Times New Roman"/>
          <w:sz w:val="18"/>
          <w:szCs w:val="18"/>
          <w:color w:val="auto"/>
        </w:rPr>
        <w:t xml:space="preserve"> We follow the provisions of SFAS No. 130, “Reporting Comprehensive Income”, which establishes standards for reporting and display of comprehensive income and its components. Comprehensive income reflects the change in equity of a business enterprise during a period from transactions and other events and circumstances from non-owner sources. For us, comprehensive income represents net income adjusted for foreign currency translation adjustments and net gains and losses on derivative instruments. The foreign currency translation adjustment included in comprehensive income has not been tax effected, as the investment in the foreign affiliate is deemed to be permanent. In accordance with SFAS No. 130, we have chosen to disclose comprehensive income in the consolidated statement of shareholders’ equity.</w:t>
      </w:r>
    </w:p>
    <w:p>
      <w:pPr>
        <w:sectPr>
          <w:pgSz w:w="11900" w:h="16838" w:orient="portrait"/>
          <w:cols w:equalWidth="0" w:num="1">
            <w:col w:w="11420"/>
          </w:cols>
          <w:pgMar w:left="240" w:top="125" w:right="239" w:bottom="41" w:gutter="0" w:footer="0" w:header="0"/>
        </w:sectPr>
      </w:pPr>
    </w:p>
    <w:bookmarkStart w:id="9" w:name="page10"/>
    <w:bookmarkEnd w:id="9"/>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Comprehensive Income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4"/>
              </w:rPr>
              <w:t>Three Months Ended</w:t>
            </w:r>
          </w:p>
        </w:tc>
      </w:tr>
      <w:tr>
        <w:trPr>
          <w:trHeight w:val="20"/>
        </w:trPr>
        <w:tc>
          <w:tcPr>
            <w:tcW w:w="3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5"/>
        </w:trPr>
        <w:tc>
          <w:tcPr>
            <w:tcW w:w="3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ind w:left="100"/>
              <w:spacing w:after="0" w:line="125" w:lineRule="exact"/>
              <w:rPr>
                <w:sz w:val="20"/>
                <w:szCs w:val="20"/>
                <w:color w:val="auto"/>
              </w:rPr>
            </w:pPr>
            <w:r>
              <w:rPr>
                <w:rFonts w:ascii="Times New Roman" w:cs="Times New Roman" w:eastAsia="Times New Roman" w:hAnsi="Times New Roman"/>
                <w:sz w:val="14"/>
                <w:szCs w:val="14"/>
                <w:b w:val="1"/>
                <w:bCs w:val="1"/>
                <w:color w:val="auto"/>
              </w:rPr>
              <w:t>July 30,</w:t>
            </w:r>
          </w:p>
        </w:tc>
        <w:tc>
          <w:tcPr>
            <w:tcW w:w="180" w:type="dxa"/>
            <w:vAlign w:val="bottom"/>
          </w:tcPr>
          <w:p>
            <w:pPr>
              <w:spacing w:after="0"/>
              <w:rPr>
                <w:sz w:val="10"/>
                <w:szCs w:val="10"/>
                <w:color w:val="auto"/>
              </w:rPr>
            </w:pPr>
          </w:p>
        </w:tc>
        <w:tc>
          <w:tcPr>
            <w:tcW w:w="5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July 31,</w:t>
            </w:r>
          </w:p>
        </w:tc>
      </w:tr>
      <w:tr>
        <w:trPr>
          <w:trHeight w:val="178"/>
        </w:trPr>
        <w:tc>
          <w:tcPr>
            <w:tcW w:w="3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5"/>
                <w:szCs w:val="15"/>
                <w:color w:val="auto"/>
              </w:rPr>
            </w:pPr>
          </w:p>
        </w:tc>
      </w:tr>
      <w:tr>
        <w:trPr>
          <w:trHeight w:val="95"/>
        </w:trPr>
        <w:tc>
          <w:tcPr>
            <w:tcW w:w="39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r>
      <w:tr>
        <w:trPr>
          <w:trHeight w:val="30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5,032</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8"/>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gain on derivatives</w:t>
            </w:r>
          </w:p>
        </w:tc>
        <w:tc>
          <w:tcPr>
            <w:tcW w:w="2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10"/>
        </w:trPr>
        <w:tc>
          <w:tcPr>
            <w:tcW w:w="3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r>
      <w:tr>
        <w:trPr>
          <w:trHeight w:val="3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5,213</w:t>
            </w:r>
          </w:p>
        </w:tc>
      </w:tr>
      <w:tr>
        <w:trPr>
          <w:trHeight w:val="120"/>
        </w:trPr>
        <w:tc>
          <w:tcPr>
            <w:tcW w:w="39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95"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95" w:lineRule="exact"/>
        <w:rPr>
          <w:sz w:val="20"/>
          <w:szCs w:val="20"/>
          <w:color w:val="auto"/>
        </w:rPr>
      </w:pPr>
    </w:p>
    <w:p>
      <w:pPr>
        <w:ind w:right="720" w:firstLine="348"/>
        <w:spacing w:after="0" w:line="339" w:lineRule="auto"/>
        <w:rPr>
          <w:sz w:val="20"/>
          <w:szCs w:val="20"/>
          <w:color w:val="auto"/>
        </w:rPr>
      </w:pPr>
      <w:r>
        <w:rPr>
          <w:rFonts w:ascii="Times New Roman" w:cs="Times New Roman" w:eastAsia="Times New Roman" w:hAnsi="Times New Roman"/>
          <w:sz w:val="16"/>
          <w:szCs w:val="16"/>
          <w:color w:val="auto"/>
        </w:rPr>
        <w:t>We design, manufacture and sell a wide range of display systems to customers in a variety of markets throughout the world. We focus our sales and marketing efforts on geographical regions, markets and products. The primary categories of markets include sport, commercial and transportation.</w:t>
      </w:r>
    </w:p>
    <w:p>
      <w:pPr>
        <w:spacing w:after="0" w:line="128"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Our net sales and profitability historically have fluctuated due to the impact of large product orders, such as display systems for professional sport facilities and colleges and universities, as well as the seasonality of the sports market. Net sales and gross profit percentages also have fluctuated due to other seasonality factors including the impact of holidays, which primarily impact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may be subject to similar fluctuations.</w:t>
      </w:r>
    </w:p>
    <w:p>
      <w:pPr>
        <w:spacing w:after="0" w:line="193"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Orders are booked only upon receipt of a firm contract and, depending on terms, only after receipt of any required deposits related to the order.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186" w:lineRule="exact"/>
        <w:rPr>
          <w:sz w:val="20"/>
          <w:szCs w:val="20"/>
          <w:color w:val="auto"/>
        </w:rPr>
      </w:pPr>
    </w:p>
    <w:p>
      <w:pPr>
        <w:ind w:right="180" w:firstLine="348"/>
        <w:spacing w:after="0" w:line="275" w:lineRule="auto"/>
        <w:rPr>
          <w:sz w:val="20"/>
          <w:szCs w:val="20"/>
          <w:color w:val="auto"/>
        </w:rPr>
      </w:pPr>
      <w:r>
        <w:rPr>
          <w:rFonts w:ascii="Times New Roman" w:cs="Times New Roman" w:eastAsia="Times New Roman" w:hAnsi="Times New Roman"/>
          <w:sz w:val="18"/>
          <w:szCs w:val="18"/>
          <w:color w:val="auto"/>
        </w:rPr>
        <w:t>We operate on a 52-53 week fiscal year, with fiscal years ending on the Saturday closest to April 30 of each year. Fiscal years 2006 and 2005 each contains 52 weeks.</w:t>
      </w:r>
    </w:p>
    <w:p>
      <w:pPr>
        <w:spacing w:after="0" w:line="174"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and the effects of those pronouncements on our financial results, refer to Note 3 of the notes to our consolidated financial statements, which are included elsewhere in this report.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95"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contracts, estimated costs to be incurred for product warranties and extended maintenance contracts, bad debts, excess and obsolete inventory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believe the following critical accounting policies require significant judgments and estimates in the preparation of our consolidated financial statements:</w:t>
      </w:r>
    </w:p>
    <w:p>
      <w:pPr>
        <w:spacing w:after="0" w:line="246" w:lineRule="exact"/>
        <w:rPr>
          <w:sz w:val="20"/>
          <w:szCs w:val="20"/>
          <w:color w:val="auto"/>
        </w:rPr>
      </w:pPr>
    </w:p>
    <w:p>
      <w:pPr>
        <w:ind w:right="14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recognition on long-term contracts. </w:t>
      </w:r>
      <w:r>
        <w:rPr>
          <w:rFonts w:ascii="Times New Roman" w:cs="Times New Roman" w:eastAsia="Times New Roman" w:hAnsi="Times New Roman"/>
          <w:sz w:val="18"/>
          <w:szCs w:val="18"/>
          <w:color w:val="auto"/>
        </w:rPr>
        <w:t>Earnings on long-term contracts are recognized on the percentage-of-completion method, measured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costs incurred to date to estimated total costs for each contract. Provisions for estimated losses on uncompleted contracts are made in the period in which such losses are estimatable. Generally, contracts we enter into have fixed prices established and, to the extent the actual costs to complete contracts are higher than the amounts estimated as of the date of the financial statements, the resulting gross margin would be negatively affected in future quarters when we revise our estimates. Our practice is to revise estimates as soon as such changes in estimates are known.</w:t>
      </w:r>
    </w:p>
    <w:p>
      <w:pPr>
        <w:spacing w:after="0" w:line="188" w:lineRule="exact"/>
        <w:rPr>
          <w:sz w:val="20"/>
          <w:szCs w:val="20"/>
          <w:color w:val="auto"/>
        </w:rPr>
      </w:pPr>
    </w:p>
    <w:p>
      <w:pPr>
        <w:ind w:right="100" w:firstLine="351"/>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Allowance for doubtful accounts. </w:t>
      </w:r>
      <w:r>
        <w:rPr>
          <w:rFonts w:ascii="Times New Roman" w:cs="Times New Roman" w:eastAsia="Times New Roman" w:hAnsi="Times New Roman"/>
          <w:sz w:val="16"/>
          <w:szCs w:val="16"/>
          <w:color w:val="auto"/>
        </w:rPr>
        <w:t>We maintain an allowance for doubtful accounts for estimated losses resulting from the inability of our customers to make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required payments. If the financial condition of our customers were to deteriorate, resulting in an impairment of their ability to make payments, additional allowances may be required. To identify impairment in the customer’s ability to pay, we review aging reports, contact customers in connection with collection efforts and review other available information. As of July 30, 2005, we had an allowance for doubtful accounts balance of approximately $1.1 million.</w:t>
      </w:r>
    </w:p>
    <w:p>
      <w:pPr>
        <w:spacing w:after="0" w:line="154" w:lineRule="exact"/>
        <w:rPr>
          <w:sz w:val="20"/>
          <w:szCs w:val="20"/>
          <w:color w:val="auto"/>
        </w:rPr>
      </w:pPr>
    </w:p>
    <w:p>
      <w:pPr>
        <w:ind w:right="14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Warranties. </w:t>
      </w:r>
      <w:r>
        <w:rPr>
          <w:rFonts w:ascii="Times New Roman" w:cs="Times New Roman" w:eastAsia="Times New Roman" w:hAnsi="Times New Roman"/>
          <w:sz w:val="18"/>
          <w:szCs w:val="18"/>
          <w:color w:val="auto"/>
        </w:rPr>
        <w:t>We have created a reserve for warranties on our products equal to our estimate of the actual costs to be incurred in connection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under the warranties. Generally, estimates are based on historical experience taking into account known or expected changes. If we would become aware of an increase in our warranty reserves, additional reserves may become necessary, resulting in an increase in costs of goods sold. As of July 30, 2005, we had approximately $5.3 million reserved for these costs.</w:t>
      </w:r>
    </w:p>
    <w:p>
      <w:pPr>
        <w:spacing w:after="0" w:line="187" w:lineRule="exact"/>
        <w:rPr>
          <w:sz w:val="20"/>
          <w:szCs w:val="20"/>
          <w:color w:val="auto"/>
        </w:rPr>
      </w:pPr>
    </w:p>
    <w:p>
      <w:pPr>
        <w:ind w:right="8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Extended warranty and product maintenance. </w:t>
      </w:r>
      <w:r>
        <w:rPr>
          <w:rFonts w:ascii="Times New Roman" w:cs="Times New Roman" w:eastAsia="Times New Roman" w:hAnsi="Times New Roman"/>
          <w:sz w:val="18"/>
          <w:szCs w:val="18"/>
          <w:color w:val="auto"/>
        </w:rPr>
        <w:t>We have deferred revenue related to separately priced extended warranty and product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and other information on the contracts and compare that to the deferred revenue. As of July 30, 2005, we had $3.2 million of deferred revenue related to extended warranty and product maintenance.</w:t>
      </w:r>
    </w:p>
    <w:p>
      <w:pPr>
        <w:sectPr>
          <w:pgSz w:w="11900" w:h="16855" w:orient="portrait"/>
          <w:cols w:equalWidth="0" w:num="1">
            <w:col w:w="11420"/>
          </w:cols>
          <w:pgMar w:left="240" w:top="123" w:right="239" w:bottom="0" w:gutter="0" w:footer="0" w:header="0"/>
        </w:sectPr>
      </w:pPr>
    </w:p>
    <w:bookmarkStart w:id="10" w:name="page11"/>
    <w:bookmarkEnd w:id="10"/>
    <w:p>
      <w:pPr>
        <w:ind w:right="60" w:firstLine="351"/>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Inventory. </w:t>
      </w:r>
      <w:r>
        <w:rPr>
          <w:rFonts w:ascii="Times New Roman" w:cs="Times New Roman" w:eastAsia="Times New Roman" w:hAnsi="Times New Roman"/>
          <w:sz w:val="16"/>
          <w:szCs w:val="16"/>
          <w:color w:val="auto"/>
        </w:rPr>
        <w:t>Inventories are stated at the lower of cost or market. Market refers to the current replacement cost, except that market may not exceed the net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realizable value (that is, estimated selling price in the ordinary course of business less reasonable predictable costs of completion and disposal); and market is not less than the net realizable value reduced by an allowance for normal profit margins. In valuing inventory, we estimate market value where it is believed to be the lower of cost or market, and any necessary charges are charged to costs of goods sold in the period in which it occurs. All other inventory is valued at cost.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sets forth the percentage of net sales represented by items included in our consolidated statements of income for the periods indicated: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sets forth the percentage of net sales represented by items included in our consolidated statements of income for the periods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96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July</w:t>
            </w: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8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July 31,</w:t>
            </w:r>
          </w:p>
        </w:tc>
        <w:tc>
          <w:tcPr>
            <w:tcW w:w="0" w:type="dxa"/>
            <w:vAlign w:val="bottom"/>
          </w:tcPr>
          <w:p>
            <w:pPr>
              <w:spacing w:after="0"/>
              <w:rPr>
                <w:sz w:val="1"/>
                <w:szCs w:val="1"/>
                <w:color w:val="auto"/>
              </w:rPr>
            </w:pPr>
          </w:p>
        </w:tc>
      </w:tr>
      <w:tr>
        <w:trPr>
          <w:trHeight w:val="125"/>
        </w:trPr>
        <w:tc>
          <w:tcPr>
            <w:tcW w:w="49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30,</w:t>
            </w:r>
          </w:p>
        </w:tc>
        <w:tc>
          <w:tcPr>
            <w:tcW w:w="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960" w:type="dxa"/>
            <w:vAlign w:val="bottom"/>
          </w:tcPr>
          <w:p>
            <w:pPr>
              <w:spacing w:after="0"/>
              <w:rPr>
                <w:sz w:val="15"/>
                <w:szCs w:val="15"/>
                <w:color w:val="auto"/>
              </w:rPr>
            </w:pPr>
          </w:p>
        </w:tc>
        <w:tc>
          <w:tcPr>
            <w:tcW w:w="120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2005</w:t>
            </w: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96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110"/>
        </w:trPr>
        <w:tc>
          <w:tcPr>
            <w:tcW w:w="49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110"/>
        </w:trPr>
        <w:tc>
          <w:tcPr>
            <w:tcW w:w="49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10"/>
        </w:trPr>
        <w:tc>
          <w:tcPr>
            <w:tcW w:w="49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 and minority interest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10"/>
        </w:trPr>
        <w:tc>
          <w:tcPr>
            <w:tcW w:w="49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20"/>
        </w:trPr>
        <w:tc>
          <w:tcPr>
            <w:tcW w:w="496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308"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Net sales increased 23.2% to $72.3 million for three months ended July 30, 2005 as compared to $58.7 million for the same period in fiscal year 2005. For the quarter ended July 30, 2005, net sales increased in all three markets, with the commercial market continuing to see the greatest percentage growth rate at over 60%. Net sales for the quarter ended July 30, 2005 were up domestically and on an international basis. As a percent of overall net sales, standard product orders were approximately 30% of net sales for the first quarter of fiscal year 2006 and the first quarter of fiscal year 2005.</w:t>
      </w:r>
    </w:p>
    <w:p>
      <w:pPr>
        <w:spacing w:after="0" w:line="190" w:lineRule="exact"/>
        <w:rPr>
          <w:sz w:val="20"/>
          <w:szCs w:val="20"/>
          <w:color w:val="auto"/>
        </w:rPr>
      </w:pPr>
    </w:p>
    <w:p>
      <w:pPr>
        <w:ind w:right="40" w:firstLine="348"/>
        <w:spacing w:after="0" w:line="310" w:lineRule="auto"/>
        <w:rPr>
          <w:sz w:val="20"/>
          <w:szCs w:val="20"/>
          <w:color w:val="auto"/>
        </w:rPr>
      </w:pPr>
      <w:r>
        <w:rPr>
          <w:rFonts w:ascii="Times New Roman" w:cs="Times New Roman" w:eastAsia="Times New Roman" w:hAnsi="Times New Roman"/>
          <w:sz w:val="16"/>
          <w:szCs w:val="16"/>
          <w:color w:val="auto"/>
        </w:rPr>
        <w:t>Within the sports markets, the increase in net sales in the first quarter of fiscal year 2006 as compared to the first quarter of fiscal year 2005 was the result of increases in sales in both small and large sports venues. Within the large sports venue portion of the business, the growth was concentrated in the mid-sized facilities. Internationally, the increase in sales in the sports market was primarily in Europe and the Middle East, where we continue to see positive results.</w:t>
      </w:r>
    </w:p>
    <w:p>
      <w:pPr>
        <w:spacing w:after="0" w:line="151"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The growth of sports-related sales is due to higher sales of custom display systems resulting from opportunities for additional displays in facilities and the expanding markets for our products, including smaller venues. Sales of standard order products in the sports market actually declined in the first quarter of fiscal 2006 as compared to the first quarter of 2005. This decline, which was primarily in the small sports venues, was offset by an increase in custom projects for small facilities, a trend we expect to continue. Our growth opportunities are enhanced by our network of sales and service offices located throughout the country, giving us the ability to serve our customers more effectively, which enhances sales. We believe that the effects of the economy have a lesser impact on our sports market as compared to our other markets, since our products are generally revenue generation tools (through advertising) for facilities, and the sports business in general is more resistant to negative factors in the economy as a whole.</w:t>
      </w:r>
    </w:p>
    <w:p>
      <w:pPr>
        <w:spacing w:after="0" w:line="195" w:lineRule="exact"/>
        <w:rPr>
          <w:sz w:val="20"/>
          <w:szCs w:val="20"/>
          <w:color w:val="auto"/>
        </w:rPr>
      </w:pPr>
    </w:p>
    <w:p>
      <w:pPr>
        <w:ind w:right="60" w:firstLine="341"/>
        <w:spacing w:after="0" w:line="262" w:lineRule="auto"/>
        <w:rPr>
          <w:sz w:val="20"/>
          <w:szCs w:val="20"/>
          <w:color w:val="auto"/>
        </w:rPr>
      </w:pPr>
      <w:r>
        <w:rPr>
          <w:rFonts w:ascii="Times New Roman" w:cs="Times New Roman" w:eastAsia="Times New Roman" w:hAnsi="Times New Roman"/>
          <w:sz w:val="18"/>
          <w:szCs w:val="18"/>
          <w:color w:val="auto"/>
        </w:rPr>
        <w:t>As mentioned above, net sales in the sports market internationally were up for the first quarter of fiscal 2006 as compared to the same period in fiscal year 2005. In the past we have stated that the international markets are subject to volatility due to the timing of booking orders. We believe that the trend of increasing sales on an international basis in the sports market will continue in the future, subject to this volatility.</w:t>
      </w:r>
    </w:p>
    <w:p>
      <w:pPr>
        <w:spacing w:after="0" w:line="186"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Generally, the same factors noted above relating to net sales cause similar changes in components of order bookings, although the timing of large orders tends to cause differing short-term results. For the first quarter of fiscal year 2006, order bookings were up by more than 20% in the sports market as compared to the first quarter of fiscal 2005. Orders in the small sports venues were flat, with most of the order growth occurring in the large sports venue portion of the market. We expect that order bookings will continue to outpace the levels of last fiscal year; however, we expect that the rate of growth overall will be slightly less than the levels obtained during the quarter. We also expect that the small sports venue business will grow at rates in excess of 10% and that the lack of growth during the current quarter is attributable to inherent fluctuations of the market. These expectations are subject to the risks of timing of the orders and the risk of a competitive environment. We believe that the growth in the sports market over the long-term is driven by new product development, new uses for existing products, an expanding market as our products become more affordable to more institutions, growth internationally, and our overall product offerings, which we believe are the most complete systems in the marketplace. We expect orders and net sales in the large and small sports venues to increase for the year as a whole as compared to fiscal year 2005.</w:t>
      </w:r>
    </w:p>
    <w:p>
      <w:pPr>
        <w:spacing w:after="0" w:line="195" w:lineRule="exact"/>
        <w:rPr>
          <w:sz w:val="20"/>
          <w:szCs w:val="20"/>
          <w:color w:val="auto"/>
        </w:rPr>
      </w:pPr>
    </w:p>
    <w:p>
      <w:pPr>
        <w:ind w:right="20" w:firstLine="351"/>
        <w:spacing w:after="0" w:line="293" w:lineRule="auto"/>
        <w:rPr>
          <w:sz w:val="20"/>
          <w:szCs w:val="20"/>
          <w:color w:val="auto"/>
        </w:rPr>
      </w:pPr>
      <w:r>
        <w:rPr>
          <w:rFonts w:ascii="Times New Roman" w:cs="Times New Roman" w:eastAsia="Times New Roman" w:hAnsi="Times New Roman"/>
          <w:sz w:val="16"/>
          <w:szCs w:val="16"/>
          <w:color w:val="auto"/>
        </w:rPr>
        <w:t>Net sales in the commercial market grew during the first quarter of fiscal year 2006 as compared to the first quarter of fiscal year 2005. Sales of custom video systems and standard products were both strong. Net sales included approximately $4.5 in revenues related to a contract in the Middle East, causing custom project revenue to more than double over the first quarter of fiscal 2005. Standard order volume was up more than 30% for the first quarter of fiscal 2006 over the same quarter one year ago. Although we continue to be optimistic on sales to the outdoor advertising market, we understand that there are barriers to faster growth rates, including local ordinances governing the use of signage. The growing acceptance of our standard Galaxy® display product line, sales to national account customers and an increasing demand for large video systems continues to fuel the overall growth as well as the improved economic conditions and the</w:t>
      </w:r>
    </w:p>
    <w:p>
      <w:pPr>
        <w:sectPr>
          <w:pgSz w:w="11900" w:h="16838" w:orient="portrait"/>
          <w:cols w:equalWidth="0" w:num="1">
            <w:col w:w="11400"/>
          </w:cols>
          <w:pgMar w:left="240" w:top="123" w:right="259" w:bottom="0" w:gutter="0" w:footer="0" w:header="0"/>
        </w:sectPr>
      </w:pPr>
    </w:p>
    <w:bookmarkStart w:id="11" w:name="page12"/>
    <w:bookmarkEnd w:id="11"/>
    <w:p>
      <w:pPr>
        <w:ind w:right="160"/>
        <w:spacing w:after="0" w:line="339" w:lineRule="auto"/>
        <w:rPr>
          <w:sz w:val="20"/>
          <w:szCs w:val="20"/>
          <w:color w:val="auto"/>
        </w:rPr>
      </w:pPr>
      <w:r>
        <w:rPr>
          <w:rFonts w:ascii="Times New Roman" w:cs="Times New Roman" w:eastAsia="Times New Roman" w:hAnsi="Times New Roman"/>
          <w:sz w:val="16"/>
          <w:szCs w:val="16"/>
          <w:color w:val="auto"/>
        </w:rPr>
        <w:t>greater acceptance of LED technologies for advertising. The commercial market of our business has continued to experience the greatest percentage growth. On an international basis, sales were up for the quarter as compared to the last fiscal year, primarily due to the previously mentioned order in the Middle East.</w:t>
      </w:r>
    </w:p>
    <w:p>
      <w:pPr>
        <w:spacing w:after="0" w:line="128"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Order bookings in the commercial market were also up significantly for the first quarter of fiscal year 2006 as compared to the same period of fiscal year 2005. Sales and orders in the commercial market depend to a large degree on current economic conditions. Historically, we have been able to grow the business due to our product offerings and growing acceptance and demand for the products, our international expansion, our network of sales and service offices throughout the United States, the development of resellers, primarily in the United States, and the integrated offerings we provide. We are also optimistic on opportunities associated with our entrance into the Asian market with the opening of sales and service offices in Shanghai and Macau. As we continue to penetrate the opportunities in the commercial market, including national accounts and business outside of the United States, and further develop our regional sales force, we expect the trend of increasing standard order volume and large video systems to continue at double-digit percentage growth rates.</w:t>
      </w:r>
    </w:p>
    <w:p>
      <w:pPr>
        <w:spacing w:after="0" w:line="195" w:lineRule="exact"/>
        <w:rPr>
          <w:sz w:val="20"/>
          <w:szCs w:val="20"/>
          <w:color w:val="auto"/>
        </w:rPr>
      </w:pPr>
    </w:p>
    <w:p>
      <w:pPr>
        <w:ind w:right="420" w:firstLine="351"/>
        <w:spacing w:after="0" w:line="275" w:lineRule="auto"/>
        <w:rPr>
          <w:sz w:val="20"/>
          <w:szCs w:val="20"/>
          <w:color w:val="auto"/>
        </w:rPr>
      </w:pPr>
      <w:r>
        <w:rPr>
          <w:rFonts w:ascii="Times New Roman" w:cs="Times New Roman" w:eastAsia="Times New Roman" w:hAnsi="Times New Roman"/>
          <w:sz w:val="18"/>
          <w:szCs w:val="18"/>
          <w:color w:val="auto"/>
        </w:rPr>
        <w:t>Included in orders and net sales in the commercial market is approximately $4 million for the sale of mobile equipment owned by SportsLink, a wholly owned subsidiary formerly classified as equipment held for sale in our consolidated balance sheet.</w:t>
      </w:r>
    </w:p>
    <w:p>
      <w:pPr>
        <w:spacing w:after="0" w:line="174"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Net sales in the transportation markets increased by more than 20% during the first quarter of fiscal year 2006 as compared to the same period of fiscal 2005 primarily as a result of the strong order bookings in the current quarter and in preceding quarters. Overall order bookings in the transportation market were up over 40% for the quarter as compared to the same quarter one year ago, continuing the trend we began to see in late fiscal year 2005. We expect that for fiscal year 2006, the transportation market will increase as compared to fiscal year 2005 in orders and net sales.</w:t>
      </w:r>
    </w:p>
    <w:p>
      <w:pPr>
        <w:spacing w:after="0" w:line="190" w:lineRule="exact"/>
        <w:rPr>
          <w:sz w:val="20"/>
          <w:szCs w:val="20"/>
          <w:color w:val="auto"/>
        </w:rPr>
      </w:pPr>
    </w:p>
    <w:p>
      <w:pPr>
        <w:ind w:right="300" w:firstLine="341"/>
        <w:spacing w:after="0" w:line="262" w:lineRule="auto"/>
        <w:rPr>
          <w:sz w:val="20"/>
          <w:szCs w:val="20"/>
          <w:color w:val="auto"/>
        </w:rPr>
      </w:pPr>
      <w:r>
        <w:rPr>
          <w:rFonts w:ascii="Times New Roman" w:cs="Times New Roman" w:eastAsia="Times New Roman" w:hAnsi="Times New Roman"/>
          <w:sz w:val="18"/>
          <w:szCs w:val="18"/>
          <w:color w:val="auto"/>
        </w:rPr>
        <w:t>As a result of recently passed legislation in Congress related to federal spending on transportation, we are optimistic that increases in spending within the intelligent transportation segment of the transportation market will benefit us by providing funds to purchase our products. The actual magnitude of this development cannot be assessed at this point.</w:t>
      </w:r>
    </w:p>
    <w:p>
      <w:pPr>
        <w:spacing w:after="0" w:line="186"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We occasionally sell products in exchange for the advertising revenues generated from use of products. These sales represented 0.4% and 0.3% of net sales for the first quarter of fiscal year 2006. The gross profit percent on these transactions have typically been higher than the gross profit percent on other transactions of similar size, although the selling expenses associated with these transactions are typically higher.</w:t>
      </w:r>
    </w:p>
    <w:p>
      <w:pPr>
        <w:spacing w:after="0" w:line="186"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The order backlog as of July 30, 2005 was approximately $85 million as compared to $58 million as of July 31, 2004 and $73 million at the beginning of the first quarter of fiscal year 2006. Historically, our backlog varies due to the timing of large orders. The increase in backlog for the first quarter of fiscal year 2006 was across all three markets. As compared to the beginning of the first quarter of fiscal year 2006, the backlog was flat in the commercial market and increased in the sports and transportation market. The changes were the result of the combination of the changes in orders and net sales discussed above. The lack of change in the commercial market is more a reflection of the impact of a large order included in backlog at the beginning of the quarter.</w:t>
      </w:r>
    </w:p>
    <w:p>
      <w:pPr>
        <w:spacing w:after="0" w:line="193" w:lineRule="exact"/>
        <w:rPr>
          <w:sz w:val="20"/>
          <w:szCs w:val="20"/>
          <w:color w:val="auto"/>
        </w:rPr>
      </w:pPr>
    </w:p>
    <w:p>
      <w:pPr>
        <w:ind w:right="60" w:firstLine="341"/>
        <w:spacing w:after="0" w:line="255" w:lineRule="auto"/>
        <w:rPr>
          <w:sz w:val="20"/>
          <w:szCs w:val="20"/>
          <w:color w:val="auto"/>
        </w:rPr>
      </w:pPr>
      <w:r>
        <w:rPr>
          <w:rFonts w:ascii="Times New Roman" w:cs="Times New Roman" w:eastAsia="Times New Roman" w:hAnsi="Times New Roman"/>
          <w:sz w:val="18"/>
          <w:szCs w:val="18"/>
          <w:color w:val="auto"/>
        </w:rPr>
        <w:t>As a result of expected increases in order bookings we projected in early fiscal 2005, we began increasing plant capacity in fiscal year 2005. The majority of the expansion, however, was planned for fiscal year 2006. During the fourth quarter of fiscal year 2005 and the first quarter of fiscal year 2006, order bookings surpassed expectations and have caused our manufacturing personnel to work extra shifts causing us to consider outsourcing more activities. We believe that over the next quarter, these needs will diminish because we are entering our historically slower time of the year. We expect that before business increases again late in the year, we will have the capacity to better provide for the demands on production scheduling and other related factors. The net effect of our capacity issues has been a partial contributor to the increases of our backlog.</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308" w:lineRule="exact"/>
        <w:rPr>
          <w:sz w:val="20"/>
          <w:szCs w:val="20"/>
          <w:color w:val="auto"/>
        </w:rPr>
      </w:pPr>
    </w:p>
    <w:p>
      <w:pPr>
        <w:ind w:firstLine="351"/>
        <w:spacing w:after="0" w:line="290" w:lineRule="auto"/>
        <w:rPr>
          <w:sz w:val="20"/>
          <w:szCs w:val="20"/>
          <w:color w:val="auto"/>
        </w:rPr>
      </w:pPr>
      <w:r>
        <w:rPr>
          <w:rFonts w:ascii="Times New Roman" w:cs="Times New Roman" w:eastAsia="Times New Roman" w:hAnsi="Times New Roman"/>
          <w:sz w:val="16"/>
          <w:szCs w:val="16"/>
          <w:color w:val="auto"/>
        </w:rPr>
        <w:t>Gross profit increased 10.3% to $22.2 million for the first quarter of fiscal 2006 as compared to $20.1 million for the first quarter of fiscal year 2005. As a percent of net sales, gross profit was 30.7% and 34.3% for three months ended July 30, 2005 and July 31, 2004, respectively. The primary factor causing the decline in gross margin percentage was the result of the increased competition in the marketplace as described in previous filings. The gross profit percentage, however, exceeded our original expectations because of better performance on projects than originally expected, which included some reductions in raw material prices. In addition, it appears that the competitive pressure is easing somewhat as contracts booked during the quarter on average contained higher estimated gross profit margins than in the fourth quarter of fiscal year 2005. We strive towards higher gross margins as a percent of net sales, although depending on the actual mix, performance on larger projects and level of future sales, margin percentages may not increase and are likely to decrease from the levels of last fiscal year in the short-term. We expect that margins in the second quarter of fiscal 2006 will approximate the levels in the first quarter of fiscal year 2006.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06" w:lineRule="exact"/>
        <w:rPr>
          <w:sz w:val="20"/>
          <w:szCs w:val="20"/>
          <w:color w:val="auto"/>
        </w:rPr>
      </w:pPr>
    </w:p>
    <w:p>
      <w:pPr>
        <w:ind w:right="14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which are comprised of selling, general and administrative expenses and product design and development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approximately 21.9% from $12.2 million in the first quarter of fiscal year 2005 to $14.9 million in the first quarter of fiscal year 2006. As a percent of net sales, operating expenses decreased from 20.8% of net sales to 20.6% of net sales.</w:t>
      </w:r>
    </w:p>
    <w:p>
      <w:pPr>
        <w:spacing w:after="0" w:line="181" w:lineRule="exact"/>
        <w:rPr>
          <w:sz w:val="20"/>
          <w:szCs w:val="20"/>
          <w:color w:val="auto"/>
        </w:rPr>
      </w:pPr>
    </w:p>
    <w:p>
      <w:pPr>
        <w:ind w:right="260" w:firstLine="351"/>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Selling Expenses. </w:t>
      </w:r>
      <w:r>
        <w:rPr>
          <w:rFonts w:ascii="Times New Roman" w:cs="Times New Roman" w:eastAsia="Times New Roman" w:hAnsi="Times New Roman"/>
          <w:sz w:val="16"/>
          <w:szCs w:val="16"/>
          <w:color w:val="auto"/>
        </w:rPr>
        <w:t>Selling expenses consist primarily of salaries, other employee related costs, travel and entertainment expense, facilities-related costs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and service offices, and expenditures for marketing efforts, including collateral materials, conventions and trade shows, product demos and supplies.</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Selling expenses increased 32.9% to $9.8 million for three months ended July 30, 2005 as compared to $7.4 million for the same period in fiscal year 2005.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expenses increased to 13.6% of net sales for the first quarter of fiscal year 2006 from 12.6% of net sales for the first quarter of fiscal year 2005.</w:t>
      </w:r>
    </w:p>
    <w:p>
      <w:pPr>
        <w:spacing w:after="0" w:line="213"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Selling expenses for the quarter ended July 30, 2005 were higher as a result of an increase in personnel costs as we continued to build our sales infrastructure across all markets and the spending associated with the strategic initiatives we are focusing on, including digital signage, sports marketing, and international expansion. In addition, selling expenses increased due to the increasing investment in demonstration equipment, travel costs associated with the order bookings and higher costs of marketing and sales literature. We expect selling expense to increase slightly in the second quarter as compared to the first quarter of fiscal 2006. Because sales expenses relate more to the level of order bookings than to the level of net sales, we believe that during periods where orders outpace sales as they have over the past two quarters, the selling expense percentage may not reflect the actual long-term percentage. For this reason, assuming that we continue booking orders at these levels, ultimately we should see selling expenses decline as a percentage of net sales.</w:t>
      </w:r>
    </w:p>
    <w:p>
      <w:pPr>
        <w:spacing w:after="0" w:line="193" w:lineRule="exact"/>
        <w:rPr>
          <w:sz w:val="20"/>
          <w:szCs w:val="20"/>
          <w:color w:val="auto"/>
        </w:rPr>
      </w:pPr>
    </w:p>
    <w:p>
      <w:pPr>
        <w:ind w:right="1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salaries, other employee-related costs, professional fees, shareholder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 fees, facilities and equipment related costs for administration departments, amortization of intangibles and supplies.</w:t>
      </w:r>
    </w:p>
    <w:p>
      <w:pPr>
        <w:sectPr>
          <w:pgSz w:w="11900" w:h="16838" w:orient="portrait"/>
          <w:cols w:equalWidth="0" w:num="1">
            <w:col w:w="11420"/>
          </w:cols>
          <w:pgMar w:left="240" w:top="125" w:right="239" w:bottom="33" w:gutter="0" w:footer="0" w:header="0"/>
        </w:sectPr>
      </w:pPr>
    </w:p>
    <w:bookmarkStart w:id="12" w:name="page13"/>
    <w:bookmarkEnd w:id="12"/>
    <w:p>
      <w:pPr>
        <w:jc w:val="both"/>
        <w:ind w:right="620" w:firstLine="351"/>
        <w:spacing w:after="0" w:line="339" w:lineRule="auto"/>
        <w:rPr>
          <w:sz w:val="20"/>
          <w:szCs w:val="20"/>
          <w:color w:val="auto"/>
        </w:rPr>
      </w:pPr>
      <w:r>
        <w:rPr>
          <w:rFonts w:ascii="Times New Roman" w:cs="Times New Roman" w:eastAsia="Times New Roman" w:hAnsi="Times New Roman"/>
          <w:sz w:val="16"/>
          <w:szCs w:val="16"/>
          <w:color w:val="auto"/>
        </w:rPr>
        <w:t>General and administrative expenses were $2.6 million for both the first quarter of fiscal year 2006 and fiscal year 2005. General and administrative expenses decreased to 3.6% as a percent of net sales for the first quarter of fiscal year 2006 from 4.5% of net sales for the first quarter of fiscal year 2005.</w:t>
      </w:r>
    </w:p>
    <w:p>
      <w:pPr>
        <w:spacing w:after="0" w:line="128" w:lineRule="exact"/>
        <w:rPr>
          <w:sz w:val="20"/>
          <w:szCs w:val="20"/>
          <w:color w:val="auto"/>
        </w:rPr>
      </w:pPr>
    </w:p>
    <w:p>
      <w:pPr>
        <w:ind w:right="220" w:firstLine="351"/>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for the first quarter of fiscal year 2006 as compared to the first quarter of fiscal year 2005 was due to increases in personnel related costs across all departments within general and administration due to our growth, information systems maintenance and support costs, training costs and international expansion. These increases were offset by lower software maintenance costs, which we expect to increase over the rest of the year. We expect that general and administrative costs will increase slightly in the second quarter of fiscal 2006 as compared to the first quarter of fiscal year 2006.</w:t>
      </w:r>
    </w:p>
    <w:p>
      <w:pPr>
        <w:spacing w:after="0" w:line="191" w:lineRule="exact"/>
        <w:rPr>
          <w:sz w:val="20"/>
          <w:szCs w:val="20"/>
          <w:color w:val="auto"/>
        </w:rPr>
      </w:pPr>
    </w:p>
    <w:p>
      <w:pPr>
        <w:ind w:firstLine="878"/>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Product Design and Development. </w:t>
      </w:r>
      <w:r>
        <w:rPr>
          <w:rFonts w:ascii="Times New Roman" w:cs="Times New Roman" w:eastAsia="Times New Roman" w:hAnsi="Times New Roman"/>
          <w:sz w:val="18"/>
          <w:szCs w:val="18"/>
          <w:color w:val="auto"/>
        </w:rPr>
        <w:t>Product design and development expenses consist primarily of salaries, other employee-related costs, facilities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related costs, and costs of supplies.</w:t>
      </w:r>
    </w:p>
    <w:p>
      <w:pPr>
        <w:spacing w:after="0" w:line="172" w:lineRule="exact"/>
        <w:rPr>
          <w:sz w:val="20"/>
          <w:szCs w:val="20"/>
          <w:color w:val="auto"/>
        </w:rPr>
      </w:pPr>
    </w:p>
    <w:p>
      <w:pPr>
        <w:jc w:val="both"/>
        <w:ind w:right="100" w:firstLine="351"/>
        <w:spacing w:after="0" w:line="262" w:lineRule="auto"/>
        <w:rPr>
          <w:sz w:val="20"/>
          <w:szCs w:val="20"/>
          <w:color w:val="auto"/>
        </w:rPr>
      </w:pPr>
      <w:r>
        <w:rPr>
          <w:rFonts w:ascii="Times New Roman" w:cs="Times New Roman" w:eastAsia="Times New Roman" w:hAnsi="Times New Roman"/>
          <w:sz w:val="18"/>
          <w:szCs w:val="18"/>
          <w:color w:val="auto"/>
        </w:rPr>
        <w:t>Product design and development expenses increased 11.0% to $2.5 million for the quarter ended July 30, 2005 compared to $2.2 million for the first quarter in fiscal year 2005. Product design and development expense was 3.4% of net sales for the first quarter of fiscal year 2006 and 3.8% of net sales for first quarter 2005.</w:t>
      </w:r>
    </w:p>
    <w:p>
      <w:pPr>
        <w:spacing w:after="0" w:line="186" w:lineRule="exact"/>
        <w:rPr>
          <w:sz w:val="20"/>
          <w:szCs w:val="20"/>
          <w:color w:val="auto"/>
        </w:rPr>
      </w:pPr>
    </w:p>
    <w:p>
      <w:pPr>
        <w:ind w:right="140" w:firstLine="351"/>
        <w:spacing w:after="0" w:line="256" w:lineRule="auto"/>
        <w:rPr>
          <w:sz w:val="20"/>
          <w:szCs w:val="20"/>
          <w:color w:val="auto"/>
        </w:rPr>
      </w:pPr>
      <w:r>
        <w:rPr>
          <w:rFonts w:ascii="Times New Roman" w:cs="Times New Roman" w:eastAsia="Times New Roman" w:hAnsi="Times New Roman"/>
          <w:sz w:val="18"/>
          <w:szCs w:val="18"/>
          <w:color w:val="auto"/>
        </w:rPr>
        <w:t>Generally, product design and development expenses increase during times when our engineering resources are not dedicated to long-term contracts, as the same personnel who work on research and development also work on long-term contracts. During the first quarter of fiscal 2006, we invested in a number of critical initiatives, including development of our new ProTour™ line of video displays, our Vplay® controller, improvements in our ProStar® technology, our Galaxy® product line and software related to the Vanguard® product line. We expect that product design and development expenses will approximate 4% of net sales for fiscal year 2006.</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308"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occasionally sell products on an installment basis, under lease arrangements or in exchange for the rights to sell and retain advertising revenues from displays, which result in long-term receivables. We also invest excess cash in interest-bearing marketable securities and short-term temporary cash investments that generate interest income. Interest income resulting from these items increased 21.2% to $0.4 million for the three months ended July 30, 2005 as compared to $0.3 million for the first quarter of fiscal year 2005 primarily due to higher levels of cash during the quarter.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308" w:lineRule="exact"/>
        <w:rPr>
          <w:sz w:val="20"/>
          <w:szCs w:val="20"/>
          <w:color w:val="auto"/>
        </w:rPr>
      </w:pPr>
    </w:p>
    <w:p>
      <w:pPr>
        <w:ind w:right="360" w:firstLine="351"/>
        <w:spacing w:after="0" w:line="258" w:lineRule="auto"/>
        <w:rPr>
          <w:sz w:val="20"/>
          <w:szCs w:val="20"/>
          <w:color w:val="auto"/>
        </w:rPr>
      </w:pPr>
      <w:r>
        <w:rPr>
          <w:rFonts w:ascii="Times New Roman" w:cs="Times New Roman" w:eastAsia="Times New Roman" w:hAnsi="Times New Roman"/>
          <w:sz w:val="18"/>
          <w:szCs w:val="18"/>
          <w:color w:val="auto"/>
        </w:rPr>
        <w:t>Interest expense is comprised primarily of interest costs on our notes payable and long-term debt. As a result of the low levels of debt outstanding, the change in interest expense for the first quarter of fiscal year 2006 as compared to the same period in fiscal year 2005 was not significant. Interest expense has declined 5.6% to $0.5 million for the first quarter of fiscal 2006 from $0.6 million for the first quarter of fiscal year 2005 due to the lower levels of debt outstanding.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308" w:lineRule="exact"/>
        <w:rPr>
          <w:sz w:val="20"/>
          <w:szCs w:val="20"/>
          <w:color w:val="auto"/>
        </w:rPr>
      </w:pPr>
    </w:p>
    <w:p>
      <w:pPr>
        <w:ind w:right="160" w:firstLine="351"/>
        <w:spacing w:after="0" w:line="339" w:lineRule="auto"/>
        <w:rPr>
          <w:sz w:val="20"/>
          <w:szCs w:val="20"/>
          <w:color w:val="auto"/>
        </w:rPr>
      </w:pPr>
      <w:r>
        <w:rPr>
          <w:rFonts w:ascii="Times New Roman" w:cs="Times New Roman" w:eastAsia="Times New Roman" w:hAnsi="Times New Roman"/>
          <w:sz w:val="16"/>
          <w:szCs w:val="16"/>
          <w:color w:val="auto"/>
        </w:rPr>
        <w:t>Other income (expense), net, decreased to $0.7 million of expense for the first quarter of fiscal year 2006 as compared to $0.8 million of income in the first quarter of fiscal year 2005. This decrease is primarily related to the change in net gains (losses) on foreign currency transactions of our foreign subsidiaries.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p>
      <w:pPr>
        <w:spacing w:after="0" w:line="308" w:lineRule="exact"/>
        <w:rPr>
          <w:sz w:val="20"/>
          <w:szCs w:val="20"/>
          <w:color w:val="auto"/>
        </w:rPr>
      </w:pPr>
    </w:p>
    <w:p>
      <w:pPr>
        <w:ind w:right="260" w:firstLine="351"/>
        <w:spacing w:after="0" w:line="258" w:lineRule="auto"/>
        <w:rPr>
          <w:sz w:val="20"/>
          <w:szCs w:val="20"/>
          <w:color w:val="auto"/>
        </w:rPr>
      </w:pPr>
      <w:r>
        <w:rPr>
          <w:rFonts w:ascii="Times New Roman" w:cs="Times New Roman" w:eastAsia="Times New Roman" w:hAnsi="Times New Roman"/>
          <w:sz w:val="18"/>
          <w:szCs w:val="18"/>
          <w:color w:val="auto"/>
        </w:rPr>
        <w:t>Income taxes decreased 42% to $2.9 million in the first quarter of fiscal year 2006 as compared to $3.2 million in the first quarter of fiscal year 2005. The decrease was due to the lower pre-tax income and the benefits associated with the recently available deductions for income attributable to domestic production activities. These factors were offset by an increase in our valuation allowance for foreign net operating loss carryforwards, which resulted from our updated estimates of their realizability in the near term. We expect our overall effective tax rate to approximate 37% in future quarters.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95" w:lineRule="exact"/>
        <w:rPr>
          <w:sz w:val="20"/>
          <w:szCs w:val="20"/>
          <w:color w:val="auto"/>
        </w:rPr>
      </w:pPr>
    </w:p>
    <w:p>
      <w:pPr>
        <w:ind w:right="460" w:firstLine="348"/>
        <w:spacing w:after="0" w:line="275" w:lineRule="auto"/>
        <w:rPr>
          <w:sz w:val="20"/>
          <w:szCs w:val="20"/>
          <w:color w:val="auto"/>
        </w:rPr>
      </w:pPr>
      <w:r>
        <w:rPr>
          <w:rFonts w:ascii="Times New Roman" w:cs="Times New Roman" w:eastAsia="Times New Roman" w:hAnsi="Times New Roman"/>
          <w:sz w:val="18"/>
          <w:szCs w:val="18"/>
          <w:color w:val="auto"/>
        </w:rPr>
        <w:t>Working capital was $62.5 million at July 30, 2005 and $62.3 million at April 30, 2005. We have historically financed working capital needs through a combination of cash flow from operations and borrowings under bank credit agreements.</w:t>
      </w:r>
    </w:p>
    <w:p>
      <w:pPr>
        <w:spacing w:after="0" w:line="174" w:lineRule="exact"/>
        <w:rPr>
          <w:sz w:val="20"/>
          <w:szCs w:val="20"/>
          <w:color w:val="auto"/>
        </w:rPr>
      </w:pPr>
    </w:p>
    <w:p>
      <w:pPr>
        <w:ind w:right="160" w:firstLine="351"/>
        <w:spacing w:after="0" w:line="258" w:lineRule="auto"/>
        <w:rPr>
          <w:sz w:val="20"/>
          <w:szCs w:val="20"/>
          <w:color w:val="auto"/>
        </w:rPr>
      </w:pPr>
      <w:r>
        <w:rPr>
          <w:rFonts w:ascii="Times New Roman" w:cs="Times New Roman" w:eastAsia="Times New Roman" w:hAnsi="Times New Roman"/>
          <w:sz w:val="18"/>
          <w:szCs w:val="18"/>
          <w:color w:val="auto"/>
        </w:rPr>
        <w:t>Cash used by operations for the three months ended July 30, 2005 was $0.2 million. Net income of $4.6 million, plus depreciation and amortization of $1.9 million, a decrease in income tax receivable, equipment available for sale, and increases in billings in excess of costs and profits and accrued expenses and income taxes payables caused an increase in cash provided by operations. This increase was offset by increases in accounts receivable, costs and estimated earnings in excess of billings and inventory and a decrease in accounts payable.</w:t>
      </w:r>
    </w:p>
    <w:p>
      <w:pPr>
        <w:spacing w:after="0" w:line="190"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The changes in operating assets and liabilities were related to the growth we experienced during the first quarter of fiscal 2006 and higher inventory levels for pending orders. In addition, the levels of both accounts receivable and inventory were unusually high due to a few concentrated receivables totaling more than $5 million and the higher level of inventory required to be flexible in periods of full operating capacity.</w:t>
      </w:r>
    </w:p>
    <w:p>
      <w:pPr>
        <w:spacing w:after="0" w:line="186" w:lineRule="exact"/>
        <w:rPr>
          <w:sz w:val="20"/>
          <w:szCs w:val="20"/>
          <w:color w:val="auto"/>
        </w:rPr>
      </w:pPr>
    </w:p>
    <w:p>
      <w:pPr>
        <w:ind w:right="260" w:firstLine="351"/>
        <w:spacing w:after="0" w:line="258" w:lineRule="auto"/>
        <w:rPr>
          <w:sz w:val="20"/>
          <w:szCs w:val="20"/>
          <w:color w:val="auto"/>
        </w:rPr>
      </w:pPr>
      <w:r>
        <w:rPr>
          <w:rFonts w:ascii="Times New Roman" w:cs="Times New Roman" w:eastAsia="Times New Roman" w:hAnsi="Times New Roman"/>
          <w:sz w:val="18"/>
          <w:szCs w:val="18"/>
          <w:color w:val="auto"/>
        </w:rPr>
        <w:t>Cash used by investing activities included $3.8 million for purchases of property and equipment. During the first three months of fiscal year 2006, we invested approximately $0.3 million in transportation equipment, $1.5 million in manufacturing equipment, $0.9 million in information systems infrastructure, including software, $0.8 million in product demonstration equipment, $0.2 million in equipment for rental and $0.2 million in building expansion and improvements. These investments were made to support our continued growth and to replace obsolete equipment.</w:t>
      </w:r>
    </w:p>
    <w:p>
      <w:pPr>
        <w:spacing w:after="0" w:line="190"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Cash used by financing activities consisted of $1.8 million, including the dividend paid to shareholders of $1.9 million on June 28, 2005, which was offset partially by option exercises.</w:t>
      </w:r>
    </w:p>
    <w:p>
      <w:pPr>
        <w:spacing w:after="0" w:line="174"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Included in receivables as of July 30, 2005 was approximately $0.9 million of retainage on long-term contracts, all of which is expected to be collected in one year.</w:t>
      </w:r>
    </w:p>
    <w:p>
      <w:pPr>
        <w:sectPr>
          <w:pgSz w:w="11900" w:h="16838" w:orient="portrait"/>
          <w:cols w:equalWidth="0" w:num="1">
            <w:col w:w="11420"/>
          </w:cols>
          <w:pgMar w:left="240" w:top="125" w:right="239" w:bottom="0" w:gutter="0" w:footer="0" w:header="0"/>
        </w:sectPr>
      </w:pPr>
    </w:p>
    <w:bookmarkStart w:id="13" w:name="page14"/>
    <w:bookmarkEnd w:id="13"/>
    <w:p>
      <w:pPr>
        <w:spacing w:after="0" w:line="7"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We have used and expect to continue to use cash reserves and bank borrowings to meet our short-term working capital requirements. On large product orders, the time between order acceptance and project completion may extend up to and exceed 18 months depending on the amount of custom work and the customer’s delivery needs. We often receive a down payment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190" w:lineRule="exact"/>
        <w:rPr>
          <w:sz w:val="20"/>
          <w:szCs w:val="20"/>
          <w:color w:val="auto"/>
        </w:rPr>
      </w:pPr>
    </w:p>
    <w:p>
      <w:pPr>
        <w:ind w:firstLine="351"/>
        <w:spacing w:after="0" w:line="301" w:lineRule="auto"/>
        <w:rPr>
          <w:sz w:val="20"/>
          <w:szCs w:val="20"/>
          <w:color w:val="auto"/>
        </w:rPr>
      </w:pPr>
      <w:r>
        <w:rPr>
          <w:rFonts w:ascii="Times New Roman" w:cs="Times New Roman" w:eastAsia="Times New Roman" w:hAnsi="Times New Roman"/>
          <w:sz w:val="16"/>
          <w:szCs w:val="16"/>
          <w:color w:val="auto"/>
        </w:rPr>
        <w:t>Our product development activities include the enhancement of existing products and the development of new products from existing technologies. Product design and development expenses were $2.5 million for the quarter ended July 30, 2005. We intend to continue to incur these expenditures to develop new display products using various display technologies to offer higher resolution and more cost effective and energy efficient displays. We also intend to continue developing software applications for our display controllers to enable these products to continue to meet the needs and expectations of the marketplace.</w:t>
      </w:r>
    </w:p>
    <w:p>
      <w:pPr>
        <w:spacing w:after="0" w:line="157"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We have a credit agreement with a bank that provides for a $20.0 million line of credit, which includes up to $5.0 million for standby letters of credit. The interest rate on the line of credit is equal to LIBOR plus 1.55% (5.0% at July 30, 2005) and is due on October 1, 2005. As of July 30, 2005, no advances under the line of credit were outstanding. Eight standby letters of credit were issued and outstanding for approximately $3.9 million as of July 30, 2005. The credit agreement is unsecured and requires us to meet certain covenants, including the maintenance of tangible net worth of at least $40 million, a minimum liquidity ratio, a limit on dividends and distributions, and a minimum adjusted fixed charge coverage ratio. Daktronics Canada, Inc., our subsidiary, has various credit agreements that provide up to $0.2 million in borrowings under lines of credit. The interest rate on the lines of credit is equal to 1.0% above the prime rate of interest (4.25% at July 30, 2005). As of July 30, 2005, $0.3 million had been drawn under the line. The lines are secured primarily by accounts receivables, inventory and other assets of the subsidiary.</w:t>
      </w:r>
    </w:p>
    <w:p>
      <w:pPr>
        <w:spacing w:after="0" w:line="192" w:lineRule="exact"/>
        <w:rPr>
          <w:sz w:val="20"/>
          <w:szCs w:val="20"/>
          <w:color w:val="auto"/>
        </w:rPr>
      </w:pPr>
    </w:p>
    <w:p>
      <w:pPr>
        <w:jc w:val="both"/>
        <w:ind w:right="60" w:firstLine="351"/>
        <w:spacing w:after="0" w:line="262" w:lineRule="auto"/>
        <w:rPr>
          <w:sz w:val="20"/>
          <w:szCs w:val="20"/>
          <w:color w:val="auto"/>
        </w:rPr>
      </w:pPr>
      <w:r>
        <w:rPr>
          <w:rFonts w:ascii="Times New Roman" w:cs="Times New Roman" w:eastAsia="Times New Roman" w:hAnsi="Times New Roman"/>
          <w:sz w:val="18"/>
          <w:szCs w:val="18"/>
          <w:color w:val="auto"/>
        </w:rPr>
        <w:t>On May 26, 2005, our Board of Directors approved a dividend of $0.10 per share, or a total of approximately $1.9 million, which was paid on June 28, 2005 to shareholders of record on June 14, 2005. While we intend to pay regular annual dividends for the foreseeable future, all subsequent dividends will be reviewed annually and declared by our Board of Directors at its discretion.</w:t>
      </w:r>
    </w:p>
    <w:p>
      <w:pPr>
        <w:spacing w:after="0" w:line="186" w:lineRule="exact"/>
        <w:rPr>
          <w:sz w:val="20"/>
          <w:szCs w:val="20"/>
          <w:color w:val="auto"/>
        </w:rPr>
      </w:pPr>
    </w:p>
    <w:p>
      <w:pPr>
        <w:ind w:right="100" w:firstLine="348"/>
        <w:spacing w:after="0" w:line="262" w:lineRule="auto"/>
        <w:rPr>
          <w:sz w:val="20"/>
          <w:szCs w:val="20"/>
          <w:color w:val="auto"/>
        </w:rPr>
      </w:pPr>
      <w:r>
        <w:rPr>
          <w:rFonts w:ascii="Times New Roman" w:cs="Times New Roman" w:eastAsia="Times New Roman" w:hAnsi="Times New Roman"/>
          <w:sz w:val="18"/>
          <w:szCs w:val="18"/>
          <w:color w:val="auto"/>
        </w:rPr>
        <w:t>We are sometimes required to obtain performance bonds for display installations, and we have a bonding line available through a surety company that provides for an aggregate of $100 million in bonded work outstanding. At July 30, 2005, we had approximately $7.9 million of bonded work outstanding against this line.</w:t>
      </w:r>
    </w:p>
    <w:p>
      <w:pPr>
        <w:spacing w:after="0" w:line="186"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We believe that based on our current growth estimates over the next twelve months, we have sufficient capacity under our lines of credit. Beyond that time, we may need to increase the amount of our credit facilities depending on various factors. We anticipate that we will be able to obtain any needed funds under commercially reasonable terms from our current lender. We believe that cash from operations, from our existing or increased credit facility, and from our current working capital will be adequate to meet the cash requirements of our operations in the foreseeable future.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295"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Through July 30, 2005, most of our net sales were denominated in United States dollars, and our exposure to foreign currency exchange rate changes was not significant. Net sales originating outside the United States for the first quarter of fiscal year 2006 were 16.0% of total net sales. We operate in Canada through a wholly-owned subsidiary. Sales of the Canadian subsidiary comprised 2.0% of net sales in the first quarter of fiscal year 2006. If we believed that currency risk in Canada was significant, we would utilize foreign exchange hedging contracts to manage our exposure to the Canadian dollar. Sales of other foreign subsidiaries were immaterial. If we believed that currency risk in any other foreign subsidiary was significant, we would utilize foreign exchange hedging contracts to manage the exposure to the foreign currency.</w:t>
      </w:r>
    </w:p>
    <w:p>
      <w:pPr>
        <w:spacing w:after="0" w:line="193" w:lineRule="exact"/>
        <w:rPr>
          <w:sz w:val="20"/>
          <w:szCs w:val="20"/>
          <w:color w:val="auto"/>
        </w:rPr>
      </w:pPr>
    </w:p>
    <w:p>
      <w:pPr>
        <w:ind w:right="100" w:firstLine="348"/>
        <w:spacing w:after="0" w:line="254" w:lineRule="auto"/>
        <w:rPr>
          <w:sz w:val="20"/>
          <w:szCs w:val="20"/>
          <w:color w:val="auto"/>
        </w:rPr>
      </w:pPr>
      <w:r>
        <w:rPr>
          <w:rFonts w:ascii="Times New Roman" w:cs="Times New Roman" w:eastAsia="Times New Roman" w:hAnsi="Times New Roman"/>
          <w:sz w:val="18"/>
          <w:szCs w:val="18"/>
          <w:color w:val="auto"/>
        </w:rPr>
        <w:t>We expect net sales to international markets in the future to increase as a percentage of net sales and that a greater portion of this business will be denominated in foreign currencies.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RISKS</w:t>
      </w:r>
    </w:p>
    <w:p>
      <w:pPr>
        <w:spacing w:after="0" w:line="295"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Our exposure to market rate risk for changes in interest rates relates primarily to our debt and long-term accounts receivables. We maintain a blend of both fixed and floating rate debt instruments. As of July 30, 2005, our outstanding debt approximated $1.0 million, substantially all of which was in fixed rate obligations. Each 100 basis point increase or decrease in interest rates would have an insignificant annual effect on variable rate debt interest based on the balances of such debt as of July 30, 2005. For fixed-rate debt, interest rate changes affect its fair market value but do not affect earnings or cash flows.</w:t>
      </w:r>
    </w:p>
    <w:p>
      <w:pPr>
        <w:spacing w:after="0" w:line="190" w:lineRule="exact"/>
        <w:rPr>
          <w:sz w:val="20"/>
          <w:szCs w:val="20"/>
          <w:color w:val="auto"/>
        </w:rPr>
      </w:pPr>
    </w:p>
    <w:p>
      <w:pPr>
        <w:jc w:val="both"/>
        <w:ind w:right="240" w:firstLine="351"/>
        <w:spacing w:after="0" w:line="258" w:lineRule="auto"/>
        <w:rPr>
          <w:sz w:val="20"/>
          <w:szCs w:val="20"/>
          <w:color w:val="auto"/>
        </w:rPr>
      </w:pPr>
      <w:r>
        <w:rPr>
          <w:rFonts w:ascii="Times New Roman" w:cs="Times New Roman" w:eastAsia="Times New Roman" w:hAnsi="Times New Roman"/>
          <w:sz w:val="18"/>
          <w:szCs w:val="18"/>
          <w:color w:val="auto"/>
        </w:rPr>
        <w:t>In connection with the sale of certain display systems, we have entered into various types of financings with customers. The aggregate amounts due from customers include an interest element. The majority of these financings carry fixed rates of interest. As of July 30, 2005, our outstanding long-term receivables were approximately $15.9 million. Each 25 basis point increase in interest rates would have an associated annual opportunity cost to us of approximately $0.2 million.</w:t>
      </w:r>
    </w:p>
    <w:p>
      <w:pPr>
        <w:spacing w:after="0" w:line="190"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about our financial instruments that are sensitive to changes in interest rates, including debt obligations, for the three quarters ending April 30, 2006 and subsequent fiscal years.</w:t>
      </w:r>
    </w:p>
    <w:p>
      <w:pPr>
        <w:spacing w:after="0" w:line="172"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Principal (Notional) Amount by Expected Maturity</w:t>
      </w:r>
    </w:p>
    <w:p>
      <w:pPr>
        <w:spacing w:after="0" w:line="23"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8" w:lineRule="exact"/>
        <w:rPr>
          <w:sz w:val="20"/>
          <w:szCs w:val="20"/>
          <w:color w:val="auto"/>
        </w:rPr>
      </w:pPr>
    </w:p>
    <w:tbl>
      <w:tblPr>
        <w:tblLayout w:type="fixed"/>
        <w:tblInd w:w="320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Fiscal Year Ending</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6"/>
              </w:rPr>
              <w:t>There-</w:t>
            </w:r>
          </w:p>
        </w:tc>
      </w:tr>
      <w:tr>
        <w:trPr>
          <w:trHeight w:val="20"/>
        </w:trPr>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35"/>
        </w:trPr>
        <w:tc>
          <w:tcPr>
            <w:tcW w:w="6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2006</w:t>
            </w:r>
          </w:p>
        </w:tc>
        <w:tc>
          <w:tcPr>
            <w:tcW w:w="88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2007</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2008</w:t>
            </w:r>
          </w:p>
        </w:tc>
        <w:tc>
          <w:tcPr>
            <w:tcW w:w="60" w:type="dxa"/>
            <w:vAlign w:val="bottom"/>
          </w:tcPr>
          <w:p>
            <w:pPr>
              <w:spacing w:after="0"/>
              <w:rPr>
                <w:sz w:val="20"/>
                <w:szCs w:val="20"/>
                <w:color w:val="auto"/>
              </w:rPr>
            </w:pP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2009</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2010</w:t>
            </w:r>
          </w:p>
        </w:tc>
        <w:tc>
          <w:tcPr>
            <w:tcW w:w="7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7"/>
              </w:rPr>
              <w:t>after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69850</wp:posOffset>
            </wp:positionV>
            <wp:extent cx="32848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receivables,</w:t>
      </w:r>
    </w:p>
    <w:p>
      <w:pPr>
        <w:sectPr>
          <w:pgSz w:w="11900" w:h="16846" w:orient="portrait"/>
          <w:cols w:equalWidth="0" w:num="1">
            <w:col w:w="11420"/>
          </w:cols>
          <w:pgMar w:left="240" w:top="125" w:right="239" w:bottom="0" w:gutter="0" w:footer="0" w:header="0"/>
        </w:sectPr>
      </w:pPr>
    </w:p>
    <w:bookmarkStart w:id="14" w:name="page15"/>
    <w:bookmarkEnd w:id="14"/>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including current portion:</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Fixed-rate</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$5,980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$2,445</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$2,168</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$1,775</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$1,127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interest rate</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6.7%</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7.3%</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6.9%</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Long- and short-term debt:</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Fixed-rate</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$869</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$68</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interest rate</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4.7%</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Long-term marketing obligations</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including current portion</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Fixed-rate</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$182</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$172</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$162</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$144</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8"/>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interest rate</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7.7%</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8.0%</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8.0%</w:t>
            </w: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carrying amounts reported on the balance sheet for long-term receivables and long- and short-term debt approximates their fair value.</w:t>
      </w:r>
    </w:p>
    <w:p>
      <w:pPr>
        <w:spacing w:after="0" w:line="225" w:lineRule="exact"/>
        <w:rPr>
          <w:sz w:val="20"/>
          <w:szCs w:val="20"/>
          <w:color w:val="auto"/>
        </w:rPr>
      </w:pPr>
    </w:p>
    <w:p>
      <w:pPr>
        <w:ind w:firstLine="834"/>
        <w:spacing w:after="0" w:line="339" w:lineRule="auto"/>
        <w:rPr>
          <w:sz w:val="20"/>
          <w:szCs w:val="20"/>
          <w:color w:val="auto"/>
        </w:rPr>
      </w:pPr>
      <w:r>
        <w:rPr>
          <w:rFonts w:ascii="Times New Roman" w:cs="Times New Roman" w:eastAsia="Times New Roman" w:hAnsi="Times New Roman"/>
          <w:sz w:val="16"/>
          <w:szCs w:val="16"/>
          <w:color w:val="auto"/>
        </w:rPr>
        <w:t>Substantially all of our cash balances are denominated in United States dollars. Cash balances in foreign currencies are operating balances maintained in accounts of our Canadian subsidiary and accounts to settle euro-based and Australian-based payments. These balances are immaterial as a whole.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95" w:lineRule="exact"/>
        <w:rPr>
          <w:sz w:val="20"/>
          <w:szCs w:val="20"/>
          <w:color w:val="auto"/>
        </w:rPr>
      </w:pPr>
    </w:p>
    <w:p>
      <w:pPr>
        <w:ind w:right="120" w:firstLine="348"/>
        <w:spacing w:after="0" w:line="256" w:lineRule="auto"/>
        <w:rPr>
          <w:sz w:val="20"/>
          <w:szCs w:val="20"/>
          <w:color w:val="auto"/>
        </w:rPr>
      </w:pPr>
      <w:r>
        <w:rPr>
          <w:rFonts w:ascii="Times New Roman" w:cs="Times New Roman" w:eastAsia="Times New Roman" w:hAnsi="Times New Roman"/>
          <w:sz w:val="18"/>
          <w:szCs w:val="18"/>
          <w:color w:val="auto"/>
        </w:rPr>
        <w:t>The Company carried out an evaluation, under the supervision and with the participation of our management, including our Chief Executive Officer and Chief Financial Officer, of the effectiveness of the design and operation of the Company’s “disclosure controls and procedures,” as that term is defined in Rule 13a-15(e) and Rule 15d-15(e) under the Securities Exchange Act of 1934, as of July 30, 2005, which is the end of the period covered by this report. Based upon that evaluation, the Chief Executive Officer and Chief Financial Officer concluded that as of July 30, 2005, the Company’s disclosure controls and procedures were effective.</w:t>
      </w:r>
    </w:p>
    <w:p>
      <w:pPr>
        <w:spacing w:after="0" w:line="193"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Based on the evaluation described in the foregoing paragraph, the Company’s Chief Executive Officer and Chief Financial Officer concluded that during the quarter ended July 30, 2005, there was no change in the Company’s internal control over financial reporting that has materially affected, or is reasonably likely to materially affect, the Company’s internal control over financial reporting.</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Not Applicable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Not Applicable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Not Applicable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SUBMISSION OF MATTERS TO A VOTE OF SECURITY HOLDERS</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times and the results were submitted to the shareholders at our annual meeting held on August 17, 2005:</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Election of the following three nominees as Directors of the Company, until their successors are duly elected and qualified:</w:t>
      </w:r>
    </w:p>
    <w:p>
      <w:pPr>
        <w:spacing w:after="0" w:line="225" w:lineRule="exact"/>
        <w:rPr>
          <w:sz w:val="20"/>
          <w:szCs w:val="20"/>
          <w:color w:val="auto"/>
        </w:rPr>
      </w:pPr>
    </w:p>
    <w:tbl>
      <w:tblPr>
        <w:tblLayout w:type="fixed"/>
        <w:tblInd w:w="302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Aelred J. Kurtenbach</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16,880,212</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Withheld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467,905</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Robert G. Dutcher</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17,268,709</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Withheld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79,408</w:t>
            </w:r>
          </w:p>
        </w:tc>
      </w:tr>
      <w:tr>
        <w:trPr>
          <w:trHeight w:val="22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Nancy D. Frame</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w:t>
            </w:r>
          </w:p>
        </w:tc>
        <w:tc>
          <w:tcPr>
            <w:tcW w:w="12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17,098,959</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Withheld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249,158</w:t>
            </w:r>
          </w:p>
        </w:tc>
      </w:tr>
    </w:tbl>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Approval of the amendment and restatement of our Amended and Restated Articles of Incorporation:</w:t>
      </w:r>
    </w:p>
    <w:p>
      <w:pPr>
        <w:sectPr>
          <w:pgSz w:w="11900" w:h="16841" w:orient="portrait"/>
          <w:cols w:equalWidth="0" w:num="1">
            <w:col w:w="11360"/>
          </w:cols>
          <w:pgMar w:left="240" w:top="125" w:right="299" w:bottom="0" w:gutter="0" w:footer="0" w:header="0"/>
        </w:sectPr>
      </w:pPr>
    </w:p>
    <w:p>
      <w:pPr>
        <w:spacing w:after="0" w:line="200" w:lineRule="exact"/>
        <w:rPr>
          <w:sz w:val="20"/>
          <w:szCs w:val="20"/>
          <w:color w:val="auto"/>
        </w:rPr>
      </w:pPr>
    </w:p>
    <w:p>
      <w:pPr>
        <w:spacing w:after="0" w:line="26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For 13,781,259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88,244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Abstain 71,044</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Non-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votes 3,407,570</w:t>
      </w:r>
    </w:p>
    <w:p>
      <w:pPr>
        <w:spacing w:after="0" w:line="200" w:lineRule="exact"/>
        <w:rPr>
          <w:sz w:val="20"/>
          <w:szCs w:val="20"/>
          <w:color w:val="auto"/>
        </w:rPr>
      </w:pPr>
    </w:p>
    <w:p>
      <w:pPr>
        <w:sectPr>
          <w:pgSz w:w="11900" w:h="16841" w:orient="portrait"/>
          <w:cols w:equalWidth="0" w:num="4">
            <w:col w:w="3460" w:space="180"/>
            <w:col w:w="1140" w:space="500"/>
            <w:col w:w="1120" w:space="700"/>
            <w:col w:w="4260"/>
          </w:cols>
          <w:pgMar w:left="240" w:top="125" w:right="299" w:bottom="0" w:gutter="0" w:footer="0" w:header="0"/>
          <w:type w:val="continuous"/>
        </w:sectPr>
      </w:pPr>
    </w:p>
    <w:p>
      <w:pPr>
        <w:spacing w:after="0" w:line="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Ratification of the appointment of Ernst &amp; Young LLP as our independent registered public accounting firm for fiscal year 2006:</w:t>
      </w:r>
    </w:p>
    <w:p>
      <w:pPr>
        <w:spacing w:after="0" w:line="275" w:lineRule="exact"/>
        <w:rPr>
          <w:sz w:val="20"/>
          <w:szCs w:val="20"/>
          <w:color w:val="auto"/>
        </w:rPr>
      </w:pPr>
    </w:p>
    <w:p>
      <w:pPr>
        <w:ind w:left="3020"/>
        <w:spacing w:after="0"/>
        <w:tabs>
          <w:tab w:leader="none" w:pos="4540" w:val="left"/>
          <w:tab w:leader="none" w:pos="6660" w:val="left"/>
          <w:tab w:leader="none" w:pos="7420" w:val="left"/>
        </w:tabs>
        <w:rPr>
          <w:sz w:val="20"/>
          <w:szCs w:val="20"/>
          <w:color w:val="auto"/>
        </w:rPr>
      </w:pPr>
      <w:r>
        <w:rPr>
          <w:rFonts w:ascii="Times New Roman" w:cs="Times New Roman" w:eastAsia="Times New Roman" w:hAnsi="Times New Roman"/>
          <w:sz w:val="18"/>
          <w:szCs w:val="18"/>
          <w:color w:val="auto"/>
        </w:rPr>
        <w:t>For 17,257,619</w:t>
      </w:r>
      <w:r>
        <w:rPr>
          <w:sz w:val="20"/>
          <w:szCs w:val="20"/>
          <w:color w:val="auto"/>
        </w:rPr>
        <w:tab/>
      </w:r>
      <w:r>
        <w:rPr>
          <w:rFonts w:ascii="Times New Roman" w:cs="Times New Roman" w:eastAsia="Times New Roman" w:hAnsi="Times New Roman"/>
          <w:sz w:val="18"/>
          <w:szCs w:val="18"/>
          <w:color w:val="auto"/>
        </w:rPr>
        <w:t>Against 78,477</w:t>
      </w:r>
      <w:r>
        <w:rPr>
          <w:sz w:val="20"/>
          <w:szCs w:val="20"/>
          <w:color w:val="auto"/>
        </w:rPr>
        <w:tab/>
      </w:r>
      <w:r>
        <w:rPr>
          <w:rFonts w:ascii="Times New Roman" w:cs="Times New Roman" w:eastAsia="Times New Roman" w:hAnsi="Times New Roman"/>
          <w:sz w:val="18"/>
          <w:szCs w:val="18"/>
          <w:color w:val="auto"/>
        </w:rPr>
        <w:t>Abstain</w:t>
      </w:r>
      <w:r>
        <w:rPr>
          <w:sz w:val="20"/>
          <w:szCs w:val="20"/>
          <w:color w:val="auto"/>
        </w:rPr>
        <w:tab/>
      </w:r>
      <w:r>
        <w:rPr>
          <w:rFonts w:ascii="Times New Roman" w:cs="Times New Roman" w:eastAsia="Times New Roman" w:hAnsi="Times New Roman"/>
          <w:sz w:val="16"/>
          <w:szCs w:val="16"/>
          <w:color w:val="auto"/>
        </w:rPr>
        <w:t>12,021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Ex</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w:t>
            </w:r>
          </w:p>
        </w:tc>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Amended and Restated Articles of Incorporation of the Company (1)</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Ex</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3.4*</w:t>
            </w:r>
          </w:p>
        </w:tc>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Amended and Restated Bylaws of the Company (2)</w:t>
            </w:r>
          </w:p>
        </w:tc>
      </w:tr>
      <w:tr>
        <w:trPr>
          <w:trHeight w:val="228"/>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Ex</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31.1*</w:t>
            </w:r>
          </w:p>
        </w:tc>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The Chief Executive Officer Required By Rule</w:t>
            </w:r>
          </w:p>
        </w:tc>
      </w:tr>
    </w:tbl>
    <w:p>
      <w:pPr>
        <w:sectPr>
          <w:pgSz w:w="11900" w:h="16841" w:orient="portrait"/>
          <w:cols w:equalWidth="0" w:num="1">
            <w:col w:w="11360"/>
          </w:cols>
          <w:pgMar w:left="240" w:top="125" w:right="299" w:bottom="0" w:gutter="0" w:footer="0" w:header="0"/>
          <w:type w:val="continuous"/>
        </w:sectPr>
      </w:pPr>
    </w:p>
    <w:bookmarkStart w:id="15" w:name="page16"/>
    <w:bookmarkEnd w:id="15"/>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13a-14(a) OR Rule 15d-14(a) Of The Securities Exchange Act of 1934,</w:t>
            </w:r>
          </w:p>
        </w:tc>
      </w:tr>
      <w:tr>
        <w:trPr>
          <w:trHeight w:val="216"/>
        </w:trPr>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As Adopted Pursuant To Section 302 Of The Sarbanes-Oxley Act Of 2002</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Ex</w:t>
            </w: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31.2*</w:t>
            </w: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The Chief Financial Officer Required By Rule</w:t>
            </w:r>
          </w:p>
        </w:tc>
      </w:tr>
      <w:tr>
        <w:trPr>
          <w:trHeight w:val="216"/>
        </w:trPr>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13a-14(a) OR Rule 15d-14(a) Of The Securities Exchange Act of 1934,</w:t>
            </w:r>
          </w:p>
        </w:tc>
      </w:tr>
      <w:tr>
        <w:trPr>
          <w:trHeight w:val="216"/>
        </w:trPr>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As Adopted Pursuant To Section 302 Of The Sarbanes-Oxley Act Of 2002</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Ex</w:t>
            </w: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32.1*</w:t>
            </w: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w:t>
            </w:r>
          </w:p>
        </w:tc>
      </w:tr>
      <w:tr>
        <w:trPr>
          <w:trHeight w:val="216"/>
        </w:trPr>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906 Of The Sarbanes-Oxley Act of 2002 (18 U.S.C. Section 1350)</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Ex</w:t>
            </w: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32.2*</w:t>
            </w: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Section</w:t>
            </w:r>
          </w:p>
        </w:tc>
      </w:tr>
      <w:tr>
        <w:trPr>
          <w:trHeight w:val="228"/>
        </w:trPr>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906 Of The Sarbanes-0xley Act Of 2002 (18 U.S.C. Section 1350)</w:t>
            </w:r>
          </w:p>
        </w:tc>
      </w:tr>
    </w:tbl>
    <w:p>
      <w:pPr>
        <w:spacing w:after="0" w:line="204" w:lineRule="exact"/>
        <w:rPr>
          <w:sz w:val="20"/>
          <w:szCs w:val="20"/>
          <w:color w:val="auto"/>
        </w:rPr>
      </w:pPr>
    </w:p>
    <w:p>
      <w:pPr>
        <w:ind w:left="1800"/>
        <w:spacing w:after="0"/>
        <w:tabs>
          <w:tab w:leader="none" w:pos="21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6"/>
          <w:szCs w:val="16"/>
          <w:color w:val="auto"/>
        </w:rPr>
        <w:t>Incorporated by reference to our Proxy Statement Pursuant to Section</w:t>
      </w:r>
    </w:p>
    <w:p>
      <w:pPr>
        <w:spacing w:after="0" w:line="2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14(a) of the Securities Exchange Act of 1934 filed on July 5, 2005 as</w:t>
      </w:r>
    </w:p>
    <w:p>
      <w:pPr>
        <w:spacing w:after="0" w:line="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Commission File No. 000-23246.</w:t>
      </w:r>
    </w:p>
    <w:p>
      <w:pPr>
        <w:spacing w:after="0" w:line="9" w:lineRule="exact"/>
        <w:rPr>
          <w:sz w:val="20"/>
          <w:szCs w:val="20"/>
          <w:color w:val="auto"/>
        </w:rPr>
      </w:pPr>
    </w:p>
    <w:p>
      <w:pPr>
        <w:ind w:left="1800"/>
        <w:spacing w:after="0"/>
        <w:tabs>
          <w:tab w:leader="none" w:pos="216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6"/>
          <w:szCs w:val="16"/>
          <w:color w:val="auto"/>
        </w:rPr>
        <w:t>Incorporated by reference to our Report on Form 8-K filed on August 18,</w:t>
      </w:r>
    </w:p>
    <w:p>
      <w:pPr>
        <w:spacing w:after="0" w:line="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2005 as Commission File No. 000-23246.</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William R. Retterath</w:t>
      </w:r>
    </w:p>
    <w:p>
      <w:pPr>
        <w:spacing w:after="0" w:line="2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Daktronics, Inc.</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William R. Retterath,</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Chief Financial Officer and Chief Accounting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469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13a-14(a) OR RULE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15d-14(a) OF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SECTI0N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B. Morgan, certify that:</w:t>
      </w:r>
    </w:p>
    <w:p>
      <w:pPr>
        <w:spacing w:after="0" w:line="225"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July 30, 2005 of Daktronics, Inc.;</w:t>
      </w:r>
    </w:p>
    <w:p>
      <w:pPr>
        <w:spacing w:after="0" w:line="225" w:lineRule="exact"/>
        <w:rPr>
          <w:rFonts w:ascii="Times New Roman" w:cs="Times New Roman" w:eastAsia="Times New Roman" w:hAnsi="Times New Roman"/>
          <w:sz w:val="18"/>
          <w:szCs w:val="18"/>
          <w:color w:val="auto"/>
        </w:rPr>
      </w:pPr>
    </w:p>
    <w:p>
      <w:pPr>
        <w:ind w:right="60" w:firstLine="8"/>
        <w:spacing w:after="0" w:line="275" w:lineRule="auto"/>
        <w:tabs>
          <w:tab w:leader="none" w:pos="3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8"/>
          <w:szCs w:val="18"/>
          <w:color w:val="auto"/>
        </w:rPr>
      </w:pPr>
    </w:p>
    <w:p>
      <w:pPr>
        <w:ind w:right="160" w:firstLine="8"/>
        <w:spacing w:after="0" w:line="275" w:lineRule="auto"/>
        <w:tabs>
          <w:tab w:leader="none" w:pos="3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ind w:firstLine="8"/>
        <w:spacing w:after="0" w:line="262" w:lineRule="auto"/>
        <w:tabs>
          <w:tab w:leader="none" w:pos="3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18"/>
          <w:szCs w:val="18"/>
          <w:color w:val="auto"/>
        </w:rPr>
      </w:pPr>
    </w:p>
    <w:p>
      <w:pPr>
        <w:ind w:left="540" w:right="100" w:hanging="216"/>
        <w:spacing w:after="0" w:line="262" w:lineRule="auto"/>
        <w:tabs>
          <w:tab w:leader="none" w:pos="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3" w:lineRule="exact"/>
        <w:rPr>
          <w:rFonts w:ascii="Times New Roman" w:cs="Times New Roman" w:eastAsia="Times New Roman" w:hAnsi="Times New Roman"/>
          <w:sz w:val="18"/>
          <w:szCs w:val="18"/>
          <w:color w:val="auto"/>
        </w:rPr>
      </w:pPr>
    </w:p>
    <w:p>
      <w:pPr>
        <w:ind w:left="560" w:right="200" w:hanging="232"/>
        <w:spacing w:after="0" w:line="262" w:lineRule="auto"/>
        <w:tabs>
          <w:tab w:leader="none" w:pos="5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Times New Roman" w:cs="Times New Roman" w:eastAsia="Times New Roman" w:hAnsi="Times New Roman"/>
          <w:sz w:val="18"/>
          <w:szCs w:val="18"/>
          <w:color w:val="auto"/>
        </w:rPr>
      </w:pPr>
    </w:p>
    <w:p>
      <w:pPr>
        <w:ind w:left="540" w:hanging="216"/>
        <w:spacing w:after="0" w:line="275" w:lineRule="auto"/>
        <w:tabs>
          <w:tab w:leader="none" w:pos="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18"/>
          <w:szCs w:val="18"/>
          <w:color w:val="auto"/>
        </w:rPr>
      </w:pPr>
    </w:p>
    <w:p>
      <w:pPr>
        <w:ind w:left="560" w:right="20" w:hanging="232"/>
        <w:spacing w:after="0" w:line="262" w:lineRule="auto"/>
        <w:tabs>
          <w:tab w:leader="none" w:pos="5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right="560" w:firstLine="8"/>
        <w:spacing w:after="0" w:line="275" w:lineRule="auto"/>
        <w:tabs>
          <w:tab w:leader="none" w:pos="3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Times New Roman" w:cs="Times New Roman" w:eastAsia="Times New Roman" w:hAnsi="Times New Roman"/>
          <w:sz w:val="18"/>
          <w:szCs w:val="18"/>
          <w:color w:val="auto"/>
        </w:rPr>
      </w:pPr>
    </w:p>
    <w:p>
      <w:pPr>
        <w:ind w:left="540" w:right="120" w:hanging="216"/>
        <w:spacing w:after="0" w:line="275" w:lineRule="auto"/>
        <w:tabs>
          <w:tab w:leader="none" w:pos="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ind w:left="560" w:right="400" w:hanging="232"/>
        <w:spacing w:after="0" w:line="275" w:lineRule="auto"/>
        <w:tabs>
          <w:tab w:leader="none" w:pos="5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 and</w:t>
      </w:r>
    </w:p>
    <w:p>
      <w:pPr>
        <w:spacing w:after="0" w:line="20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James B. Morgan</w:t>
      </w:r>
    </w:p>
    <w:p>
      <w:pPr>
        <w:spacing w:after="0" w:line="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Daktronics, Inc.</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13a-14(a) OR RULE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15d-14(a) OF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SECTI0N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R. Retterath, certify that:</w:t>
      </w:r>
    </w:p>
    <w:p>
      <w:pPr>
        <w:spacing w:after="0" w:line="225"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July 30, 2005 of Daktronics, Inc.;</w:t>
      </w:r>
    </w:p>
    <w:p>
      <w:pPr>
        <w:spacing w:after="0" w:line="225" w:lineRule="exact"/>
        <w:rPr>
          <w:rFonts w:ascii="Times New Roman" w:cs="Times New Roman" w:eastAsia="Times New Roman" w:hAnsi="Times New Roman"/>
          <w:sz w:val="18"/>
          <w:szCs w:val="18"/>
          <w:color w:val="auto"/>
        </w:rPr>
      </w:pPr>
    </w:p>
    <w:p>
      <w:pPr>
        <w:ind w:right="60" w:firstLine="8"/>
        <w:spacing w:after="0" w:line="275" w:lineRule="auto"/>
        <w:tabs>
          <w:tab w:leader="none" w:pos="3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8"/>
          <w:szCs w:val="18"/>
          <w:color w:val="auto"/>
        </w:rPr>
      </w:pPr>
    </w:p>
    <w:p>
      <w:pPr>
        <w:ind w:right="160" w:firstLine="8"/>
        <w:spacing w:after="0" w:line="275" w:lineRule="auto"/>
        <w:tabs>
          <w:tab w:leader="none" w:pos="3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ind w:firstLine="8"/>
        <w:spacing w:after="0" w:line="262" w:lineRule="auto"/>
        <w:tabs>
          <w:tab w:leader="none" w:pos="3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18"/>
          <w:szCs w:val="18"/>
          <w:color w:val="auto"/>
        </w:rPr>
      </w:pPr>
    </w:p>
    <w:p>
      <w:pPr>
        <w:ind w:left="540" w:right="100" w:hanging="216"/>
        <w:spacing w:after="0" w:line="262" w:lineRule="auto"/>
        <w:tabs>
          <w:tab w:leader="none" w:pos="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3" w:lineRule="exact"/>
        <w:rPr>
          <w:rFonts w:ascii="Times New Roman" w:cs="Times New Roman" w:eastAsia="Times New Roman" w:hAnsi="Times New Roman"/>
          <w:sz w:val="18"/>
          <w:szCs w:val="18"/>
          <w:color w:val="auto"/>
        </w:rPr>
      </w:pPr>
    </w:p>
    <w:p>
      <w:pPr>
        <w:ind w:left="560" w:right="200" w:hanging="232"/>
        <w:spacing w:after="0" w:line="262" w:lineRule="auto"/>
        <w:tabs>
          <w:tab w:leader="none" w:pos="5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Times New Roman" w:cs="Times New Roman" w:eastAsia="Times New Roman" w:hAnsi="Times New Roman"/>
          <w:sz w:val="18"/>
          <w:szCs w:val="18"/>
          <w:color w:val="auto"/>
        </w:rPr>
      </w:pPr>
    </w:p>
    <w:p>
      <w:pPr>
        <w:ind w:left="500" w:right="40" w:hanging="172"/>
        <w:spacing w:after="0" w:line="275" w:lineRule="auto"/>
        <w:tabs>
          <w:tab w:leader="none" w:pos="5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18"/>
          <w:szCs w:val="18"/>
          <w:color w:val="auto"/>
        </w:rPr>
      </w:pPr>
    </w:p>
    <w:p>
      <w:pPr>
        <w:ind w:left="560" w:right="20" w:hanging="232"/>
        <w:spacing w:after="0" w:line="262" w:lineRule="auto"/>
        <w:tabs>
          <w:tab w:leader="none" w:pos="5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right="560" w:firstLine="8"/>
        <w:spacing w:after="0" w:line="275" w:lineRule="auto"/>
        <w:tabs>
          <w:tab w:leader="none" w:pos="3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Times New Roman" w:cs="Times New Roman" w:eastAsia="Times New Roman" w:hAnsi="Times New Roman"/>
          <w:sz w:val="18"/>
          <w:szCs w:val="18"/>
          <w:color w:val="auto"/>
        </w:rPr>
      </w:pPr>
    </w:p>
    <w:p>
      <w:pPr>
        <w:ind w:left="540" w:right="40" w:hanging="216"/>
        <w:spacing w:after="0" w:line="275" w:lineRule="auto"/>
        <w:tabs>
          <w:tab w:leader="none" w:pos="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ind w:left="560" w:right="400" w:hanging="232"/>
        <w:spacing w:after="0" w:line="275" w:lineRule="auto"/>
        <w:tabs>
          <w:tab w:leader="none" w:pos="5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 and</w:t>
      </w:r>
    </w:p>
    <w:p>
      <w:pPr>
        <w:spacing w:after="0" w:line="20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William R. Retterath</w:t>
      </w:r>
    </w:p>
    <w:p>
      <w:pPr>
        <w:spacing w:after="0" w:line="2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Daktronics, Inc.</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William R. Retterath,</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Date:August 24,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46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1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and subsidiaries (the “Company”) for the quarterly period ended July 30, 2005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86"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James B. Morgan</w:t>
      </w:r>
    </w:p>
    <w:p>
      <w:pPr>
        <w:spacing w:after="0" w:line="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James B. Morgan,</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August 24,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469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13"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and subsidiaries (the “Company”) for the quarterly period ended July 30, 2005 as filed with the Securities and Exchange Commission on the date hereof (the “Report”), I, William R. Retterath, Chief Financial Officer of the Company, hereby certify, pursuant to 18 U.S.C. Section 1350, as adopted pursuant to Section 906 of the Sarbanes-Oxley Act of 2002, that to the best of my knowledge:</w:t>
      </w:r>
    </w:p>
    <w:p>
      <w:pPr>
        <w:spacing w:after="0" w:line="186"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William R. Retterath</w:t>
      </w:r>
    </w:p>
    <w:p>
      <w:pPr>
        <w:spacing w:after="0" w:line="2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William R. Retterath,</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August 24,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46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2019-12-14T02:48:25Z</dcterms:created>
  <dcterms:modified xsi:type="dcterms:W3CDTF">2019-12-14T02:48:25Z</dcterms:modified>
</cp:coreProperties>
</file>