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6528.xml.htm"/>
      <w:bookmarkStart w:id="1" w:name="kswkform4_1784236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Jayaraman Ramesh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32,762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61,119</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granted under the Daktronics, Inc. 2025 Stock Incentive Plan. The RSUs vest in four equal annual installments beginning August 23, 2027, subject to certain vesting, forfeiture, and termination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derivative securities beneficially owned represents the aggregate number of unvested restricted stock units beneficially owned by the reporting person following the reported transaction, consisting of: (i) 28,357 unvested RSUs granted December 15, 2025; and (ii) 32,762 unvested RSUs granted July 14, 2026. Such awards vest at varying times pursuant to the terms of the applicable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Ramesh Jayaraman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0961"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3724</Characters>
  <CharactersWithSpaces>4336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