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900" w:right="1880" w:hanging="388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January 27, 2024</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SD</w:t>
            </w:r>
          </w:p>
        </w:tc>
        <w:tc>
          <w:tcPr>
            <w:tcW w:w="43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522"/>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5"/>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64" w:right="31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spacing w:after="0" w:line="1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February 19, 2024 was 46,189,311.</w:t>
      </w:r>
    </w:p>
    <w:p>
      <w:pPr>
        <w:sectPr>
          <w:pgSz w:w="11900" w:h="16838" w:orient="portrait"/>
          <w:cols w:equalWidth="0" w:num="1">
            <w:col w:w="11260"/>
          </w:cols>
          <w:pgMar w:left="320" w:top="1364"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January 27,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9120" w:type="dxa"/>
            <w:vAlign w:val="bottom"/>
            <w:gridSpan w:val="23"/>
            <w:vMerge w:val="continue"/>
          </w:tcPr>
          <w:p>
            <w:pPr>
              <w:spacing w:after="0"/>
              <w:rPr>
                <w:sz w:val="16"/>
                <w:szCs w:val="16"/>
                <w:color w:val="auto"/>
              </w:rPr>
            </w:pPr>
          </w:p>
        </w:tc>
        <w:tc>
          <w:tcPr>
            <w:tcW w:w="420" w:type="dxa"/>
            <w:vAlign w:val="bottom"/>
            <w:gridSpan w:val="4"/>
          </w:tcPr>
          <w:p>
            <w:pPr>
              <w:jc w:val="center"/>
              <w:ind w:left="17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00" w:type="dxa"/>
            <w:vAlign w:val="bottom"/>
            <w:gridSpan w:val="11"/>
          </w:tcPr>
          <w:p>
            <w:pPr>
              <w:spacing w:after="0"/>
              <w:rPr>
                <w:sz w:val="18"/>
                <w:szCs w:val="18"/>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27, 2024 and April 29, 2023</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January 27, 2024 and</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8"/>
              </w:rPr>
              <w:t>January 28, 2023</w:t>
            </w:r>
          </w:p>
        </w:tc>
        <w:tc>
          <w:tcPr>
            <w:tcW w:w="4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30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gridSpan w:val="2"/>
          </w:tcPr>
          <w:p>
            <w:pPr>
              <w:spacing w:after="0"/>
              <w:rPr>
                <w:sz w:val="17"/>
                <w:szCs w:val="17"/>
                <w:color w:val="auto"/>
              </w:rPr>
            </w:pPr>
          </w:p>
        </w:tc>
        <w:tc>
          <w:tcPr>
            <w:tcW w:w="164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tcPr>
          <w:p>
            <w:pPr>
              <w:spacing w:after="0"/>
              <w:rPr>
                <w:sz w:val="17"/>
                <w:szCs w:val="17"/>
                <w:color w:val="auto"/>
              </w:rPr>
            </w:pPr>
          </w:p>
        </w:tc>
        <w:tc>
          <w:tcPr>
            <w:tcW w:w="1720" w:type="dxa"/>
            <w:vAlign w:val="bottom"/>
            <w:tcBorders>
              <w:top w:val="single" w:sz="8" w:color="0000FF"/>
              <w:bottom w:val="single" w:sz="8" w:color="0000FF"/>
            </w:tcBorders>
          </w:tcPr>
          <w:p>
            <w:pPr>
              <w:spacing w:after="0"/>
              <w:rPr>
                <w:sz w:val="17"/>
                <w:szCs w:val="17"/>
                <w:color w:val="auto"/>
              </w:rPr>
            </w:pPr>
          </w:p>
        </w:tc>
        <w:tc>
          <w:tcPr>
            <w:tcW w:w="2040" w:type="dxa"/>
            <w:vAlign w:val="bottom"/>
            <w:tcBorders>
              <w:top w:val="single" w:sz="8" w:color="0000FF"/>
              <w:bottom w:val="single" w:sz="8" w:color="0000FF"/>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and Nine Months Ended January</w:t>
            </w:r>
          </w:p>
        </w:tc>
        <w:tc>
          <w:tcPr>
            <w:tcW w:w="1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80" w:type="dxa"/>
            <w:vAlign w:val="bottom"/>
            <w:tcBorders>
              <w:bottom w:val="single" w:sz="8" w:color="0000FF"/>
            </w:tcBorders>
            <w:gridSpan w:val="21"/>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27, 2024 and January 28, 2023</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January 27, 2024</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and January 28, 2023</w:t>
            </w:r>
          </w:p>
        </w:tc>
        <w:tc>
          <w:tcPr>
            <w:tcW w:w="30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gridSpan w:val="3"/>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gridSpan w:val="3"/>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January 27, 2024 and January 28,</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40" w:type="dxa"/>
            <w:vAlign w:val="bottom"/>
            <w:gridSpan w:val="22"/>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2023</w:t>
            </w: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5"/>
            <w:vMerge w:val="continue"/>
          </w:tcPr>
          <w:p>
            <w:pPr>
              <w:spacing w:after="0"/>
              <w:rPr>
                <w:sz w:val="18"/>
                <w:szCs w:val="18"/>
                <w:color w:val="auto"/>
              </w:rPr>
            </w:pPr>
          </w:p>
        </w:tc>
        <w:tc>
          <w:tcPr>
            <w:tcW w:w="1720" w:type="dxa"/>
            <w:vAlign w:val="bottom"/>
          </w:tcPr>
          <w:p>
            <w:pPr>
              <w:spacing w:after="0"/>
              <w:rPr>
                <w:sz w:val="18"/>
                <w:szCs w:val="18"/>
                <w:color w:val="auto"/>
              </w:rPr>
            </w:pPr>
          </w:p>
        </w:tc>
        <w:tc>
          <w:tcPr>
            <w:tcW w:w="2660" w:type="dxa"/>
            <w:vAlign w:val="bottom"/>
            <w:gridSpan w:val="6"/>
          </w:tcPr>
          <w:p>
            <w:pPr>
              <w:spacing w:after="0"/>
              <w:rPr>
                <w:sz w:val="18"/>
                <w:szCs w:val="18"/>
                <w:color w:val="auto"/>
              </w:rPr>
            </w:pPr>
          </w:p>
        </w:tc>
        <w:tc>
          <w:tcPr>
            <w:tcW w:w="4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6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80" w:type="dxa"/>
            <w:vAlign w:val="bottom"/>
            <w:gridSpan w:val="4"/>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60" w:type="dxa"/>
            <w:vAlign w:val="bottom"/>
            <w:gridSpan w:val="8"/>
          </w:tcPr>
          <w:p>
            <w:pPr>
              <w:spacing w:after="0"/>
              <w:rPr>
                <w:sz w:val="18"/>
                <w:szCs w:val="18"/>
                <w:color w:val="auto"/>
              </w:rPr>
            </w:pP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80" w:type="dxa"/>
            <w:vAlign w:val="bottom"/>
            <w:gridSpan w:val="17"/>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320" w:type="dxa"/>
            <w:vAlign w:val="bottom"/>
            <w:tcBorders>
              <w:bottom w:val="single" w:sz="8" w:color="0000FF"/>
            </w:tcBorders>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18"/>
                <w:szCs w:val="18"/>
                <w:color w:val="auto"/>
              </w:rPr>
            </w:pPr>
          </w:p>
        </w:tc>
        <w:tc>
          <w:tcPr>
            <w:tcW w:w="4780" w:type="dxa"/>
            <w:vAlign w:val="bottom"/>
            <w:gridSpan w:val="9"/>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860" w:type="dxa"/>
            <w:vAlign w:val="bottom"/>
            <w:gridSpan w:val="5"/>
          </w:tcPr>
          <w:p>
            <w:pPr>
              <w:spacing w:after="0"/>
              <w:rPr>
                <w:sz w:val="18"/>
                <w:szCs w:val="18"/>
                <w:color w:val="auto"/>
              </w:rPr>
            </w:pP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60" w:type="dxa"/>
            <w:vAlign w:val="bottom"/>
            <w:gridSpan w:val="14"/>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7800" w:type="dxa"/>
            <w:vAlign w:val="bottom"/>
            <w:gridSpan w:val="18"/>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3400" w:type="dxa"/>
            <w:vAlign w:val="bottom"/>
          </w:tcPr>
          <w:p>
            <w:pPr>
              <w:spacing w:after="0"/>
              <w:rPr>
                <w:sz w:val="19"/>
                <w:szCs w:val="19"/>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49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 thousands, except per share data) (unaudited)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3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3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76,764</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149,448</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70"/>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47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5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47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375,530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issuance costs,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72,147</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27,928</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16,867</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468,104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60" w:type="dxa"/>
            <w:vAlign w:val="bottom"/>
          </w:tcPr>
          <w:p>
            <w:pPr>
              <w:spacing w:after="0"/>
              <w:rPr>
                <w:sz w:val="17"/>
                <w:szCs w:val="17"/>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67,522</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91,549</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36,005</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210,163</w:t>
            </w: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no par value, authorized 50,000 shares; no shares issued and outstanding</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authorized 115,000,000 shares; 46,189,311 and 45,488,595 shares issued at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27, 2024 and April 29, 2023, respectively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63,023</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1,907,445 shares at January 27, 2024 and April 29, 2023, respectively</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468,104</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346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6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3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r>
      <w:tr>
        <w:trPr>
          <w:trHeight w:val="241"/>
        </w:trPr>
        <w:tc>
          <w:tcPr>
            <w:tcW w:w="3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445,123</w:t>
            </w:r>
          </w:p>
        </w:tc>
      </w:tr>
      <w:tr>
        <w:trPr>
          <w:trHeight w:val="25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99,211</w:t>
            </w:r>
          </w:p>
        </w:tc>
      </w:tr>
      <w:tr>
        <w:trPr>
          <w:trHeight w:val="270"/>
        </w:trPr>
        <w:tc>
          <w:tcPr>
            <w:tcW w:w="3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7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41,866</w:t>
            </w:r>
          </w:p>
        </w:tc>
      </w:tr>
      <w:tr>
        <w:trPr>
          <w:trHeight w:val="27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w:t>
            </w:r>
          </w:p>
        </w:tc>
      </w:tr>
      <w:tr>
        <w:trPr>
          <w:trHeight w:val="27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r>
      <w:tr>
        <w:trPr>
          <w:trHeight w:val="27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3"/>
        </w:trPr>
        <w:tc>
          <w:tcPr>
            <w:tcW w:w="36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96,086</w:t>
            </w:r>
          </w:p>
        </w:tc>
      </w:tr>
      <w:tr>
        <w:trPr>
          <w:trHeight w:val="25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p>
      <w:pPr>
        <w:spacing w:after="0" w:line="63" w:lineRule="exact"/>
        <w:rPr>
          <w:sz w:val="20"/>
          <w:szCs w:val="20"/>
          <w:color w:val="auto"/>
        </w:rPr>
      </w:pPr>
    </w:p>
    <w:p>
      <w:pPr>
        <w:ind w:left="180" w:right="760"/>
        <w:spacing w:after="0" w:line="282" w:lineRule="auto"/>
        <w:rPr>
          <w:sz w:val="20"/>
          <w:szCs w:val="20"/>
          <w:color w:val="auto"/>
        </w:rPr>
      </w:pPr>
      <w:r>
        <w:rPr>
          <w:rFonts w:ascii="Times New Roman" w:cs="Times New Roman" w:eastAsia="Times New Roman" w:hAnsi="Times New Roman"/>
          <w:sz w:val="18"/>
          <w:szCs w:val="18"/>
          <w:color w:val="auto"/>
        </w:rPr>
        <w:t>Other expense and debt issuance costs write-off, net</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9" w:lineRule="exact"/>
        <w:rPr>
          <w:sz w:val="20"/>
          <w:szCs w:val="20"/>
          <w:color w:val="auto"/>
        </w:rPr>
      </w:pPr>
    </w:p>
    <w:p>
      <w:pPr>
        <w:ind w:left="180"/>
        <w:spacing w:after="0"/>
        <w:tabs>
          <w:tab w:leader="none" w:pos="3660" w:val="left"/>
        </w:tabs>
        <w:rPr>
          <w:sz w:val="20"/>
          <w:szCs w:val="20"/>
          <w:color w:val="auto"/>
        </w:rPr>
      </w:pPr>
      <w:r>
        <w:rPr>
          <w:rFonts w:ascii="Times New Roman" w:cs="Times New Roman" w:eastAsia="Times New Roman" w:hAnsi="Times New Roman"/>
          <w:sz w:val="18"/>
          <w:szCs w:val="18"/>
          <w:b w:val="1"/>
          <w:bCs w:val="1"/>
          <w:color w:val="auto"/>
        </w:rPr>
        <w:t>Net income (loss)</w:t>
      </w:r>
      <w:r>
        <w:rPr>
          <w:sz w:val="20"/>
          <w:szCs w:val="20"/>
          <w:color w:val="auto"/>
        </w:rPr>
        <w:tab/>
      </w:r>
      <w:r>
        <w:rPr>
          <w:rFonts w:ascii="Times New Roman" w:cs="Times New Roman" w:eastAsia="Times New Roman" w:hAnsi="Times New Roman"/>
          <w:sz w:val="16"/>
          <w:szCs w:val="16"/>
          <w:color w:val="auto"/>
        </w:rPr>
        <w:t>$</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(loss) per share:</w:t>
      </w:r>
    </w:p>
    <w:p>
      <w:pPr>
        <w:spacing w:after="0" w:line="36" w:lineRule="exact"/>
        <w:rPr>
          <w:sz w:val="20"/>
          <w:szCs w:val="20"/>
          <w:color w:val="auto"/>
        </w:rPr>
      </w:pPr>
    </w:p>
    <w:p>
      <w:pPr>
        <w:ind w:left="180"/>
        <w:spacing w:after="0"/>
        <w:tabs>
          <w:tab w:leader="none" w:pos="3660" w:val="left"/>
        </w:tabs>
        <w:rPr>
          <w:sz w:val="20"/>
          <w:szCs w:val="20"/>
          <w:color w:val="auto"/>
        </w:rPr>
      </w:pPr>
      <w:r>
        <w:rPr>
          <w:rFonts w:ascii="Times New Roman" w:cs="Times New Roman" w:eastAsia="Times New Roman" w:hAnsi="Times New Roman"/>
          <w:sz w:val="16"/>
          <w:szCs w:val="16"/>
          <w:color w:val="auto"/>
        </w:rPr>
        <w:t>Basic</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180"/>
        <w:spacing w:after="0"/>
        <w:tabs>
          <w:tab w:leader="none" w:pos="3660" w:val="left"/>
        </w:tabs>
        <w:rPr>
          <w:sz w:val="20"/>
          <w:szCs w:val="20"/>
          <w:color w:val="auto"/>
        </w:rPr>
      </w:pPr>
      <w:r>
        <w:rPr>
          <w:rFonts w:ascii="Times New Roman" w:cs="Times New Roman" w:eastAsia="Times New Roman" w:hAnsi="Times New Roman"/>
          <w:sz w:val="16"/>
          <w:szCs w:val="16"/>
          <w:color w:val="auto"/>
        </w:rPr>
        <w:t>Diluted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6,340</w:t>
            </w:r>
          </w:p>
        </w:tc>
        <w:tc>
          <w:tcPr>
            <w:tcW w:w="70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(1,000)</w:t>
            </w: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52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12,631</w:t>
            </w: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1,889</w:t>
            </w:r>
          </w:p>
        </w:tc>
        <w:tc>
          <w:tcPr>
            <w:tcW w:w="7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14,666</w:t>
            </w:r>
          </w:p>
        </w:tc>
      </w:tr>
      <w:tr>
        <w:trPr>
          <w:trHeight w:val="223"/>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10,742</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0"/>
        </w:trPr>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36"/>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46,173</w:t>
            </w: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45,320</w:t>
            </w: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50,837</w:t>
            </w:r>
          </w:p>
        </w:tc>
        <w:tc>
          <w:tcPr>
            <w:tcW w:w="7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45,320</w:t>
            </w:r>
          </w:p>
        </w:tc>
      </w:tr>
      <w:tr>
        <w:trPr>
          <w:trHeight w:val="769"/>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0.23</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5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-2811145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-2493645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-2013585</wp:posOffset>
            </wp:positionV>
            <wp:extent cx="7132320" cy="2014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014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340"/>
          </w:cols>
          <w:pgMar w:left="320" w:top="121"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316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27,</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27,</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r>
      <w:tr>
        <w:trPr>
          <w:trHeight w:val="241"/>
        </w:trPr>
        <w:tc>
          <w:tcPr>
            <w:tcW w:w="4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2"/>
        </w:trPr>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p>
      <w:pPr>
        <w:spacing w:after="0" w:line="63" w:lineRule="exact"/>
        <w:rPr>
          <w:sz w:val="20"/>
          <w:szCs w:val="20"/>
          <w:color w:val="auto"/>
        </w:rPr>
      </w:pPr>
    </w:p>
    <w:p>
      <w:pPr>
        <w:ind w:left="180" w:right="700"/>
        <w:spacing w:after="0" w:line="282" w:lineRule="auto"/>
        <w:rPr>
          <w:sz w:val="20"/>
          <w:szCs w:val="20"/>
          <w:color w:val="auto"/>
        </w:rPr>
      </w:pPr>
      <w:r>
        <w:rPr>
          <w:rFonts w:ascii="Times New Roman" w:cs="Times New Roman" w:eastAsia="Times New Roman" w:hAnsi="Times New Roman"/>
          <w:sz w:val="18"/>
          <w:szCs w:val="18"/>
          <w:color w:val="auto"/>
        </w:rPr>
        <w:t>Unrealized gain on available-for-sale securities, net of tax</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1,041</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1,976</w:t>
            </w: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86"/>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w:t>
            </w: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-624840</wp:posOffset>
            </wp:positionV>
            <wp:extent cx="710628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-307975</wp:posOffset>
            </wp:positionV>
            <wp:extent cx="710628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780" w:space="720"/>
            <w:col w:w="570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29,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200,878</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29,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221,047</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28,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223,221</w:t>
            </w:r>
          </w:p>
        </w:tc>
        <w:tc>
          <w:tcPr>
            <w:tcW w:w="0" w:type="dxa"/>
            <w:vAlign w:val="bottom"/>
          </w:tcPr>
          <w:p>
            <w:pPr>
              <w:spacing w:after="0"/>
              <w:rPr>
                <w:sz w:val="1"/>
                <w:szCs w:val="1"/>
                <w:color w:val="auto"/>
              </w:rPr>
            </w:pPr>
          </w:p>
        </w:tc>
      </w:tr>
      <w:tr>
        <w:trPr>
          <w:trHeight w:val="22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27,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236,246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186,702</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176"/>
        </w:trPr>
        <w:tc>
          <w:tcPr>
            <w:tcW w:w="3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29,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172,530</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176"/>
        </w:trPr>
        <w:tc>
          <w:tcPr>
            <w:tcW w:w="31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27,</w:t>
            </w:r>
          </w:p>
        </w:tc>
        <w:tc>
          <w:tcPr>
            <w:tcW w:w="220" w:type="dxa"/>
            <w:vAlign w:val="bottom"/>
          </w:tcPr>
          <w:p>
            <w:pPr>
              <w:spacing w:after="0"/>
              <w:rPr>
                <w:sz w:val="11"/>
                <w:szCs w:val="11"/>
                <w:color w:val="auto"/>
              </w:rPr>
            </w:pPr>
          </w:p>
        </w:tc>
        <w:tc>
          <w:tcPr>
            <w:tcW w:w="1260" w:type="dxa"/>
            <w:vAlign w:val="bottom"/>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(14,597)</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(gain) on sale of property, equipment and 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loss of affiliates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doubtful accounts, net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13,028</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convertible note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 write-off</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(29,206)</w:t>
            </w:r>
          </w:p>
        </w:tc>
      </w:tr>
      <w:tr>
        <w:trPr>
          <w:trHeight w:val="18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(9,487)</w:t>
            </w:r>
          </w:p>
        </w:tc>
      </w:tr>
      <w:tr>
        <w:trPr>
          <w:trHeight w:val="203"/>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(21,809)</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sales of property, equipment and other assets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sales or maturities of marketable securities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Purchases of equity and loans to equity investees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(20,947)</w:t>
            </w:r>
          </w:p>
        </w:tc>
      </w:tr>
      <w:tr>
        <w:trPr>
          <w:trHeight w:val="203"/>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on notes payable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283,115</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(259,477)</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on long-term obligations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Debt issuance costs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 payments related to RSU issuances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23,498</w:t>
            </w:r>
          </w:p>
        </w:tc>
      </w:tr>
      <w:tr>
        <w:trPr>
          <w:trHeight w:val="203"/>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(7,278)</w:t>
            </w:r>
          </w:p>
        </w:tc>
      </w:tr>
      <w:tr>
        <w:trPr>
          <w:trHeight w:val="203"/>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Beginning of period</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w:t>
            </w:r>
          </w:p>
        </w:tc>
      </w:tr>
      <w:tr>
        <w:trPr>
          <w:trHeight w:val="22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for:</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w:t>
            </w:r>
          </w:p>
        </w:tc>
      </w:tr>
      <w:tr>
        <w:trPr>
          <w:trHeight w:val="210"/>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r>
      <w:tr>
        <w:trPr>
          <w:trHeight w:val="188"/>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Contributions of common stock under the ESPP</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of assets and liabilities, revenues and expenses, and the disclosure of contingent liabilities. Estimates used in the preparation of the unaudited consolidated financial statements include, among others, revenue recognition, future warranty expenses, the fair value of long-term debt, the fair value of investments in affiliates, income tax expenses, and stock-based compensation. Due to the inherent uncertainty involved in making estimates, actual results in future periods may differ from those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at April 29, 2023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29, 2023,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nine months ended January 27, 2024 and January 28, 2023 contained operating results for 39 weeks.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April 29,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certain issuances of foreign bank guarantees.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0" w:type="dxa"/>
            <w:vAlign w:val="bottom"/>
          </w:tcPr>
          <w:p>
            <w:pPr>
              <w:spacing w:after="0"/>
              <w:rPr>
                <w:sz w:val="1"/>
                <w:szCs w:val="1"/>
                <w:color w:val="auto"/>
              </w:rPr>
            </w:pPr>
          </w:p>
        </w:tc>
      </w:tr>
      <w:tr>
        <w:trPr>
          <w:trHeight w:val="241"/>
        </w:trPr>
        <w:tc>
          <w:tcPr>
            <w:tcW w:w="6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55"/>
        </w:trPr>
        <w:tc>
          <w:tcPr>
            <w:tcW w:w="6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$76,764 in cash and cash equivalent balances as of January 27, 2024, $63,179 were denominated in United States dollars, of which $1,568 were held by our foreign subsidiaries. As of January 27, 2024, we had an additional $13,585 in cash balances denominated in foreign currencies, of which $9,761 were maintained in accounts of our foreign subsidiaries.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(the "FASB") issued Accounting Standards Update ("ASU") 2020-06, </w:t>
      </w:r>
      <w:r>
        <w:rPr>
          <w:rFonts w:ascii="Times New Roman" w:cs="Times New Roman" w:eastAsia="Times New Roman" w:hAnsi="Times New Roman"/>
          <w:sz w:val="18"/>
          <w:szCs w:val="18"/>
          <w:i w:val="1"/>
          <w:iCs w:val="1"/>
          <w:color w:val="auto"/>
        </w:rPr>
        <w:t>Debt - 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 and Other Options (Subtopic 470- 20) and 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2020-06 simplified the accounting for certain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instruments with characteristics of liabilities and equity. ASU 2020-06 (1) simplified the accounting for convertible debt instruments and convertible preferred stock by removing the existing guidance in Accounting Standards Codification ("ASC") 470-20, </w:t>
      </w:r>
      <w:r>
        <w:rPr>
          <w:rFonts w:ascii="Times New Roman" w:cs="Times New Roman" w:eastAsia="Times New Roman" w:hAnsi="Times New Roman"/>
          <w:sz w:val="18"/>
          <w:szCs w:val="18"/>
          <w:i w:val="1"/>
          <w:iCs w:val="1"/>
          <w:color w:val="auto"/>
        </w:rPr>
        <w:t>Debt: Debt with Conversion and Other Options</w:t>
      </w:r>
      <w:r>
        <w:rPr>
          <w:rFonts w:ascii="Times New Roman" w:cs="Times New Roman" w:eastAsia="Times New Roman" w:hAnsi="Times New Roman"/>
          <w:sz w:val="18"/>
          <w:szCs w:val="18"/>
          <w:color w:val="auto"/>
        </w:rPr>
        <w:t xml:space="preserve">, that required entities to account for beneficial conversion features and cash conversion features in equity separately from the host convertible debt or preferred stock; (2) revised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revised the guidance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 require entities to calculate diluted earnings per share ("EPS") for convertible instruments by using the if-converted method. In addition, entities must presume share settlement for purposes of calculating diluted EPS when an instrument may be settled in cash or shares. For SEC filers, excluding smaller reporting companies, ASU 2020-06 was effective for fiscal years beginning after December 15, 2021, including interim periods within those fiscal years. Early adoption was permitted, but no earlier than fiscal years beginning after December 15, 2020. For all other entities, ASU 2020-06 was effective for fiscal years beginning after December 15, 2023, including interim periods within those fiscal years. In the first quarter of fiscal 2024, we adopted ASU 2020-06 with no material impact to the Condensed Consolidated Financial Statements. On May 11, 2023, we borrowed $25,000 in aggregate principal amount evidenced by a secured convertible note due May 11, 2027 (the "Convertible Note"). See "Note 7. Financing Agreements" of the Notes to our Condensed Consolidated Financial Statements included in this Form 10-Q for further information on the Convertible Note.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requires enhanced disclosures about significant segment expenses. The Company is required to adopt ASU 2023-07 for its annual reporting in fiscal year 2025 and for interim period reporting beginning in the first quarter of fiscal year 2026 on a retrospective basis. Early adoption is permitted. We are currently evaluating the impact of ASU 2023-07 on our segment disclosures.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disaggregation of income taxes paid disclosure by federal, state and foreign taxes, with further disaggregation required for significant individual jurisdictions. The Company is required to adopt this guidance for its annual reporting in fiscal year 2025 on a prospective basis. Early adoption and retroactive application are permitted. We are currently evaluating the impact of ASU 2023-09 on our income tax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evaluated the nature of our investment in affiliates of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which is developing micro-LED mass transfer expertise and technologies, and Miortech (dba Etulipa), which is developing low power outdoor electrowetting technology. We determined that Miortech is a variable interest entity (VIE), and, based on management's analysis, we determined that Daktronics is not the primary beneficiary; therefore, the investment in Miortech is accounted for under the equity method.</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our investments accounted for under the equity method was $8,513 and $11,934 as of January 27, 2024 and April 29, 2023, respectively. Our proportional share of the respective affiliates' earnings or losses is included in the "Other expense and debt issuance costs write-off, net" line item in our condensed consolidated statements of operations. For the three and nine months ended January 27, 2024, our share of the losses of our affiliates was $869 and $2,330 as compared to $895 and $2,596 for the three and nine months ended January 28,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the nine months ended January 27, 2024 and January 28, 2023 was $162 and $672, respectively, which is included in the "Product design and development" line item in our condensed consolidated statements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and for the nine months ended January 27, 2024, $2 remains unpaid and is included in the "Accounts payable" line item in our condensed consolidated balance sheets.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During the nine months ended January 27, 2024, we invested $3,000 in convertible notes and $1,084 in promissory notes (collectively, the "Affiliate Notes") issued by our affiliates, which is included in the "Investment in affiliates and other assets" line item in our condensed consolidated balance sheets. During the nine months ended January 27, 2024, we did not convert any Affiliate Notes to stock ownership. Our ownership in Miortech was 55.9 percent and in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was 16.4 percent as of January 27, 2024. The total amount of Affiliate Notes as of January 27, 2024 was $13,134 and is included in the "Investments in affiliates and other assets" line item in our condensed consolidated balance sheets. The Affiliate Notes balance combined with the investment in affiliates balance totaled $21,647 and $24,836 as of January 27, 2024 and January 28,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if-converted method, the Convertible Note is assumed to be converted into common stock at the beginning of the reporting period or at time of issuance, if later, and the resulting shares are included in the denominator of the calculation. In addition, interest charges, net of any income tax effects, and the change in fair value of Convertible Note are added back to the numerator of the calculation. See "Note 7. Financing Agreements" of the Notes to our Condensed Consolidated Financial Statements included in this Form 10-Q for further information on the Convertible Note.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(loss) and common share amounts used in the calculation of basic and diluted EPS for the three and nine months ended January 27, 2024 and January 28,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3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169"/>
        </w:trPr>
        <w:tc>
          <w:tcPr>
            <w:tcW w:w="48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r>
      <w:tr>
        <w:trPr>
          <w:trHeight w:val="241"/>
        </w:trPr>
        <w:tc>
          <w:tcPr>
            <w:tcW w:w="48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100" w:type="dxa"/>
            <w:vAlign w:val="bottom"/>
          </w:tcPr>
          <w:p>
            <w:pPr>
              <w:spacing w:after="0"/>
              <w:rPr>
                <w:sz w:val="19"/>
                <w:szCs w:val="19"/>
                <w:color w:val="auto"/>
              </w:rPr>
            </w:pPr>
          </w:p>
        </w:tc>
        <w:tc>
          <w:tcPr>
            <w:tcW w:w="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
        </w:trPr>
        <w:tc>
          <w:tcPr>
            <w:tcW w:w="4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on convertible note, net of tax</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1"/>
        </w:trPr>
        <w:tc>
          <w:tcPr>
            <w:tcW w:w="4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45,320</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Dilution associated with convertible note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482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assuming</w:t>
            </w: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w:t>
            </w:r>
          </w:p>
        </w:tc>
      </w:tr>
      <w:tr>
        <w:trPr>
          <w:trHeight w:val="22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484 shares of common stock with a weighted average exercise price of $10.73 for the three months ended January 27, 2024 and 2,102 shares of common stock with a weighted average exercise price of $7.13 for the three months ended January 28, 2023 were not included in the computation of diluted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695 shares of common stock with a weighted average exercise price of $10.30 for the nine months ended January 27, 2024 and 2,089 shares of common stock with a weighted average exercise price of $7.59 for the nine months ended January 28, 2023 were not included in the computation of diluted earnings per share because the effects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January 27, 2024, shares of common stock issuable upon conversion of the Convertible Note were not included in the computation of diluted earnings per share, as the effect would be anti-dilutive. For the nine months ended January 27, 2024, 3,875 potential common shares related to the Convertible Note were excluded from the calculation of diluted earnings per share. The debt evidenced by the Convertible Note was not outstanding during fiscal year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January 27, 2024</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4"/>
        </w:trPr>
        <w:tc>
          <w:tcPr>
            <w:tcW w:w="1280" w:type="dxa"/>
            <w:vAlign w:val="bottom"/>
            <w:tcBorders>
              <w:top w:val="single" w:sz="8" w:color="0E32E1"/>
            </w:tcBorders>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 27, 2024</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196,429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 28, 2023</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January 28, 2023</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242,585</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264,803</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162,341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279,531</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29,</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1"/>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10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29, 2023 to January 27, 2024 were due to the timing of billing schedules and revenue recognition, which can vary significantly depending on the contractual payment terms and the seasonality of the sports markets. We had immaterial impairments of contract assets for the nine months ended January 27,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of our Condensed Consolidated Balance Sheets. Changes in unearned service-type warranty contracts, net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tcPr>
          <w:p>
            <w:pPr>
              <w:spacing w:after="0"/>
              <w:rPr>
                <w:sz w:val="20"/>
                <w:szCs w:val="20"/>
                <w:color w:val="auto"/>
              </w:rPr>
            </w:pPr>
          </w:p>
        </w:tc>
        <w:tc>
          <w:tcPr>
            <w:tcW w:w="5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29, 2023</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28,338</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5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27, 2024</w:t>
            </w:r>
          </w:p>
        </w:tc>
        <w:tc>
          <w:tcPr>
            <w:tcW w:w="5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38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5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January 27, 2024 and as of April 29, 2023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27, 2024, we recognized revenue of $82,938 related to our contract liabilities as of April 29,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January 27, 2024, the aggregate amount of the transaction price allocated to the remaining performance obligations was $393,203. Remaining performance obligations related to product and service agreements as of January 27, 2024 were $328,279 and $64,924, respectively. We expect approximately $328,491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nine months ended January 27, 2024 and January 28, 2023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E32E1"/>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04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9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0"/>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31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r>
      <w:tr>
        <w:trPr>
          <w:trHeight w:val="241"/>
        </w:trPr>
        <w:tc>
          <w:tcPr>
            <w:tcW w:w="128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127,132</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193,370</w:t>
            </w:r>
          </w:p>
        </w:tc>
      </w:tr>
      <w:tr>
        <w:trPr>
          <w:trHeight w:val="22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106,127</w:t>
            </w:r>
          </w:p>
        </w:tc>
      </w:tr>
      <w:tr>
        <w:trPr>
          <w:trHeight w:val="230"/>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w:t>
            </w:r>
          </w:p>
        </w:tc>
      </w:tr>
      <w:tr>
        <w:trPr>
          <w:trHeight w:val="229"/>
        </w:trPr>
        <w:tc>
          <w:tcPr>
            <w:tcW w:w="4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63,908</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r>
      <w:tr>
        <w:trPr>
          <w:trHeight w:val="20"/>
        </w:trPr>
        <w:tc>
          <w:tcPr>
            <w:tcW w:w="44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w:t>
            </w:r>
          </w:p>
        </w:tc>
      </w:tr>
      <w:tr>
        <w:trPr>
          <w:trHeight w:val="23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29"/>
        </w:trPr>
        <w:tc>
          <w:tcPr>
            <w:tcW w:w="4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23"/>
        </w:trPr>
        <w:tc>
          <w:tcPr>
            <w:tcW w:w="12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99,211</w:t>
            </w:r>
          </w:p>
        </w:tc>
      </w:tr>
      <w:tr>
        <w:trPr>
          <w:trHeight w:val="250"/>
        </w:trPr>
        <w:tc>
          <w:tcPr>
            <w:tcW w:w="1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41,866</w:t>
            </w:r>
          </w:p>
        </w:tc>
      </w:tr>
      <w:tr>
        <w:trPr>
          <w:trHeight w:val="229"/>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w:t>
            </w:r>
          </w:p>
        </w:tc>
      </w:tr>
      <w:tr>
        <w:trPr>
          <w:trHeight w:val="23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r>
      <w:tr>
        <w:trPr>
          <w:trHeight w:val="230"/>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3"/>
        </w:trPr>
        <w:tc>
          <w:tcPr>
            <w:tcW w:w="128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99,376</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96,086</w:t>
            </w:r>
          </w:p>
        </w:tc>
      </w:tr>
      <w:tr>
        <w:trPr>
          <w:trHeight w:val="223"/>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50"/>
        </w:trPr>
        <w:tc>
          <w:tcPr>
            <w:tcW w:w="1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70"/>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48"/>
        </w:trPr>
        <w:tc>
          <w:tcPr>
            <w:tcW w:w="4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44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3"/>
        </w:trPr>
        <w:tc>
          <w:tcPr>
            <w:tcW w:w="1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w:t>
            </w:r>
          </w:p>
        </w:tc>
      </w:tr>
      <w:tr>
        <w:trPr>
          <w:trHeight w:val="21"/>
        </w:trPr>
        <w:tc>
          <w:tcPr>
            <w:tcW w:w="1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98"/>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2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January 27,</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r>
      <w:tr>
        <w:trPr>
          <w:trHeight w:val="241"/>
        </w:trPr>
        <w:tc>
          <w:tcPr>
            <w:tcW w:w="4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474,048</w:t>
            </w:r>
          </w:p>
        </w:tc>
      </w:tr>
      <w:tr>
        <w:trPr>
          <w:trHeight w:val="22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70,286</w:t>
            </w:r>
          </w:p>
        </w:tc>
      </w:tr>
      <w:tr>
        <w:trPr>
          <w:trHeight w:val="223"/>
        </w:trPr>
        <w:tc>
          <w:tcPr>
            <w:tcW w:w="4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544,334</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41"/>
        </w:trPr>
        <w:tc>
          <w:tcPr>
            <w:tcW w:w="7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63,786</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r>
      <w:tr>
        <w:trPr>
          <w:trHeight w:val="223"/>
        </w:trPr>
        <w:tc>
          <w:tcPr>
            <w:tcW w:w="7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72,147</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changes in the carrying amount of goodwill related to each segment with a goodwill balance for the nine months ended January 27, 2024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29, 2023</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27, 2024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as of October 29, 2023 and concluded no goodwill impairment existed.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impairments to goodwill as of January 27, 2024 and April 29, 2023 was $4,576.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Agreements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17"/>
        </w:trPr>
        <w:tc>
          <w:tcPr>
            <w:tcW w:w="1280" w:type="dxa"/>
            <w:vAlign w:val="bottom"/>
            <w:tcBorders>
              <w:top w:val="single" w:sz="8" w:color="0E32E1"/>
            </w:tcBorders>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32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41"/>
        </w:trPr>
        <w:tc>
          <w:tcPr>
            <w:tcW w:w="128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credit facility/prior line of credit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2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1"/>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2023, we closed on a $75,000 senior credit facility (the "Credit Facility"). The Credit Facility consists of a $60,000 asset-based revolving credit facility (the "ABL") maturing on May 11. 2026, which is secured by first priority lien on the Company's assets and is subject to certain factors that can impact our borrowing capacity, and a $15,000 delayed draw loan (the "Delayed Draw Loan") secured by a first priority mortgage on our Brookings, South Dakota real estate (the "Mortgage"). The ABL and Delayed Draw Loan are evidenced by a Credit Agreement dated as of May 11, 2023 (the "Credit Agreement") between the Company and JPMorgan Chase Bank, N.A., as the lender. On May 11, 2023, the Company paid all amounts outstanding on the prior credit agreement, and this prior credit agreement was terminated as of this date. No gain or loss was recognized upon termination, and the Company incurred no early termination penalties in connection with such termination.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ABL, certain factors can impact our borrowing capacity. As of January 27, 2024, our borrowing capacity was $32,907, there were no borrowings outstanding, and there was $5,426 used to secure letters of credit outstanding.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on the ABL is set on a sliding scale based on the trailing 12-month fixed charge coverage and ranges from 2.5 to 3.5 percent over the standard overnight financing rate (SOFR). The ABL is secured by a first priority lien on the Company's assets described in the Credit Agreement and the Pledge and Security Agreement dated as of May 11, 2023 by and among the Company, Daktronics Installation, Inc. and JPMorgan Chase Bank, N.A.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$15,000 Delayed Draw Loan was funded on July 7, 2023 and is secured by the Mortgage on the Company's Brookings, South Dakota real estate. It amortizes over 10 years and has monthly payments of $125. The Delayed Draw Loan is subject to the terms of the Credit Agreement and matures on May 11, 2026. The interest rate on the Delayed Draw Loan is set on a sliding scale based on the trailing 12-month fixed charge coverage ratio and ranges between 1.0 and 2.0 percent over the Commercial Bank Floating Rate (CBFR). The interest rate as of January 27, 2024 for Delayed Draw Loan was 9.5 percent.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2023, we borrowed $25,000 in aggregate principal amount evidenced by the secured Convertible Note due May 11, 2027. The Convertible Note holder (the "Holder") has a second priority lien on assets securing the ABL facility and a first priority lien on substantially all of the other assets of the Company, excluding all real property, subject to the Intercreditor Agreement dated as of May 11, 2023 by and among the Company, JPMorgan Chase Bank N.A., and the Holder of the Convertible Note.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227" w:lineRule="exact"/>
        <w:rPr>
          <w:sz w:val="20"/>
          <w:szCs w:val="20"/>
          <w:color w:val="auto"/>
        </w:rPr>
      </w:pPr>
    </w:p>
    <w:p>
      <w:pPr>
        <w:jc w:val="both"/>
        <w:ind w:left="660" w:hanging="328"/>
        <w:spacing w:after="0" w:line="258"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Convertible Note allows the Holder and any of the Holder’s permitted transferees, donees, pledgees, assignees or successors-in-interest (collectively, the “Selling Shareholders”)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a forced conversion right, which is exercisable on the occurrence of certain conditions set forth in the Convertible Note, pursuant to which it can cause all or any portion of the outstanding and unpaid Conversion Amount to be converted into shares of common stock at the Conversion Price.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if the Company fails other than by reason of a failure by the Holder to comply with its obligations, the Holder is permitted to cash payments from the Company until such conversion failure is cured.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227" w:lineRule="exact"/>
        <w:rPr>
          <w:sz w:val="20"/>
          <w:szCs w:val="20"/>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have an "Event of Default", as defined by the Convertible Note, then the Holder may require the Company to redeem all or any portion of the Convertible Note.</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"Change of Control", as defined by the Convertible Note, then the Holder is entitled to payment of the outstanding amount of the Convertible Note at the "Change in Control Redemption Price," as defined in the Convertible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Interest accruing under the Convertible Note is payable, at the option of the Company, in either (i) cash or (ii) a combination of cash interest and capitalized interest; provided, however, that at least fifty percent (50%) of the interest paid on each interest date must be paid as cash interest. The Convertible Note accrues interest quarterly at an annual rate of 9.0 percent when interest is paid in cash or an annual rate of 10.0 percent if interest is paid in kind. Upon an event of default under the Convertible Note, the annual interest rate will increase to 12.0 percent. The annual rate of 9.0 percent was used to calculate the interest accrued as of January 27, 2024, as interest will be paid in cash.</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 as described in "Note 10. Fair Value Measurement" of the Notes to our Condensed Consolidated Financial Statements included in this Form 10-Q. The financial liability was initially measured at its issue-date fair value and is subsequently remeasured at fair value on a recurring basis at each reporting period date. We have elected to present the fair value and the accrued interest component separately in the Condensed Consolidated Statements of Operations. Therefore, interest will be recognized and accrued separately in interest expense, with changes in fair value of the Convertible Note presented in the "Change in fair value of convertible note" line item in our Condensed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fair value of the Convertible Note during the nine months ended January 27, 2024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Liability Component</w:t>
            </w:r>
          </w:p>
        </w:tc>
      </w:tr>
      <w:tr>
        <w:trPr>
          <w:trHeight w:val="234"/>
        </w:trPr>
        <w:tc>
          <w:tcPr>
            <w:tcW w:w="2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May 11,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75"/>
        </w:trPr>
        <w:tc>
          <w:tcPr>
            <w:tcW w:w="2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Redemption of convertible promissory</w:t>
            </w: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recognized</w:t>
            </w: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27,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36,570</w:t>
            </w: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estimated fair value of the Convertible Note upon its issuance date of May 11, 2023 and as of January 27, 2024 was computed using a binomial lattice model which incorporates significant inputs that are not observable in the market and thus represents a Level 3 measurement.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the fair value by using the following key assumptions in the binomial lattice model: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(Annual)</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Yield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17.24 %</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60.00 %</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(Annual)</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Agreement and the Convertible Note require a fixed charge coverage ratio of greater than 1.1 and include other customary non-financial covenants. As of January 27, 2024, we were in compliance with our financial covenants under the Credit Agreement and the Convertible Note.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issuance costs incurred and capitalized are amortized on a straight-line basis over the term of the associated debt agreement. If early principal payments or conversions occur, a proportional amount of unamortized debt issuance costs is expensed. As part of these financings, we capitalized $8,195 in debt issuance costs. During the nine months ended January 27, 2024, due to the Convertible Note being accounted for at fair value, we expensed $3,353 of the related debt issuance costs which is included in the "Other expense and debt issuance costs write-off, net" line item in our Condensed Consolidated Statements of Operations. During the nine months ended January 27, 2024, we amortized $1,148 of debt issuance costs. The remaining debt issuance costs of $3,694 are being amortized over the three-year term of the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Warranties: </w:t>
      </w:r>
      <w:r>
        <w:rPr>
          <w:rFonts w:ascii="Times New Roman" w:cs="Times New Roman" w:eastAsia="Times New Roman" w:hAnsi="Times New Roman"/>
          <w:sz w:val="17"/>
          <w:szCs w:val="17"/>
          <w:color w:val="auto"/>
        </w:rPr>
        <w:t>Changes in our warranty obligation for the nine months ended January 27,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April 29, 2023</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Settlements made during the period</w:t>
      </w:r>
    </w:p>
    <w:p>
      <w:pPr>
        <w:spacing w:after="0" w:line="23" w:lineRule="exact"/>
        <w:rPr>
          <w:sz w:val="20"/>
          <w:szCs w:val="20"/>
          <w:color w:val="auto"/>
        </w:rPr>
      </w:pPr>
    </w:p>
    <w:p>
      <w:pPr>
        <w:ind w:left="20" w:right="913" w:firstLine="324"/>
        <w:spacing w:after="0" w:line="339" w:lineRule="auto"/>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 Balance as of January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January 27,</w:t>
      </w: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p>
      <w:pPr>
        <w:ind w:left="907" w:hanging="907"/>
        <w:spacing w:after="0"/>
        <w:tabs>
          <w:tab w:leader="none" w:pos="9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32,541</w:t>
      </w:r>
    </w:p>
    <w:p>
      <w:pPr>
        <w:spacing w:after="0" w:line="27"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10,518</w:t>
      </w:r>
    </w:p>
    <w:p>
      <w:pPr>
        <w:spacing w:after="0" w:line="22"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(9,323)</w:t>
      </w:r>
    </w:p>
    <w:p>
      <w:pPr>
        <w:spacing w:after="0" w:line="22"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954</w:t>
      </w:r>
    </w:p>
    <w:p>
      <w:pPr>
        <w:spacing w:after="0" w:line="31" w:lineRule="exact"/>
        <w:rPr>
          <w:sz w:val="20"/>
          <w:szCs w:val="20"/>
          <w:color w:val="auto"/>
        </w:rPr>
      </w:pPr>
    </w:p>
    <w:p>
      <w:pPr>
        <w:ind w:left="907" w:hanging="907"/>
        <w:spacing w:after="0"/>
        <w:tabs>
          <w:tab w:leader="none" w:pos="9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42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January 27, 2024, we had outstanding letters of credit, bank guarantees and surety bonds in the amount of $5,426, $163 and $45,746, respectively. Performance guarantees are issued to certain customers to guarantee the operation and installation of the equipment and our ability to complete a contract. These performance guarantees have various terms but generally have a term of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January 27, 2024, we were not aware of any material indemnification claims.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January 27, 2024 was a tax rate of 15.0 and 31.5 percent, respectively. Income before tax includes the impacts of the change in the Convertible Note fair value; however, these changes are not deductible or taxable, which impacts the effective tax rate. Our effective tax rate for the three months ended January 28, 2023 was a tax rate of 30.5 percent. The rate for the nine months ended January 28, 2023 was skewed by the valuation allowance placed on deferred taxes during the second quarter of fiscal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both domestically and internationally and, as of January 27, 2024, the undistributed earnings of our foreign subsidiaries were considered to be reinvested indefinitely. Additionally, as of January 27, 2024, we had $352 of unrecognized tax benefits which would reduce our effective tax rate if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January 27, 2024 and April 29, 2023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27, 2024</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76,764</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(36,570)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(36,570)</w:t>
            </w:r>
          </w:p>
        </w:tc>
      </w:tr>
      <w:tr>
        <w:trPr>
          <w:trHeight w:val="223"/>
        </w:trPr>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(36,570)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April 29, 2023</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elected to value the Convertible Note at fair value in accordance with ASC 825-10-15-4(a) because of the embedded derivatives contained in the Convertible Note. The fair value of the Convertible Note was estimated using a binomial lattice model. Binomial lattice allows for the examination of the value to a holder and understanding the investment decision that would occur at each node.</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Convertible Note entered into during the first quarter of fiscal 2024 was classified as Level 3 because it does not have readily determinable or observable inputs for the valuation. There have been no other changes in the valuation techniques used by us to value our financial instruments since the end of fiscal 2023. For additional information, see our Annual Report on Form 10-K for the fiscal year ended April 29, 2023 for the methods and assumptions used to estimate the fair value of each class of financial instrument.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reported in Part II, Item 7 “Management’s Discussion and Analysis of Financial Condition and Results of Operations” in the section entitled “Liquidity and Capital Resources” of our Annual Report on Form 10-K for the fiscal year ended April 29, 2023, effective on May 11, 2023, the Company entered into the Securities Purchase Agreement with Alta Fox Opportunities Fund, LP, as the holder (the "Holder") of the Convertible Note. Under the Securities Purchase Agreement, the Company sold and issued to the Holder the Convertible Note in exchange for the payment by the Holder to the Company of $25,000. As of May 11, 2023, and based on Amendment No. 2 to the Schedule 13D filed by the Holder and its affiliates named therein on May 15, 2023 with the SEC, the Holder and its affiliates beneficially owned 4,768 shares of common stock of the Company, representing 9.99 percent of the Company’s common stock, causing the Holder to be a “related party” of the Company under the Company’s written policy and procedures and the applicable definitions under the Securities Act of 1933. The Securities Purchase Agreement, the Convertible Note, the Pledge and Security Agreement dated as of May 11, 2023 by and between the Holder and the Company, and the Registration Rights Agreement were approved in advance of their execution by the Company’s Strategy and Financing Review Committee, the members of which include all members of the Company’s Audit Committee.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May 11, 2023, the largest aggregate amount outstanding under the Convertible Note was $25,563, consisting of $25,000 of principal and $563 of interest. In the first nine months of fiscal 2024, we have made interest payments of $1,125 under the Convertible Note.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description of the Securities Purchase Agreement, the Convertible Note, the Pledge and Security Agreement, and the Registration Rights Agreement dated as of May 11, 2023 by and between the Holder and the Company and their respective terms set forth in Part II, Item 7 “Management’s Discussion and Analysis of Financial Condition and Results of Operations” in the section entitled “Liquidity and Capital Resources” of the Company's Annual Report on Form 10-K for the fiscal year ended April 29, 2023 is hereby incorporated by reference into this Report. In addition, the Company is a party to the Standstill and Voting Agreement dated as of March 19, 2023 with Alta Fox Management, LLC and Connor Haley (the “Standstill Agreement”), who are affiliates of the Holder. The Standstill Agreement is filed as Exhibit 10.13 to Company's Annual Report on Form 10-K for the fiscal year ended April 29,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Amendment No. 3 (“Amendment No. 3”) to the Schedule 13D filed by the Holder and its affiliates named therein on June 9, 2023 with the SEC, and based on other information provided by the Holder,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7, 2023, the Company received from the Holder a written notice of a decrease in the “Percentage Cap” (as such term is defined in the Convertible Note) from 9.99 percent to 4.99 percent, which decrease became effective immediately upon the Company’s receipt of such written notice. The Percentage Cap generally represents the maximum percentage of shares of the Company’s common stock the Holder may own. In Amendment No. 3, the Holder and its affiliates identified in Amendment No. 3 owned 2,293 shares of common stock on June 9, 2023, representing 4.99 percent of the common stock of the Company, meaning the Holder and its affiliates are no longer “related parties” of the Company under the Company’s written policy and procedures and the applicable definitions under the Securities Act of 1933.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2024, the Company and the South Dakota Board of Regents entered into contracts for video display systems for Dakota State University. The amount of the contracts was $1,178. A member of the Company's Board of Directors is the President of Dakota State University.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Investments in Affiliates" for further details of related party transactions with our investments in the Affiliate Notes issued by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29, 2023, to and including January 27, 2024 and (ii) results of operations during the current fiscal period(s) as compared to the corresponding period(s) of the preceding fiscal year.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the uncertainties related to market conditions and entry into a financing transaction; the Company’s potential need to seek additional strategic alternatives, including seeking additional debt or equity capital or other strategic transactions and/or measures; the Company’s ability to finalize or fully execute actions and steps that would be probable of mitigating the existence of any “substantial doubt” regarding the Company’s ability to continue as a going concern; the Company’s ability to increase cash flow to support the Company’s operating activities and fund its obligations and working capital needs; our ability to obtain additional financing on terms favorable to us, or at all; any future goodwill impairment charges; and the other risk factors described more fully in the Company’s Annual Report on Form 10-K for the fiscal year ended April 29, 2023 filed with the Securities and Exchange Commission, as well as other publicly available information about the Company.</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it is not possible for management to predict all of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29, 2023 (including the information presented therein under Risk Factors), as well as other publicly available information about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engaged principally in the design, marketing,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our Annual Report on Form 10-K for the fiscal year ended April 29, 2023 and the consolidated financial statements set forth in that Annual Report on Form 10-K, including the notes to consolidated financial statements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CONDITIONS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past investments in people and plant capacity and the continued stable supply chain environment have allowed for efficient production and fulfillment of orders. Although the post-pandemic geopolitical situation and global trade patterns continue to evolve, we believe that the levels of uncertainty and volatility in supply chain and demand will not be as great as it was through the pandemic and will continue to stabilize during this fiscal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audiovisual industry fundamentals of increased use of LED display systems across industries and our development of new technologies, services, and sales channels will drive long-term growth for our Company. Orders and revenue levels are expected to be impacted by the timing of multi-million dollar projects and the impacts of global economic conditions, war and geopolitical situations, or other factors outside of our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27, 2024 AND JANUARY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January 27, 2024 was $328.3 million as compared to $429.1 million as of January 28, 2023 and $400.7 million at April 29, 2023. The decrease in backlog is trending down to more historical levels as a result of fulfilling orders at a greater pace as supply chain conditions stabilized and production lead times improved, utilizing our increased capacity, and order pace returning to more normalized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fulfill the backlog as of January 27, 2024 within the next 24 months. The timing of backlog fulfillment may be impacted by project delays resulting from parts availability and other constraints stemming from the supply chain disruptions or by customer site conditions, which are outside our control.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three months ended January 27, 2024 and January 28, 2023:</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5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34,206</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192,063</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43,688</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8"/>
        <w:spacing w:after="0" w:line="282" w:lineRule="auto"/>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not measures defined by GAAP, and our methodology for determining orders may vary from the methodology used by other companies in determining their orders and amounts.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2024 third quarter, net sales were $170.3 million, a decrease of $14.7 million from net sales in the prior year's third quarter. The third quarter of every year is characterized by seasonally lower volume, and the decrease is attributable to the year-ago period’s unseasonably record revenue driven by high backorder fulfillment resulting from recovery of pandemic-related supply chain challenges and labor availability. The sales decrease was driven by comparatively lower volumes in the Commercial and International business units, partially offset by order fulfillments in the Live Events, High School Park and Recreation, and Transportation business units.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Orders for the third quarter of fiscal 2024 increased by 29.4 percent from the third quarter of fiscal 2023 driven by strong demand in the Live Events business unit, rebounding demand in the Spectacular and Out-of-Home markets in our Commercial business unit, and solid growth in the High School Parks and Recreation and Transportation business units. These higher orders offset an order decrease in the International business unit.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260" w:type="dxa"/>
            <w:vAlign w:val="bottom"/>
          </w:tcPr>
          <w:p>
            <w:pPr>
              <w:spacing w:after="0"/>
              <w:rPr>
                <w:sz w:val="19"/>
                <w:szCs w:val="19"/>
                <w:color w:val="auto"/>
              </w:rPr>
            </w:pPr>
          </w:p>
        </w:tc>
        <w:tc>
          <w:tcPr>
            <w:tcW w:w="28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profit improvement for the third quarter of fiscal 2024 as compared to the same period in fiscal 2023 is due to strategic pricing, greater efficiency of sales volume generation over the cost structure, and a more stable operating environment.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costs as a percent of sales for the three months ended January 27, 2024 compared to the same period one year ago increased to 1.9 percent from 1.7 percent.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00" w:type="dxa"/>
            <w:vAlign w:val="bottom"/>
          </w:tcPr>
          <w:p>
            <w:pPr>
              <w:spacing w:after="0"/>
              <w:rPr>
                <w:sz w:val="14"/>
                <w:szCs w:val="14"/>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Contribution margin as a percent of net sales for the fiscal quarter ended January 27, 2024 was positively impacted by the previously discussed impacts on gross profit.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from non-GAAP contribution margin to the operating income GAAP measure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00" w:type="dxa"/>
            <w:vAlign w:val="bottom"/>
          </w:tcPr>
          <w:p>
            <w:pPr>
              <w:spacing w:after="0"/>
              <w:rPr>
                <w:sz w:val="14"/>
                <w:szCs w:val="14"/>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third quarter of fiscal 2024 increased as compared to the third quarter of fiscal 2023 primarily due to an increase in personnel-related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 the third quarter of fiscal 2024 increased as compared to the third quarter of fiscal 2023 primarily due to an increase in personnel-related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$4.6 million non-cash goodwill impairment charge during the third quarter of fiscal 2023 that was not repeated in the third quarter of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5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62"/>
        </w:trPr>
        <w:tc>
          <w:tcPr>
            <w:tcW w:w="18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5"/>
                <w:szCs w:val="15"/>
                <w:color w:val="auto"/>
              </w:rPr>
            </w:pPr>
          </w:p>
        </w:tc>
        <w:tc>
          <w:tcPr>
            <w:tcW w:w="1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expense and debt</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costs write-off,</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increase in interest income and expense, net for the third quarter of fiscal 2024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closing in May 2023 on the convertible note (the "Convertible Note") and asset-based and mortgage financings at higher values and interest rates than were in effect under our previous line of credit during the 2023 third quarter.</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For the three months ended January 27, 2024, we recorded income of $6.3 million related to the change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Convertible Note payable, which is accounted for under the fair value option. The fair value change was primarily caused by the decrease in our stock price during the third quarter of fiscal year 2024 compared to the second quarter of fiscal year 2024.</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third quarter of fiscal 2024 as compared to the same period one year ago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recorded for equity method affiliates and foreign currency volatility.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third quarter of fiscal 2024 was 15.0 percent as compared to an effective tax rate of 30.5 percent for the third quarter of fiscal 2023. The lower tax rate for the third quarter of fiscal 2024 is caused by the reduction in fair value adjustment to income that is not taxable.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JANUARY 27, 2024 AND JANUARY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nine months ended January 27, 2024 and January 28,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122,628</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32,673</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8"/>
        <w:spacing w:after="0" w:line="266" w:lineRule="auto"/>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not measures defined by GAAP, and our methodology for determining orders may vary from the methodology used by other companies in determining their orders and amounts.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2024, net sales were $602.2 million, an increase of $57.9 million from the prior year's first nine-month period. This increase was primarily due to higher throughput from our past investments in capacity and the more stable operating environment. During the nine-month period ended January 28, 2023, we faced material supply and labor shortages which extended lead times and delayed the conversion of orders into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volume increased in the first nine months of fiscal 2024 from the prior year's nine-month period. Higher orders from customers in the Live Events, High School Park and Recreation, and Transportation business units offset decreases in the Spectacular and Out-of-Home markets in our Commercial business unit. The change in the Commercial business unit was caused by volatility in bookings of larger sized Spectacular LED video displays projects and a contraction in advertising spend. Orders in the International business unit in the first nine months of fiscal 2024 were lower due to a weakening economic outlook relating to inflationary pressures, geopolitical events, and currency headwinds.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260" w:type="dxa"/>
            <w:vAlign w:val="bottom"/>
          </w:tcPr>
          <w:p>
            <w:pPr>
              <w:spacing w:after="0"/>
              <w:rPr>
                <w:sz w:val="19"/>
                <w:szCs w:val="19"/>
                <w:color w:val="auto"/>
              </w:rPr>
            </w:pPr>
          </w:p>
        </w:tc>
        <w:tc>
          <w:tcPr>
            <w:tcW w:w="28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169"/>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43"/>
        </w:trPr>
        <w:tc>
          <w:tcPr>
            <w:tcW w:w="4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25,546</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45,274</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27.7 %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gross profit percentage in the nine months ended January 27, 2024 as compared to the same nine-month period in fiscal 2023 is attributable to the record sales volume over our fixed manufacturing cost structure, past strategic pricing actions, stabilization of input costs, and fewer supply chain and operational disruptions during the first nine months of fiscal 2024 as compared to a year earlier. The effect of employee benefit programs activation in fiscal year 2024 reduced gross profit by $2.8 million in the nine months ended January 27,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costs as a percent of sales for the nine months ended January 27, 2024 compared to the same period one year ago increased to 2.1 percent from 2.0 percent.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8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34,724</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margin for the first nine months of fiscal 2024 was positively impacted by the previously discussed sales levels and impacts on gross profit.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programs activation reduced contribution margin by $1.0 million in the nine months ended January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from non-GAAP contribution margin to the operating income GAAP measure is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5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125,224</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118.4 %</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31,077</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 the first nine months of fiscal 2024 increased primarily due to an increase in personnel-related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 the first nine months of fiscal 2024 increased as compared to the first nine months of fiscal 2023 primarily due to an increase in personnel-related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$4.6 million non-cash goodwill impairment charge during the third quarter of fiscal 2023 that was not repeated in the third quarter of fiscal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93"/>
        </w:trPr>
        <w:tc>
          <w:tcPr>
            <w:tcW w:w="2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50"/>
        </w:trPr>
        <w:tc>
          <w:tcPr>
            <w:tcW w:w="2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27, 2024</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07"/>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25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2"/>
                <w:szCs w:val="22"/>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r>
      <w:tr>
        <w:trPr>
          <w:trHeight w:val="256"/>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309.4 %</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1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and debt issuance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write-off,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increase in interest income and expense, net in the first nine months of fiscal 2024 compared to the same period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was primarily due to closing in May 2023 on the Convertible Note and asset-based and mortgage financings at higher values and interest rates than the utilization of our previous line of credit during the first nine months of fiscal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For the nine months ended January 27, 2024, we recorded an expense of $11.6 million related to the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Convertible Note payable which is accounted for under the fair value option. The fair value change was primarily caused by the increase in our stock price over the conversion price and the decline in market interest rates making the value of potentially converted shares higher than at the debt issuance.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first nine months of fiscal 2024 as compared to the same period one year ago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losses recorded for equity method affiliates and foreign currency volatility and expensing of $3.4 million of debt issuance costs related to the Convertible Note carried at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effective tax rate of 31.5 percent for the nine months ended January 27, 2024. The tax rate for the first nine months of fiscal 2024 is caused by the fair value adjustment to expense that is not deductible for tax purposes. The effective tax rate for the first nine months of fiscal 2023 was skewed due a full valuation allowance placed on deferred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Absent any major tax changes, we expect our full year effective tax rate to be in the mid-twenties, before the impacts of fair value accounting for the Convertible Note.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January 28,</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63,276</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59,781</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operating activities: </w:t>
      </w:r>
      <w:r>
        <w:rPr>
          <w:rFonts w:ascii="Times New Roman" w:cs="Times New Roman" w:eastAsia="Times New Roman" w:hAnsi="Times New Roman"/>
          <w:sz w:val="18"/>
          <w:szCs w:val="18"/>
          <w:color w:val="auto"/>
        </w:rPr>
        <w:t>Net cash provided by operating activities was $53.8 million for the first nine months of fiscal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cash used in operating activities of $9.5 million in the first nine months of fiscal 2023. The $63.3 million change in cash provided by (used in) operating activities was primarily the result of an increase in net income of $46.7 million in the first nine months of fiscal 2024 compared to the same period in fiscal 2023 as strategic pricing actions and operating conditions improved, the $11.6 million of non-cash fair value change of our Convertible Note impacting net income, and improved working capital positions. We also had strategically invested in inventory through the first nine months of fiscal 2023 as a reaction to supply chain constraints and historic backlog, which consumed cash. Since January 28, 2023, we have reduced inventory and related payables for inventory as we reduced backlog and generated cash from inventory reduction. Increases in contract asset levels have used some cash for working capital because of business increases.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consisted of the following:</w:t>
      </w:r>
    </w:p>
    <w:p>
      <w:pPr>
        <w:spacing w:after="0" w:line="27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36830</wp:posOffset>
            </wp:positionV>
            <wp:extent cx="1945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27,</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$17.1 million in the first nine months of fiscal 2024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of $20.9 million in the first nine months of fiscal 2023. Purchases of property and equipment totaled $13.6 million in the first nine months of fiscal 2024 compared to $21.8 million in the first nine months of fiscal 2023. Fiscal 2023 purchases were higher because of initiatives to upgrade existing or purchase new manufacturing equipment for capacity and automation.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Net cash provided by financing activities was $15.7 million for the nine months ended January 27, 2024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provided by the closing of a $25.0 million Convertible Note financing and the $15.0 million mortgage financing offset by the payoff of our previous credit line of $17.8 million, expending $6.8 million of debt issuance costs, and principal payments on the mortgage, as compared to $23.5 million of cash provided by financing due to draws on our line of credit in the first nine months of fiscal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$60.0 million asset-based revolving credit facility ("ABL") with a maturity date of May 11, 2027 subject to customary covenants and conditions. As of January 27, 2024, we had no borrowings against the ABL and $5.4 million used to secure letters of credit outstanding. We also have a mortgage of $14.3 million secured by a first priority lien on our Brookings, South Dakota real estate and $25.0 million evidenced by the Convertible Note secured by a second priority lien on assets securing the ABL facility and a first priority lien on substantially all the other assets of the Company, excluding all real property.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27, 2024, we had $76.8 million in cash and cash equivalents and $32.9 million in borrowing capacity under our ABL. We believe cash flow from operations, existing lines of credit, and access to debt and capital markets will be sufficient to meet our current liquidity needs, and we have committed liquidity and cash reserves in excess of our anticipated funding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and cash equivalent balances consist of high-quality, short-term money market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Working capital was $205.3 million and $132.5 million as of January 27, 2024 and April 29, 2023, respectively. We had $10.4 million of retainage on long-term contracts included in receivables and contract assets as of January 27, 2024 which we expect to collect within one year and which are included in the short-term asset portion of working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we have a bonding line available through surety companies for an aggregate of $190.0 million in bonded work outstanding. If we were unable to complete the installation work, and our customer would call upon the bond for payment, the surety company would subrogate its loss to Daktronics. As of January 27, 2024, we had $45.7 million of bonded work outstanding.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total fiscal 2024 capital expenditures to be approximately $19 million, of which we have incurred $13.6 million for the first nine months of the fiscal 2024.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are committed to invest an additional $0.8 million for the remainder of fiscal 2024 in our current affiliates. We may make additional investments beyond our commitments.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2024, we entered into a new credit facility and mortgage and the Convertible Note as disclosed herein. There have been no other material changes in our contractual obligations since the end of fiscal 2023. See our Annual Report on Form 10-K for the fiscal year ended April 29, 2023 for additional information regarding our contractual obligations and commercial commitments.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29, 2023. We discuss our critical accounting estimates in "Part II, Item 7. Management’s Discussion and Analysis of Financial Condition and Results of Operations" in our Annual Report on Form 10-K for the fiscal year ended April 29,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29, 2023. During the first quarter of fiscal 2024, we entered into the ABL and the $15.0 million delayed draw loan, which are subject to interest rate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material changes in our exposure to these risks during the first nine months of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Securities Exchange Act of 1934. As of January 27, 2024,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January 27, 2024, our disclosure controls and procedures were not effective due to the material weakness in internal control over financial reporting described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this identified material weakness, our Chief Executive Officer and Chief Financial Officer believe the condensed consolidated financial statements included in this Quarterly Report on Form 10-Q fairly represent, in all material respects, our financial condition, results of operations and cash flows for the periods presented in conformity with accounting principles generally accepted in the United States of America. We are in the process of remediating the material weakness in our internal control, as described below under the section entitled "Remediation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 2, Item 9A of our Annual Report on Form 10-K for the fiscal year ended April 29, 2023, which was filed with the Securities and Exchange Commission on July 12, 2023, management concluded that our internal control over financial reporting was not effective as of April 29, 2023. Management identified a material weakness related to the ineffective operation of certain transactional level controls related to revenue contracts recognized over time. These controls operated ineffectively due to insufficient training of the control operators as to the level of precision expected when executing the revenue controls in accordance with the Company's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remediation plan includes providing training to the revenue control operators relating to the level of precision expected when executing these controls in accordance with the Company's policy. During the first nine months of fiscal 2024, we conducted additional training of our control operators. In conjunction with the training, management made enhancements to improve and ensure operation of certain transactional level controls.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January 27, 2024, there have been no changes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of the Notes to our Condensed Consolidated Financial Statements included in this Form 10-Q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Part I of our Annual Report on Form 10-K for the fiscal year ended April 29, 2023.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January 27, 2024, we did not repurchase any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40" w:type="dxa"/>
            <w:vAlign w:val="bottom"/>
            <w:tcBorders>
              <w:left w:val="single" w:sz="8" w:color="CCEEFF"/>
            </w:tcBorders>
            <w:gridSpan w:val="2"/>
            <w:shd w:val="clear" w:color="auto" w:fill="CCEEFF"/>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0420" w:type="dxa"/>
            <w:vAlign w:val="bottom"/>
            <w:gridSpan w:val="56"/>
            <w:shd w:val="clear" w:color="auto" w:fill="CCEEFF"/>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Articles of Incorporation of the Company. (Incorporated by reference to Exhibit 3.1 of the Quarterly Report on Form</w:t>
              </w:r>
            </w:hyperlink>
          </w:p>
        </w:tc>
      </w:tr>
      <w:tr>
        <w:trPr>
          <w:trHeight w:val="136"/>
        </w:trPr>
        <w:tc>
          <w:tcPr>
            <w:tcW w:w="260" w:type="dxa"/>
            <w:vAlign w:val="bottom"/>
            <w:tcBorders>
              <w:top w:val="single" w:sz="8" w:color="0000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10120" w:type="dxa"/>
            <w:vAlign w:val="bottom"/>
            <w:tcBorders>
              <w:top w:val="single" w:sz="8" w:color="0000FF"/>
            </w:tcBorders>
            <w:gridSpan w:val="41"/>
            <w:shd w:val="clear" w:color="auto" w:fill="CCEEFF"/>
          </w:tcPr>
          <w:p>
            <w:pPr>
              <w:spacing w:after="0" w:line="136" w:lineRule="exact"/>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10-Q/A (Amendment No. 1) of Daktronics, Inc. filed on December 21, 2018).</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580" w:type="dxa"/>
            <w:vAlign w:val="bottom"/>
            <w:tcBorders>
              <w:top w:val="single" w:sz="8" w:color="0000FF"/>
            </w:tcBorders>
            <w:gridSpan w:val="9"/>
            <w:shd w:val="clear" w:color="auto" w:fill="CCEEFF"/>
          </w:tcPr>
          <w:p>
            <w:pPr>
              <w:spacing w:after="0"/>
              <w:rPr>
                <w:sz w:val="2"/>
                <w:szCs w:val="2"/>
                <w:color w:val="auto"/>
              </w:rPr>
            </w:pPr>
          </w:p>
        </w:tc>
        <w:tc>
          <w:tcPr>
            <w:tcW w:w="4840" w:type="dxa"/>
            <w:vAlign w:val="bottom"/>
            <w:tcBorders>
              <w:top w:val="single" w:sz="8" w:color="CCEEFF"/>
            </w:tcBorders>
            <w:gridSpan w:val="47"/>
            <w:shd w:val="clear" w:color="auto" w:fill="CCEEFF"/>
          </w:tcPr>
          <w:p>
            <w:pPr>
              <w:spacing w:after="0"/>
              <w:rPr>
                <w:sz w:val="2"/>
                <w:szCs w:val="2"/>
                <w:color w:val="auto"/>
              </w:rPr>
            </w:pPr>
          </w:p>
        </w:tc>
      </w:tr>
      <w:tr>
        <w:trPr>
          <w:trHeight w:val="203"/>
        </w:trPr>
        <w:tc>
          <w:tcPr>
            <w:tcW w:w="340" w:type="dxa"/>
            <w:vAlign w:val="bottom"/>
            <w:gridSpan w:val="2"/>
          </w:tcPr>
          <w:p>
            <w:pPr>
              <w:ind w:left="20"/>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Bylaws of the Company (Incorporated by reference to Exhibit 3.1 filed with our Current Report on Form 8-K filed</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320" w:type="dxa"/>
            <w:vAlign w:val="bottom"/>
            <w:tcBorders>
              <w:top w:val="single" w:sz="8" w:color="0000EE"/>
            </w:tcBorders>
            <w:gridSpan w:val="51"/>
          </w:tcPr>
          <w:p>
            <w:pPr>
              <w:spacing w:after="0" w:line="182"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on January 30,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1540" w:type="dxa"/>
            <w:vAlign w:val="bottom"/>
            <w:tcBorders>
              <w:top w:val="single" w:sz="8" w:color="0000EE"/>
            </w:tcBorders>
            <w:gridSpan w:val="3"/>
          </w:tcPr>
          <w:p>
            <w:pPr>
              <w:spacing w:after="0"/>
              <w:rPr>
                <w:sz w:val="4"/>
                <w:szCs w:val="4"/>
                <w:color w:val="auto"/>
              </w:rPr>
            </w:pPr>
          </w:p>
        </w:tc>
        <w:tc>
          <w:tcPr>
            <w:tcW w:w="8880" w:type="dxa"/>
            <w:vAlign w:val="bottom"/>
            <w:gridSpan w:val="53"/>
          </w:tcPr>
          <w:p>
            <w:pPr>
              <w:spacing w:after="0"/>
              <w:rPr>
                <w:sz w:val="4"/>
                <w:szCs w:val="4"/>
                <w:color w:val="auto"/>
              </w:rPr>
            </w:pPr>
          </w:p>
        </w:tc>
      </w:tr>
      <w:tr>
        <w:trPr>
          <w:trHeight w:val="203"/>
        </w:trPr>
        <w:tc>
          <w:tcPr>
            <w:tcW w:w="340" w:type="dxa"/>
            <w:vAlign w:val="bottom"/>
            <w:tcBorders>
              <w:left w:val="single" w:sz="8" w:color="CCEEFF"/>
            </w:tcBorders>
            <w:gridSpan w:val="2"/>
            <w:shd w:val="clear" w:color="auto" w:fill="CCEEFF"/>
          </w:tcPr>
          <w:p>
            <w:pPr>
              <w:ind w:left="20"/>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r>
      <w:tr>
        <w:trPr>
          <w:trHeight w:val="183"/>
        </w:trPr>
        <w:tc>
          <w:tcPr>
            <w:tcW w:w="26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300" w:type="dxa"/>
            <w:vAlign w:val="bottom"/>
            <w:tcBorders>
              <w:top w:val="single" w:sz="8" w:color="0000EE"/>
            </w:tcBorders>
            <w:gridSpan w:val="50"/>
            <w:shd w:val="clear" w:color="auto" w:fill="CCEEFF"/>
          </w:tcPr>
          <w:p>
            <w:pPr>
              <w:spacing w:after="0" w:line="18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reference to Exhibit 4.1 of the Current Report on Form 8-K of Daktronics, Inc. filed on November 16, 2018, Commission File No. 000-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96"/>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10180" w:type="dxa"/>
            <w:vAlign w:val="bottom"/>
            <w:tcBorders>
              <w:top w:val="single" w:sz="8" w:color="0000EE"/>
            </w:tcBorders>
            <w:gridSpan w:val="44"/>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23246).</w:t>
              </w:r>
            </w:hyperlink>
          </w:p>
        </w:tc>
        <w:tc>
          <w:tcPr>
            <w:tcW w:w="240" w:type="dxa"/>
            <w:vAlign w:val="bottom"/>
            <w:tcBorders>
              <w:top w:val="single" w:sz="8" w:color="CCEEFF"/>
            </w:tcBorders>
            <w:gridSpan w:val="12"/>
            <w:shd w:val="clear" w:color="auto" w:fill="CCEEFF"/>
          </w:tcPr>
          <w:p>
            <w:pPr>
              <w:spacing w:after="0"/>
              <w:rPr>
                <w:sz w:val="17"/>
                <w:szCs w:val="17"/>
                <w:color w:val="auto"/>
              </w:rPr>
            </w:pPr>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9880" w:type="dxa"/>
            <w:vAlign w:val="bottom"/>
            <w:tcBorders>
              <w:top w:val="single" w:sz="8" w:color="CCEEFF"/>
            </w:tcBorders>
            <w:gridSpan w:val="55"/>
            <w:shd w:val="clear" w:color="auto" w:fill="CCEEFF"/>
          </w:tcPr>
          <w:p>
            <w:pPr>
              <w:spacing w:after="0"/>
              <w:rPr>
                <w:sz w:val="2"/>
                <w:szCs w:val="2"/>
                <w:color w:val="auto"/>
              </w:rPr>
            </w:pPr>
          </w:p>
        </w:tc>
      </w:tr>
      <w:tr>
        <w:trPr>
          <w:trHeight w:val="203"/>
        </w:trPr>
        <w:tc>
          <w:tcPr>
            <w:tcW w:w="340" w:type="dxa"/>
            <w:vAlign w:val="bottom"/>
            <w:gridSpan w:val="2"/>
          </w:tcPr>
          <w:p>
            <w:pPr>
              <w:ind w:left="20"/>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78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560" w:type="dxa"/>
            <w:vAlign w:val="bottom"/>
            <w:tcBorders>
              <w:top w:val="single" w:sz="8" w:color="0000EE"/>
            </w:tcBorders>
            <w:gridSpan w:val="26"/>
          </w:tcPr>
          <w:p>
            <w:pPr>
              <w:spacing w:after="0"/>
              <w:rPr>
                <w:sz w:val="4"/>
                <w:szCs w:val="4"/>
                <w:color w:val="auto"/>
              </w:rPr>
            </w:pPr>
          </w:p>
        </w:tc>
        <w:tc>
          <w:tcPr>
            <w:tcW w:w="860" w:type="dxa"/>
            <w:vAlign w:val="bottom"/>
            <w:gridSpan w:val="30"/>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Credit Agreement dated November 15, 2016 by and between the Company and U.S. Bank National Association (Incorporated by reference</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840" w:type="dxa"/>
            <w:vAlign w:val="bottom"/>
            <w:tcBorders>
              <w:top w:val="single" w:sz="8" w:color="0000EE"/>
              <w:bottom w:val="single" w:sz="8" w:color="0000EE"/>
            </w:tcBorders>
            <w:gridSpan w:val="17"/>
            <w:shd w:val="clear" w:color="auto" w:fill="CCEEFF"/>
          </w:tcPr>
          <w:p>
            <w:pPr>
              <w:spacing w:after="0" w:line="182"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to Exhibit 10.1 filed with our Current Report on Form 8-K filed on November 16, 2016, Commission File No. 000-23246).</w:t>
              </w:r>
            </w:hyperlink>
          </w:p>
        </w:tc>
        <w:tc>
          <w:tcPr>
            <w:tcW w:w="1560" w:type="dxa"/>
            <w:vAlign w:val="bottom"/>
            <w:tcBorders>
              <w:top w:val="single" w:sz="8" w:color="0000EE"/>
              <w:bottom w:val="single" w:sz="8" w:color="CCEEFF"/>
            </w:tcBorders>
            <w:gridSpan w:val="3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Revolving Note dated November 15, 2016 issued by the Company to U.S. Bank National Association (Incorporated by reference to Exhibit</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80" w:type="dxa"/>
            <w:vAlign w:val="bottom"/>
            <w:tcBorders>
              <w:top w:val="single" w:sz="8" w:color="0000EE"/>
            </w:tcBorders>
            <w:gridSpan w:val="49"/>
          </w:tcPr>
          <w:p>
            <w:pPr>
              <w:spacing w:after="0" w:line="18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filed with our Current Report on Form 8-K filed on November 16, 2016, Commission File No. 000-23246).</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080" w:type="dxa"/>
            <w:vAlign w:val="bottom"/>
            <w:tcBorders>
              <w:top w:val="single" w:sz="8" w:color="0000EE"/>
            </w:tcBorders>
            <w:gridSpan w:val="13"/>
          </w:tcPr>
          <w:p>
            <w:pPr>
              <w:spacing w:after="0"/>
              <w:rPr>
                <w:sz w:val="4"/>
                <w:szCs w:val="4"/>
                <w:color w:val="auto"/>
              </w:rPr>
            </w:pPr>
          </w:p>
        </w:tc>
        <w:tc>
          <w:tcPr>
            <w:tcW w:w="2340" w:type="dxa"/>
            <w:vAlign w:val="bottom"/>
            <w:gridSpan w:val="43"/>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Second Amendment to Credit Agreement dated as of November 15, 2019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(Incorporated by reference to Exhibit 10.1 filed with our Current Report on Form 8-K filed on November 15, 2019).</w:t>
              </w:r>
            </w:hyperlink>
          </w:p>
        </w:tc>
        <w:tc>
          <w:tcPr>
            <w:tcW w:w="2040" w:type="dxa"/>
            <w:vAlign w:val="bottom"/>
            <w:tcBorders>
              <w:top w:val="single" w:sz="8" w:color="0000EE"/>
              <w:bottom w:val="single" w:sz="8" w:color="CCEEFF"/>
            </w:tcBorders>
            <w:gridSpan w:val="38"/>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Third Amendment to Credit Agreement dated as of August 28, 2020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60" w:type="dxa"/>
            <w:vAlign w:val="bottom"/>
            <w:tcBorders>
              <w:top w:val="single" w:sz="8" w:color="0000EE"/>
            </w:tcBorders>
            <w:gridSpan w:val="48"/>
          </w:tcPr>
          <w:p>
            <w:pPr>
              <w:spacing w:after="0" w:line="18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(Incorporated by reference to Exhibit 10.4 filed with our Current Report on Form 10-Q of Daktronics, Inc. filed on August 28, 2020).</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580" w:type="dxa"/>
            <w:vAlign w:val="bottom"/>
            <w:tcBorders>
              <w:top w:val="single" w:sz="8" w:color="0000EE"/>
            </w:tcBorders>
            <w:gridSpan w:val="27"/>
          </w:tcPr>
          <w:p>
            <w:pPr>
              <w:spacing w:after="0"/>
              <w:rPr>
                <w:sz w:val="4"/>
                <w:szCs w:val="4"/>
                <w:color w:val="auto"/>
              </w:rPr>
            </w:pPr>
          </w:p>
        </w:tc>
        <w:tc>
          <w:tcPr>
            <w:tcW w:w="840" w:type="dxa"/>
            <w:vAlign w:val="bottom"/>
            <w:gridSpan w:val="29"/>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Fourth Amendment to Credit Agreement dated as of March 11, 2021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7600" w:type="dxa"/>
            <w:vAlign w:val="bottom"/>
            <w:tcBorders>
              <w:top w:val="single" w:sz="8" w:color="0000EE"/>
              <w:bottom w:val="single" w:sz="8" w:color="0000EE"/>
            </w:tcBorders>
            <w:gridSpan w:val="10"/>
            <w:shd w:val="clear" w:color="auto" w:fill="CCEEFF"/>
          </w:tcPr>
          <w:p>
            <w:pPr>
              <w:spacing w:after="0" w:line="182"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(Incorporated by reference to Exhibit 10.5 filed with our Annual Report on Form 10-K on June 11, 2021).</w:t>
              </w:r>
            </w:hyperlink>
          </w:p>
        </w:tc>
        <w:tc>
          <w:tcPr>
            <w:tcW w:w="2160" w:type="dxa"/>
            <w:vAlign w:val="bottom"/>
            <w:tcBorders>
              <w:top w:val="single" w:sz="8" w:color="0000EE"/>
              <w:bottom w:val="single" w:sz="8" w:color="CCEEFF"/>
            </w:tcBorders>
            <w:gridSpan w:val="19"/>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Fifth Amendment to Credit Agreement dated as of April 29, 2022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540" w:type="dxa"/>
            <w:vAlign w:val="bottom"/>
            <w:tcBorders>
              <w:top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(Incorporated by reference to Exhibit 10.1 filed with our Current Report on Form 8-K filed on April 29, 2022).</w:t>
              </w:r>
            </w:hyperlink>
          </w:p>
        </w:tc>
        <w:tc>
          <w:tcPr>
            <w:tcW w:w="1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7960" w:type="dxa"/>
            <w:vAlign w:val="bottom"/>
            <w:tcBorders>
              <w:top w:val="single" w:sz="8" w:color="0000EE"/>
            </w:tcBorders>
            <w:gridSpan w:val="11"/>
          </w:tcPr>
          <w:p>
            <w:pPr>
              <w:spacing w:after="0"/>
              <w:rPr>
                <w:sz w:val="4"/>
                <w:szCs w:val="4"/>
                <w:color w:val="auto"/>
              </w:rPr>
            </w:pPr>
          </w:p>
        </w:tc>
        <w:tc>
          <w:tcPr>
            <w:tcW w:w="2460" w:type="dxa"/>
            <w:vAlign w:val="bottom"/>
            <w:gridSpan w:val="45"/>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Amendment to Credit Agreement and Revolving Note dated as of August 16, 2022 by and between the Company and U.S. Bank National</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000" w:type="dxa"/>
            <w:vAlign w:val="bottom"/>
            <w:tcBorders>
              <w:top w:val="single" w:sz="8" w:color="0000EE"/>
              <w:bottom w:val="single" w:sz="8" w:color="0000EE"/>
            </w:tcBorders>
            <w:gridSpan w:val="18"/>
            <w:shd w:val="clear" w:color="auto" w:fill="CCEEFF"/>
          </w:tcPr>
          <w:p>
            <w:pPr>
              <w:spacing w:after="0" w:line="182"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Association (Incorporated by reference to Exhibit 10.1 filed with our Current Report on Form 8-K filed on August 18, 2022).</w:t>
              </w:r>
            </w:hyperlink>
          </w:p>
        </w:tc>
        <w:tc>
          <w:tcPr>
            <w:tcW w:w="900" w:type="dxa"/>
            <w:vAlign w:val="bottom"/>
            <w:tcBorders>
              <w:top w:val="single" w:sz="8" w:color="0000EE"/>
              <w:bottom w:val="single" w:sz="8" w:color="CCEEFF"/>
            </w:tcBorders>
            <w:gridSpan w:val="16"/>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620" w:type="dxa"/>
            <w:vAlign w:val="bottom"/>
          </w:tcPr>
          <w:p>
            <w:pPr>
              <w:spacing w:after="0"/>
              <w:rPr>
                <w:sz w:val="17"/>
                <w:szCs w:val="17"/>
                <w:color w:val="auto"/>
              </w:rPr>
            </w:pPr>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Amendment to Credit Agreement and Revolving Note dated as of October 31, 2022 by and between the Company and U.S. Bank National</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960" w:type="dxa"/>
            <w:vAlign w:val="bottom"/>
            <w:tcBorders>
              <w:top w:val="single" w:sz="8" w:color="0000EE"/>
            </w:tcBorders>
            <w:gridSpan w:val="36"/>
          </w:tcPr>
          <w:p>
            <w:pPr>
              <w:spacing w:after="0" w:line="182"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Association (Incorporated by reference to Exhibit 10.1 filed with our Current Report on Form 8-K filed on November 1,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140" w:type="dxa"/>
            <w:vAlign w:val="bottom"/>
            <w:tcBorders>
              <w:top w:val="single" w:sz="8" w:color="0000EE"/>
            </w:tcBorders>
            <w:gridSpan w:val="19"/>
          </w:tcPr>
          <w:p>
            <w:pPr>
              <w:spacing w:after="0"/>
              <w:rPr>
                <w:sz w:val="4"/>
                <w:szCs w:val="4"/>
                <w:color w:val="auto"/>
              </w:rPr>
            </w:pPr>
          </w:p>
        </w:tc>
        <w:tc>
          <w:tcPr>
            <w:tcW w:w="1280" w:type="dxa"/>
            <w:vAlign w:val="bottom"/>
            <w:gridSpan w:val="37"/>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Sixth Amendment to Credit Agreement dated as of December 9, 2022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20" w:type="dxa"/>
            <w:vAlign w:val="bottom"/>
            <w:tcBorders>
              <w:top w:val="single" w:sz="8" w:color="0000EE"/>
              <w:bottom w:val="single" w:sz="8" w:color="0000EE"/>
            </w:tcBorders>
            <w:gridSpan w:val="15"/>
            <w:shd w:val="clear" w:color="auto" w:fill="CCEEFF"/>
          </w:tcPr>
          <w:p>
            <w:pPr>
              <w:spacing w:after="0" w:line="182"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(Incorporated by reference to Exhibit 10.1 filed with our Current Report on Form 8-K filed on December 13, 2022).</w:t>
              </w:r>
            </w:hyperlink>
          </w:p>
        </w:tc>
        <w:tc>
          <w:tcPr>
            <w:tcW w:w="1520" w:type="dxa"/>
            <w:vAlign w:val="bottom"/>
            <w:tcBorders>
              <w:top w:val="single" w:sz="8" w:color="0000EE"/>
              <w:bottom w:val="single" w:sz="8" w:color="CCEEFF"/>
            </w:tcBorders>
            <w:gridSpan w:val="17"/>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Seventh Amendment to Credit Agreement dated as of January 23, 2023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980" w:type="dxa"/>
            <w:vAlign w:val="bottom"/>
            <w:tcBorders>
              <w:top w:val="single" w:sz="8" w:color="0000EE"/>
            </w:tcBorders>
            <w:gridSpan w:val="37"/>
          </w:tcPr>
          <w:p>
            <w:pPr>
              <w:spacing w:after="0" w:line="18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to Exhibit 10.1 filed with our Current Report on Form 8-K filed on January 25,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140" w:type="dxa"/>
            <w:vAlign w:val="bottom"/>
            <w:tcBorders>
              <w:top w:val="single" w:sz="8" w:color="0000EE"/>
            </w:tcBorders>
            <w:gridSpan w:val="14"/>
          </w:tcPr>
          <w:p>
            <w:pPr>
              <w:spacing w:after="0"/>
              <w:rPr>
                <w:sz w:val="4"/>
                <w:szCs w:val="4"/>
                <w:color w:val="auto"/>
              </w:rPr>
            </w:pPr>
          </w:p>
        </w:tc>
        <w:tc>
          <w:tcPr>
            <w:tcW w:w="2280" w:type="dxa"/>
            <w:vAlign w:val="bottom"/>
            <w:gridSpan w:val="42"/>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w w:val="93"/>
              </w:rPr>
            </w:pPr>
            <w:hyperlink r:id="rId8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Security Agreement dated as of August 28, 2020 by and between the Company and U.S. Bank National Association (Incorporated by</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reference to Exhibit 10.5 filed with our Current Report on Form 10-Q of Daktronics, Inc. filed on August 28, 2020).</w:t>
              </w:r>
            </w:hyperlink>
          </w:p>
        </w:tc>
        <w:tc>
          <w:tcPr>
            <w:tcW w:w="1840" w:type="dxa"/>
            <w:vAlign w:val="bottom"/>
            <w:tcBorders>
              <w:top w:val="single" w:sz="8" w:color="0000EE"/>
              <w:bottom w:val="single" w:sz="8" w:color="CCEEFF"/>
            </w:tcBorders>
            <w:gridSpan w:val="2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Daktronics, Inc. 2020 Stock Incentive Plan ("2020 Plan") (Incorporated by reference to Exhibit A to the Company's Definitive Proxy</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340" w:type="dxa"/>
            <w:vAlign w:val="bottom"/>
            <w:tcBorders>
              <w:top w:val="single" w:sz="8" w:color="0000EE"/>
            </w:tcBorders>
            <w:gridSpan w:val="52"/>
          </w:tcPr>
          <w:p>
            <w:pPr>
              <w:spacing w:after="0" w:line="18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Statement on Schedule 14A filed on July 16, 2020).*</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3800" w:type="dxa"/>
            <w:vAlign w:val="bottom"/>
            <w:tcBorders>
              <w:top w:val="single" w:sz="8" w:color="0000EE"/>
            </w:tcBorders>
            <w:gridSpan w:val="6"/>
          </w:tcPr>
          <w:p>
            <w:pPr>
              <w:spacing w:after="0"/>
              <w:rPr>
                <w:sz w:val="4"/>
                <w:szCs w:val="4"/>
                <w:color w:val="auto"/>
              </w:rPr>
            </w:pPr>
          </w:p>
        </w:tc>
        <w:tc>
          <w:tcPr>
            <w:tcW w:w="6620" w:type="dxa"/>
            <w:vAlign w:val="bottom"/>
            <w:gridSpan w:val="50"/>
          </w:tcPr>
          <w:p>
            <w:pPr>
              <w:spacing w:after="0"/>
              <w:rPr>
                <w:sz w:val="4"/>
                <w:szCs w:val="4"/>
                <w:color w:val="auto"/>
              </w:rPr>
            </w:pPr>
          </w:p>
        </w:tc>
      </w:tr>
      <w:tr>
        <w:trPr>
          <w:trHeight w:val="202"/>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Restricted Stock Award Agreement under the 2020 Plan (Incorporated by reference to Exhibit 10.2 filed with our Current Report 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520" w:type="dxa"/>
            <w:vAlign w:val="bottom"/>
            <w:tcBorders>
              <w:top w:val="single" w:sz="8" w:color="0000EE"/>
              <w:bottom w:val="single" w:sz="8" w:color="0000EE"/>
            </w:tcBorders>
            <w:gridSpan w:val="4"/>
            <w:shd w:val="clear" w:color="auto" w:fill="CCEEFF"/>
          </w:tcPr>
          <w:p>
            <w:pPr>
              <w:spacing w:after="0" w:line="182" w:lineRule="exact"/>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Form 8-K on September 3, 2020).*</w:t>
              </w:r>
            </w:hyperlink>
          </w:p>
        </w:tc>
        <w:tc>
          <w:tcPr>
            <w:tcW w:w="7820" w:type="dxa"/>
            <w:vAlign w:val="bottom"/>
            <w:tcBorders>
              <w:top w:val="single" w:sz="8" w:color="0000EE"/>
              <w:bottom w:val="single" w:sz="8" w:color="CCEEFF"/>
            </w:tcBorders>
            <w:gridSpan w:val="4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2"/>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Non-Qualified Stock Option Agreement Terms and Conditions under the 2020 Plan (Incorporated by reference to Exhibit 10.3 filed</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360" w:type="dxa"/>
            <w:vAlign w:val="bottom"/>
            <w:tcBorders>
              <w:top w:val="single" w:sz="8" w:color="0000EE"/>
            </w:tcBorders>
            <w:gridSpan w:val="53"/>
          </w:tcPr>
          <w:p>
            <w:pPr>
              <w:spacing w:after="0" w:line="18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with our Current Report on Form 8-K on September 3, 2020).*</w:t>
              </w:r>
            </w:hyperlink>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4520" w:type="dxa"/>
            <w:vAlign w:val="bottom"/>
            <w:tcBorders>
              <w:top w:val="single" w:sz="8" w:color="0000EE"/>
            </w:tcBorders>
            <w:gridSpan w:val="7"/>
          </w:tcPr>
          <w:p>
            <w:pPr>
              <w:spacing w:after="0"/>
              <w:rPr>
                <w:sz w:val="4"/>
                <w:szCs w:val="4"/>
                <w:color w:val="auto"/>
              </w:rPr>
            </w:pPr>
          </w:p>
        </w:tc>
        <w:tc>
          <w:tcPr>
            <w:tcW w:w="5900" w:type="dxa"/>
            <w:vAlign w:val="bottom"/>
            <w:gridSpan w:val="49"/>
          </w:tcPr>
          <w:p>
            <w:pPr>
              <w:spacing w:after="0"/>
              <w:rPr>
                <w:sz w:val="4"/>
                <w:szCs w:val="4"/>
                <w:color w:val="auto"/>
              </w:rPr>
            </w:pPr>
          </w:p>
        </w:tc>
      </w:tr>
      <w:tr>
        <w:trPr>
          <w:trHeight w:val="202"/>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Incentive Stock Option Terms and Conditions under the 2020 Plan (Incorporated by reference to Exhibit 10.4 filed with our Current</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280" w:type="dxa"/>
            <w:vAlign w:val="bottom"/>
            <w:tcBorders>
              <w:top w:val="single" w:sz="8" w:color="0000EE"/>
              <w:bottom w:val="single" w:sz="8" w:color="0000EE"/>
            </w:tcBorders>
            <w:gridSpan w:val="5"/>
            <w:shd w:val="clear" w:color="auto" w:fill="CCEEFF"/>
          </w:tcPr>
          <w:p>
            <w:pPr>
              <w:spacing w:after="0" w:line="182"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Report on Form 8-K on September 3, 2020).*</w:t>
              </w:r>
            </w:hyperlink>
          </w:p>
        </w:tc>
        <w:tc>
          <w:tcPr>
            <w:tcW w:w="6920" w:type="dxa"/>
            <w:vAlign w:val="bottom"/>
            <w:tcBorders>
              <w:top w:val="single" w:sz="8" w:color="0000EE"/>
              <w:bottom w:val="single" w:sz="8" w:color="CCEEFF"/>
            </w:tcBorders>
            <w:gridSpan w:val="40"/>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9"/>
            <w:shd w:val="clear" w:color="auto" w:fill="CCEEFF"/>
          </w:tcPr>
          <w:p>
            <w:pPr>
              <w:spacing w:after="0"/>
              <w:rPr>
                <w:sz w:val="20"/>
                <w:szCs w:val="20"/>
                <w:color w:val="auto"/>
              </w:rPr>
            </w:pPr>
          </w:p>
        </w:tc>
      </w:tr>
      <w:tr>
        <w:trPr>
          <w:trHeight w:val="22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Restricted Stock Unit Terms and Conditions under the 2020 Plan (Incorporated by reference to Exhibit 10.5 filed with our Current</w:t>
              </w:r>
            </w:hyperlink>
          </w:p>
        </w:tc>
      </w:tr>
      <w:tr>
        <w:trPr>
          <w:trHeight w:val="163"/>
        </w:trPr>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10240" w:type="dxa"/>
            <w:vAlign w:val="bottom"/>
            <w:tcBorders>
              <w:top w:val="single" w:sz="8" w:color="0000EE"/>
            </w:tcBorders>
            <w:gridSpan w:val="47"/>
          </w:tcPr>
          <w:p>
            <w:pPr>
              <w:spacing w:after="0" w:line="163"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Report on Form 8-K on September 3, 2020).*</w:t>
              </w:r>
            </w:hyperlink>
          </w:p>
        </w:tc>
        <w:tc>
          <w:tcPr>
            <w:tcW w:w="180" w:type="dxa"/>
            <w:vAlign w:val="bottom"/>
            <w:gridSpan w:val="9"/>
          </w:tcPr>
          <w:p>
            <w:pPr>
              <w:spacing w:after="0"/>
              <w:rPr>
                <w:sz w:val="14"/>
                <w:szCs w:val="14"/>
                <w:color w:val="auto"/>
              </w:rPr>
            </w:pPr>
          </w:p>
        </w:tc>
      </w:tr>
      <w:tr>
        <w:trPr>
          <w:trHeight w:val="48"/>
        </w:trPr>
        <w:tc>
          <w:tcPr>
            <w:tcW w:w="1060" w:type="dxa"/>
            <w:vAlign w:val="bottom"/>
            <w:gridSpan w:val="4"/>
          </w:tcPr>
          <w:p>
            <w:pPr>
              <w:spacing w:after="0"/>
              <w:rPr>
                <w:sz w:val="4"/>
                <w:szCs w:val="4"/>
                <w:color w:val="auto"/>
              </w:rPr>
            </w:pPr>
          </w:p>
        </w:tc>
        <w:tc>
          <w:tcPr>
            <w:tcW w:w="3280" w:type="dxa"/>
            <w:vAlign w:val="bottom"/>
            <w:tcBorders>
              <w:top w:val="single" w:sz="8" w:color="0000EE"/>
            </w:tcBorders>
            <w:gridSpan w:val="5"/>
          </w:tcPr>
          <w:p>
            <w:pPr>
              <w:spacing w:after="0"/>
              <w:rPr>
                <w:sz w:val="4"/>
                <w:szCs w:val="4"/>
                <w:color w:val="auto"/>
              </w:rPr>
            </w:pPr>
          </w:p>
        </w:tc>
        <w:tc>
          <w:tcPr>
            <w:tcW w:w="7140" w:type="dxa"/>
            <w:vAlign w:val="bottom"/>
            <w:gridSpan w:val="51"/>
          </w:tcPr>
          <w:p>
            <w:pPr>
              <w:spacing w:after="0"/>
              <w:rPr>
                <w:sz w:val="4"/>
                <w:szCs w:val="4"/>
                <w:color w:val="auto"/>
              </w:rPr>
            </w:pPr>
          </w:p>
        </w:tc>
      </w:tr>
      <w:tr>
        <w:trPr>
          <w:trHeight w:val="22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Cooperation Agreement dated July 23, 2022 by and between the Company and Prairieland Holdco, LLC (Incorporated by reference to</w:t>
              </w:r>
            </w:hyperlink>
          </w:p>
        </w:tc>
      </w:tr>
      <w:tr>
        <w:trPr>
          <w:trHeight w:val="210"/>
        </w:trPr>
        <w:tc>
          <w:tcPr>
            <w:tcW w:w="260" w:type="dxa"/>
            <w:vAlign w:val="bottom"/>
            <w:tcBorders>
              <w:top w:val="single" w:sz="8" w:color="0000FF"/>
              <w:left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360" w:type="dxa"/>
            <w:vAlign w:val="bottom"/>
            <w:tcBorders>
              <w:top w:val="single" w:sz="8" w:color="0000EE"/>
              <w:bottom w:val="single" w:sz="8" w:color="0000EE"/>
            </w:tcBorders>
            <w:gridSpan w:val="8"/>
            <w:shd w:val="clear" w:color="auto" w:fill="CCEEFF"/>
          </w:tcPr>
          <w:p>
            <w:pPr>
              <w:spacing w:after="0" w:line="163"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Exhibit 10.1 filed with our Current Report on Form 8-K on July 27, 2022).</w:t>
              </w:r>
            </w:hyperlink>
          </w:p>
        </w:tc>
        <w:tc>
          <w:tcPr>
            <w:tcW w:w="4860" w:type="dxa"/>
            <w:vAlign w:val="bottom"/>
            <w:tcBorders>
              <w:top w:val="single" w:sz="8" w:color="0000EE"/>
              <w:bottom w:val="single" w:sz="8" w:color="CCEEFF"/>
            </w:tcBorders>
            <w:gridSpan w:val="38"/>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10"/>
            <w:shd w:val="clear" w:color="auto" w:fill="CCEEFF"/>
          </w:tcPr>
          <w:p>
            <w:pPr>
              <w:spacing w:after="0"/>
              <w:rPr>
                <w:sz w:val="18"/>
                <w:szCs w:val="18"/>
                <w:color w:val="auto"/>
              </w:rPr>
            </w:pPr>
          </w:p>
        </w:tc>
      </w:tr>
      <w:tr>
        <w:trPr>
          <w:trHeight w:val="22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Standstill and Voting Agreement dated as of March 19, 2023 by and among Daktronics, Inc., Alta Fox Management, LLC and Connor Haley</w:t>
              </w:r>
            </w:hyperlink>
          </w:p>
        </w:tc>
      </w:tr>
      <w:tr>
        <w:trPr>
          <w:trHeight w:val="163"/>
        </w:trPr>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10160" w:type="dxa"/>
            <w:vAlign w:val="bottom"/>
            <w:tcBorders>
              <w:top w:val="single" w:sz="8" w:color="0000FF"/>
            </w:tcBorders>
            <w:gridSpan w:val="43"/>
          </w:tcPr>
          <w:p>
            <w:pPr>
              <w:spacing w:after="0" w:line="163"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(Incorporated by reference to Exhibit 10.1 filed with the Current Report on Form 8-K of Daktronics, Inc. filed on March 20, 2023).</w:t>
              </w:r>
            </w:hyperlink>
          </w:p>
        </w:tc>
        <w:tc>
          <w:tcPr>
            <w:tcW w:w="260" w:type="dxa"/>
            <w:vAlign w:val="bottom"/>
            <w:gridSpan w:val="13"/>
          </w:tcPr>
          <w:p>
            <w:pPr>
              <w:spacing w:after="0"/>
              <w:rPr>
                <w:sz w:val="14"/>
                <w:szCs w:val="14"/>
                <w:color w:val="auto"/>
              </w:rPr>
            </w:pPr>
          </w:p>
        </w:tc>
      </w:tr>
      <w:tr>
        <w:trPr>
          <w:trHeight w:val="48"/>
        </w:trPr>
        <w:tc>
          <w:tcPr>
            <w:tcW w:w="1060" w:type="dxa"/>
            <w:vAlign w:val="bottom"/>
            <w:gridSpan w:val="4"/>
          </w:tcPr>
          <w:p>
            <w:pPr>
              <w:spacing w:after="0"/>
              <w:rPr>
                <w:sz w:val="4"/>
                <w:szCs w:val="4"/>
                <w:color w:val="auto"/>
              </w:rPr>
            </w:pPr>
          </w:p>
        </w:tc>
        <w:tc>
          <w:tcPr>
            <w:tcW w:w="9420" w:type="dxa"/>
            <w:vAlign w:val="bottom"/>
            <w:tcBorders>
              <w:top w:val="single" w:sz="8" w:color="0000FF"/>
            </w:tcBorders>
            <w:gridSpan w:val="23"/>
          </w:tcPr>
          <w:p>
            <w:pPr>
              <w:spacing w:after="0"/>
              <w:rPr>
                <w:sz w:val="4"/>
                <w:szCs w:val="4"/>
                <w:color w:val="auto"/>
              </w:rPr>
            </w:pPr>
          </w:p>
        </w:tc>
        <w:tc>
          <w:tcPr>
            <w:tcW w:w="1000" w:type="dxa"/>
            <w:vAlign w:val="bottom"/>
            <w:gridSpan w:val="33"/>
          </w:tcPr>
          <w:p>
            <w:pPr>
              <w:spacing w:after="0"/>
              <w:rPr>
                <w:sz w:val="4"/>
                <w:szCs w:val="4"/>
                <w:color w:val="auto"/>
              </w:rPr>
            </w:pPr>
          </w:p>
        </w:tc>
      </w:tr>
      <w:tr>
        <w:trPr>
          <w:trHeight w:val="22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Credit Agreement dated as of May 11, 2023 by and among Daktronics, Inc. and the other Borrowers; the other Loan Parties to the Credit</w:t>
              </w:r>
            </w:hyperlink>
          </w:p>
        </w:tc>
      </w:tr>
      <w:tr>
        <w:trPr>
          <w:trHeight w:val="163"/>
        </w:trPr>
        <w:tc>
          <w:tcPr>
            <w:tcW w:w="26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9720" w:type="dxa"/>
            <w:vAlign w:val="bottom"/>
            <w:tcBorders>
              <w:top w:val="single" w:sz="8" w:color="0000FF"/>
              <w:bottom w:val="single" w:sz="8" w:color="0000FF"/>
            </w:tcBorders>
            <w:gridSpan w:val="28"/>
            <w:shd w:val="clear" w:color="auto" w:fill="CCEEFF"/>
          </w:tcPr>
          <w:p>
            <w:pPr>
              <w:spacing w:after="0" w:line="163"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Agreement; the Lenders party to the Credit Agreement; and JPMorgan Chase Bank, N.A., in its capacity as administrative agent for the</w:t>
              </w:r>
            </w:hyperlink>
          </w:p>
        </w:tc>
        <w:tc>
          <w:tcPr>
            <w:tcW w:w="10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13"/>
            <w:shd w:val="clear" w:color="auto" w:fill="CCEEFF"/>
          </w:tcPr>
          <w:p>
            <w:pPr>
              <w:spacing w:after="0"/>
              <w:rPr>
                <w:sz w:val="14"/>
                <w:szCs w:val="14"/>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Lenders (Incorporated by reference to Exhibit 10.1 filed with the Current Report on Form 8-K of Daktronics, Inc. filed on May 12, 2023).</w:t>
              </w:r>
            </w:hyperlink>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9920" w:type="dxa"/>
            <w:vAlign w:val="bottom"/>
            <w:tcBorders>
              <w:top w:val="single" w:sz="8" w:color="0000FF"/>
            </w:tcBorders>
            <w:gridSpan w:val="35"/>
            <w:shd w:val="clear" w:color="auto" w:fill="CCEEFF"/>
          </w:tcPr>
          <w:p>
            <w:pPr>
              <w:spacing w:after="0"/>
              <w:rPr>
                <w:sz w:val="2"/>
                <w:szCs w:val="2"/>
                <w:color w:val="auto"/>
              </w:rPr>
            </w:pPr>
          </w:p>
        </w:tc>
        <w:tc>
          <w:tcPr>
            <w:tcW w:w="500" w:type="dxa"/>
            <w:vAlign w:val="bottom"/>
            <w:tcBorders>
              <w:top w:val="single" w:sz="8" w:color="CCEEFF"/>
            </w:tcBorders>
            <w:gridSpan w:val="21"/>
            <w:shd w:val="clear" w:color="auto" w:fill="CCEEFF"/>
          </w:tcPr>
          <w:p>
            <w:pPr>
              <w:spacing w:after="0"/>
              <w:rPr>
                <w:sz w:val="2"/>
                <w:szCs w:val="2"/>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Pledge and Security Agreement dated as of May 11, 2023 by and among Daktronics, Inc., Daktronics Installation, Inc., and JPMorgan Chase</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140" w:type="dxa"/>
            <w:vAlign w:val="bottom"/>
            <w:tcBorders>
              <w:top w:val="single" w:sz="8" w:color="0000FF"/>
            </w:tcBorders>
            <w:gridSpan w:val="42"/>
          </w:tcPr>
          <w:p>
            <w:pPr>
              <w:spacing w:after="0" w:line="182"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Bank, N.A. (Incorporated by reference to Exhibit 10.2 filed with the Current Report on Form 8-K of Daktronics, Inc. filed on May 12, 2023)</w:t>
              </w:r>
            </w:hyperlink>
          </w:p>
        </w:tc>
        <w:tc>
          <w:tcPr>
            <w:tcW w:w="280" w:type="dxa"/>
            <w:vAlign w:val="bottom"/>
            <w:gridSpan w:val="14"/>
          </w:tcPr>
          <w:p>
            <w:pPr>
              <w:jc w:val="right"/>
              <w:ind w:right="280"/>
              <w:spacing w:after="0"/>
              <w:rPr>
                <w:rFonts w:ascii="Times New Roman" w:cs="Times New Roman" w:eastAsia="Times New Roman" w:hAnsi="Times New Roman"/>
                <w:sz w:val="11"/>
                <w:szCs w:val="11"/>
                <w:color w:val="0000FF"/>
                <w:w w:val="70"/>
              </w:rPr>
            </w:pPr>
            <w:hyperlink r:id="rId100">
              <w:r>
                <w:rPr>
                  <w:rFonts w:ascii="Times New Roman" w:cs="Times New Roman" w:eastAsia="Times New Roman" w:hAnsi="Times New Roman"/>
                  <w:sz w:val="11"/>
                  <w:szCs w:val="11"/>
                  <w:color w:val="0000FF"/>
                  <w:w w:val="70"/>
                </w:rPr>
                <w:t>.</w:t>
              </w:r>
            </w:hyperlink>
          </w:p>
        </w:tc>
      </w:tr>
      <w:tr>
        <w:trPr>
          <w:trHeight w:val="48"/>
        </w:trPr>
        <w:tc>
          <w:tcPr>
            <w:tcW w:w="1060" w:type="dxa"/>
            <w:vAlign w:val="bottom"/>
            <w:gridSpan w:val="4"/>
          </w:tcPr>
          <w:p>
            <w:pPr>
              <w:spacing w:after="0"/>
              <w:rPr>
                <w:sz w:val="4"/>
                <w:szCs w:val="4"/>
                <w:color w:val="auto"/>
              </w:rPr>
            </w:pPr>
          </w:p>
        </w:tc>
        <w:tc>
          <w:tcPr>
            <w:tcW w:w="10180" w:type="dxa"/>
            <w:vAlign w:val="bottom"/>
            <w:tcBorders>
              <w:top w:val="single" w:sz="8" w:color="0000FF"/>
            </w:tcBorders>
            <w:gridSpan w:val="44"/>
          </w:tcPr>
          <w:p>
            <w:pPr>
              <w:spacing w:after="0"/>
              <w:rPr>
                <w:sz w:val="4"/>
                <w:szCs w:val="4"/>
                <w:color w:val="auto"/>
              </w:rPr>
            </w:pPr>
          </w:p>
        </w:tc>
        <w:tc>
          <w:tcPr>
            <w:tcW w:w="240" w:type="dxa"/>
            <w:vAlign w:val="bottom"/>
            <w:gridSpan w:val="12"/>
          </w:tcPr>
          <w:p>
            <w:pPr>
              <w:spacing w:after="0"/>
              <w:rPr>
                <w:sz w:val="4"/>
                <w:szCs w:val="4"/>
                <w:color w:val="auto"/>
              </w:rPr>
            </w:pPr>
          </w:p>
        </w:tc>
      </w:tr>
      <w:tr>
        <w:trPr>
          <w:trHeight w:val="22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Securities Purchase Agreement dated as of May 11, 2023 by and between Daktronics, Inc. and Alta Fox Opportunities Fund, LP</w:t>
              </w:r>
            </w:hyperlink>
          </w:p>
        </w:tc>
      </w:tr>
      <w:tr>
        <w:trPr>
          <w:trHeight w:val="163"/>
        </w:trPr>
        <w:tc>
          <w:tcPr>
            <w:tcW w:w="260" w:type="dxa"/>
            <w:vAlign w:val="bottom"/>
            <w:tcBorders>
              <w:top w:val="single" w:sz="8" w:color="0000FF"/>
              <w:lef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right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9220" w:type="dxa"/>
            <w:vAlign w:val="bottom"/>
            <w:tcBorders>
              <w:top w:val="single" w:sz="8" w:color="0000FF"/>
            </w:tcBorders>
            <w:gridSpan w:val="21"/>
            <w:shd w:val="clear" w:color="auto" w:fill="CCEEFF"/>
          </w:tcPr>
          <w:p>
            <w:pPr>
              <w:spacing w:after="0" w:line="163"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(Incorporated by reference to Exhibit 10.3 filed with the Current Report on Form 8-K of Daktronics, Inc. filed on May 12, 2023)</w:t>
              </w:r>
            </w:hyperlink>
          </w:p>
        </w:tc>
        <w:tc>
          <w:tcPr>
            <w:tcW w:w="300" w:type="dxa"/>
            <w:vAlign w:val="bottom"/>
            <w:tcBorders>
              <w:top w:val="single" w:sz="8" w:color="CCEEFF"/>
            </w:tcBorders>
            <w:gridSpan w:val="3"/>
            <w:shd w:val="clear" w:color="auto" w:fill="CCEEFF"/>
          </w:tcPr>
          <w:p>
            <w:pPr>
              <w:jc w:val="right"/>
              <w:ind w:right="240"/>
              <w:spacing w:after="0" w:line="163" w:lineRule="exact"/>
              <w:rPr>
                <w:rFonts w:ascii="Times New Roman" w:cs="Times New Roman" w:eastAsia="Times New Roman" w:hAnsi="Times New Roman"/>
                <w:sz w:val="18"/>
                <w:szCs w:val="18"/>
                <w:color w:val="0000FF"/>
                <w:w w:val="87"/>
              </w:rPr>
            </w:pPr>
            <w:hyperlink r:id="rId101">
              <w:r>
                <w:rPr>
                  <w:rFonts w:ascii="Times New Roman" w:cs="Times New Roman" w:eastAsia="Times New Roman" w:hAnsi="Times New Roman"/>
                  <w:sz w:val="18"/>
                  <w:szCs w:val="18"/>
                  <w:color w:val="0000FF"/>
                  <w:w w:val="87"/>
                </w:rPr>
                <w:t>.</w:t>
              </w:r>
            </w:hyperlink>
          </w:p>
        </w:tc>
        <w:tc>
          <w:tcPr>
            <w:tcW w:w="360" w:type="dxa"/>
            <w:vAlign w:val="bottom"/>
            <w:tcBorders>
              <w:top w:val="single" w:sz="8" w:color="CCEEFF"/>
            </w:tcBorders>
            <w:gridSpan w:val="9"/>
            <w:shd w:val="clear" w:color="auto" w:fill="CCEEFF"/>
          </w:tcPr>
          <w:p>
            <w:pPr>
              <w:spacing w:after="0"/>
              <w:rPr>
                <w:sz w:val="14"/>
                <w:szCs w:val="14"/>
                <w:color w:val="auto"/>
              </w:rPr>
            </w:pPr>
          </w:p>
        </w:tc>
        <w:tc>
          <w:tcPr>
            <w:tcW w:w="12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16"/>
            <w:shd w:val="clear" w:color="auto" w:fill="CCEEFF"/>
          </w:tcPr>
          <w:p>
            <w:pPr>
              <w:spacing w:after="0"/>
              <w:rPr>
                <w:sz w:val="14"/>
                <w:szCs w:val="14"/>
                <w:color w:val="auto"/>
              </w:rPr>
            </w:pPr>
          </w:p>
        </w:tc>
      </w:tr>
      <w:tr>
        <w:trPr>
          <w:trHeight w:val="47"/>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9280" w:type="dxa"/>
            <w:vAlign w:val="bottom"/>
            <w:tcBorders>
              <w:top w:val="single" w:sz="8" w:color="0000FF"/>
            </w:tcBorders>
            <w:gridSpan w:val="22"/>
            <w:shd w:val="clear" w:color="auto" w:fill="CCEEFF"/>
          </w:tcPr>
          <w:p>
            <w:pPr>
              <w:spacing w:after="0"/>
              <w:rPr>
                <w:sz w:val="4"/>
                <w:szCs w:val="4"/>
                <w:color w:val="auto"/>
              </w:rPr>
            </w:pPr>
          </w:p>
        </w:tc>
        <w:tc>
          <w:tcPr>
            <w:tcW w:w="1140" w:type="dxa"/>
            <w:vAlign w:val="bottom"/>
            <w:tcBorders>
              <w:top w:val="single" w:sz="8" w:color="CCEEFF"/>
            </w:tcBorders>
            <w:gridSpan w:val="34"/>
            <w:shd w:val="clear" w:color="auto" w:fill="CCEEFF"/>
          </w:tcPr>
          <w:p>
            <w:pPr>
              <w:spacing w:after="0"/>
              <w:rPr>
                <w:sz w:val="4"/>
                <w:szCs w:val="4"/>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Senior Secured Convertible Note dated as of May 11, 2023 issued by Daktronics, Inc. to Alta Fox Opportunities Fund, LP (Incorporated by</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20" w:type="dxa"/>
            <w:vAlign w:val="bottom"/>
            <w:tcBorders>
              <w:top w:val="single" w:sz="8" w:color="0000FF"/>
            </w:tcBorders>
            <w:gridSpan w:val="39"/>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reference to Exhibit 10.4 filed with the Current Report on Form 8-K of Daktronics, Inc. filed on May 12, 2023).</w:t>
              </w:r>
            </w:hyperlink>
          </w:p>
        </w:tc>
        <w:tc>
          <w:tcPr>
            <w:tcW w:w="80" w:type="dxa"/>
            <w:vAlign w:val="bottom"/>
          </w:tcPr>
          <w:p>
            <w:pPr>
              <w:spacing w:after="0"/>
              <w:rPr>
                <w:sz w:val="15"/>
                <w:szCs w:val="15"/>
                <w:color w:val="auto"/>
              </w:rPr>
            </w:pPr>
          </w:p>
        </w:tc>
        <w:tc>
          <w:tcPr>
            <w:tcW w:w="320" w:type="dxa"/>
            <w:vAlign w:val="bottom"/>
            <w:gridSpan w:val="16"/>
          </w:tcPr>
          <w:p>
            <w:pPr>
              <w:spacing w:after="0"/>
              <w:rPr>
                <w:sz w:val="15"/>
                <w:szCs w:val="15"/>
                <w:color w:val="auto"/>
              </w:rPr>
            </w:pPr>
          </w:p>
        </w:tc>
      </w:tr>
      <w:tr>
        <w:trPr>
          <w:trHeight w:val="47"/>
        </w:trPr>
        <w:tc>
          <w:tcPr>
            <w:tcW w:w="1060" w:type="dxa"/>
            <w:vAlign w:val="bottom"/>
            <w:gridSpan w:val="4"/>
          </w:tcPr>
          <w:p>
            <w:pPr>
              <w:spacing w:after="0"/>
              <w:rPr>
                <w:sz w:val="4"/>
                <w:szCs w:val="4"/>
                <w:color w:val="auto"/>
              </w:rPr>
            </w:pPr>
          </w:p>
        </w:tc>
        <w:tc>
          <w:tcPr>
            <w:tcW w:w="8040" w:type="dxa"/>
            <w:vAlign w:val="bottom"/>
            <w:tcBorders>
              <w:top w:val="single" w:sz="8" w:color="0000FF"/>
            </w:tcBorders>
            <w:gridSpan w:val="12"/>
          </w:tcPr>
          <w:p>
            <w:pPr>
              <w:spacing w:after="0"/>
              <w:rPr>
                <w:sz w:val="4"/>
                <w:szCs w:val="4"/>
                <w:color w:val="auto"/>
              </w:rPr>
            </w:pPr>
          </w:p>
        </w:tc>
        <w:tc>
          <w:tcPr>
            <w:tcW w:w="2380" w:type="dxa"/>
            <w:vAlign w:val="bottom"/>
            <w:gridSpan w:val="44"/>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Times New Roman" w:cs="Times New Roman" w:eastAsia="Times New Roman" w:hAnsi="Times New Roman"/>
                <w:sz w:val="18"/>
                <w:szCs w:val="18"/>
                <w:color w:val="0000FF"/>
                <w:w w:val="93"/>
              </w:rPr>
            </w:pPr>
            <w:hyperlink r:id="rId103">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23</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Pledge and Security Agreement dated as of May 11, 2023 by and among Daktronics, Inc., Daktronics Installation, Inc., and Alta Fox</w:t>
              </w:r>
            </w:hyperlink>
          </w:p>
        </w:tc>
      </w:tr>
      <w:tr>
        <w:trPr>
          <w:trHeight w:val="20"/>
        </w:trPr>
        <w:tc>
          <w:tcPr>
            <w:tcW w:w="260" w:type="dxa"/>
            <w:vAlign w:val="bottom"/>
            <w:tcBorders>
              <w:left w:val="single" w:sz="8" w:color="CCEE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120" w:type="dxa"/>
            <w:vAlign w:val="bottom"/>
            <w:gridSpan w:val="18"/>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360" w:type="dxa"/>
            <w:vAlign w:val="bottom"/>
            <w:gridSpan w:val="9"/>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320" w:type="dxa"/>
            <w:vAlign w:val="bottom"/>
            <w:gridSpan w:val="16"/>
            <w:shd w:val="clear" w:color="auto" w:fill="CCEEFF"/>
          </w:tcPr>
          <w:p>
            <w:pPr>
              <w:spacing w:after="0" w:line="20" w:lineRule="exact"/>
              <w:rPr>
                <w:sz w:val="1"/>
                <w:szCs w:val="1"/>
                <w:color w:val="auto"/>
              </w:rPr>
            </w:pPr>
          </w:p>
        </w:tc>
      </w:tr>
      <w:tr>
        <w:trPr>
          <w:trHeight w:val="183"/>
        </w:trPr>
        <w:tc>
          <w:tcPr>
            <w:tcW w:w="26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620" w:type="dxa"/>
            <w:vAlign w:val="bottom"/>
            <w:tcBorders>
              <w:bottom w:val="single" w:sz="8" w:color="CCEEFF"/>
              <w:right w:val="single" w:sz="8" w:color="CCEEFF"/>
            </w:tcBorders>
            <w:shd w:val="clear" w:color="auto" w:fill="CCEEFF"/>
          </w:tcPr>
          <w:p>
            <w:pPr>
              <w:spacing w:after="0"/>
              <w:rPr>
                <w:sz w:val="15"/>
                <w:szCs w:val="15"/>
                <w:color w:val="auto"/>
              </w:rPr>
            </w:pPr>
          </w:p>
        </w:tc>
        <w:tc>
          <w:tcPr>
            <w:tcW w:w="9880" w:type="dxa"/>
            <w:vAlign w:val="bottom"/>
            <w:tcBorders>
              <w:bottom w:val="single" w:sz="8" w:color="0000FF"/>
            </w:tcBorders>
            <w:gridSpan w:val="33"/>
            <w:shd w:val="clear" w:color="auto" w:fill="CCEEFF"/>
          </w:tcPr>
          <w:p>
            <w:pPr>
              <w:spacing w:after="0" w:line="182"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Opportunities Fund, LP (Incorporated by reference to Exhibit 10.5 filed with the Current Report on Form 8-K of Daktronics, Inc. filed on</w:t>
              </w:r>
            </w:hyperlink>
          </w:p>
        </w:tc>
        <w:tc>
          <w:tcPr>
            <w:tcW w:w="540" w:type="dxa"/>
            <w:vAlign w:val="bottom"/>
            <w:tcBorders>
              <w:bottom w:val="single" w:sz="8" w:color="CCEEFF"/>
            </w:tcBorders>
            <w:gridSpan w:val="23"/>
            <w:shd w:val="clear" w:color="auto" w:fill="CCEEFF"/>
          </w:tcPr>
          <w:p>
            <w:pPr>
              <w:spacing w:after="0"/>
              <w:rPr>
                <w:sz w:val="15"/>
                <w:szCs w:val="15"/>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6"/>
            <w:shd w:val="clear" w:color="auto" w:fill="CCEEFF"/>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May 12, 2023).</w:t>
              </w:r>
            </w:hyperlink>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080" w:type="dxa"/>
            <w:vAlign w:val="bottom"/>
            <w:tcBorders>
              <w:top w:val="single" w:sz="8" w:color="0000FF"/>
            </w:tcBorders>
            <w:gridSpan w:val="2"/>
            <w:shd w:val="clear" w:color="auto" w:fill="CCEEFF"/>
          </w:tcPr>
          <w:p>
            <w:pPr>
              <w:spacing w:after="0"/>
              <w:rPr>
                <w:sz w:val="2"/>
                <w:szCs w:val="2"/>
                <w:color w:val="auto"/>
              </w:rPr>
            </w:pPr>
          </w:p>
        </w:tc>
        <w:tc>
          <w:tcPr>
            <w:tcW w:w="9340" w:type="dxa"/>
            <w:vAlign w:val="bottom"/>
            <w:tcBorders>
              <w:top w:val="single" w:sz="8" w:color="CCEEFF"/>
            </w:tcBorders>
            <w:gridSpan w:val="54"/>
            <w:shd w:val="clear" w:color="auto" w:fill="CCEEFF"/>
          </w:tcPr>
          <w:p>
            <w:pPr>
              <w:spacing w:after="0"/>
              <w:rPr>
                <w:sz w:val="2"/>
                <w:szCs w:val="2"/>
                <w:color w:val="auto"/>
              </w:rPr>
            </w:pPr>
          </w:p>
        </w:tc>
      </w:tr>
      <w:tr>
        <w:trPr>
          <w:trHeight w:val="203"/>
        </w:trPr>
        <w:tc>
          <w:tcPr>
            <w:tcW w:w="106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10420" w:type="dxa"/>
            <w:vAlign w:val="bottom"/>
            <w:gridSpan w:val="56"/>
          </w:tcPr>
          <w:p>
            <w:pPr>
              <w:spacing w:after="0" w:line="20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Registration Rights Agreement dated as of May 11, 2023 by and between Daktronics, Inc. and Alta Fox Opportunities Fund, LP</w:t>
              </w:r>
            </w:hyperlink>
          </w:p>
        </w:tc>
      </w:tr>
      <w:tr>
        <w:trPr>
          <w:trHeight w:val="182"/>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(Incorporated by reference to Exhibit 10.6 filed with the Current Report on Form 8-K of Daktronics, Inc. filed on May 12, 2023)</w:t>
              </w:r>
            </w:hyperlink>
          </w:p>
        </w:tc>
        <w:tc>
          <w:tcPr>
            <w:tcW w:w="800" w:type="dxa"/>
            <w:vAlign w:val="bottom"/>
            <w:gridSpan w:val="18"/>
          </w:tcPr>
          <w:p>
            <w:pPr>
              <w:jc w:val="right"/>
              <w:ind w:right="720"/>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w:t>
              </w:r>
            </w:hyperlink>
          </w:p>
        </w:tc>
        <w:tc>
          <w:tcPr>
            <w:tcW w:w="100" w:type="dxa"/>
            <w:vAlign w:val="bottom"/>
            <w:gridSpan w:val="2"/>
          </w:tcPr>
          <w:p>
            <w:pPr>
              <w:spacing w:after="0"/>
              <w:rPr>
                <w:sz w:val="15"/>
                <w:szCs w:val="15"/>
                <w:color w:val="auto"/>
              </w:rPr>
            </w:pPr>
          </w:p>
        </w:tc>
        <w:tc>
          <w:tcPr>
            <w:tcW w:w="320" w:type="dxa"/>
            <w:vAlign w:val="bottom"/>
            <w:gridSpan w:val="16"/>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280" w:type="dxa"/>
            <w:vAlign w:val="bottom"/>
            <w:tcBorders>
              <w:top w:val="single" w:sz="8" w:color="0000FF"/>
            </w:tcBorders>
            <w:gridSpan w:val="22"/>
          </w:tcPr>
          <w:p>
            <w:pPr>
              <w:spacing w:after="0"/>
              <w:rPr>
                <w:sz w:val="4"/>
                <w:szCs w:val="4"/>
                <w:color w:val="auto"/>
              </w:rPr>
            </w:pPr>
          </w:p>
        </w:tc>
        <w:tc>
          <w:tcPr>
            <w:tcW w:w="1140" w:type="dxa"/>
            <w:vAlign w:val="bottom"/>
            <w:gridSpan w:val="34"/>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10420" w:type="dxa"/>
            <w:vAlign w:val="bottom"/>
            <w:gridSpan w:val="56"/>
            <w:shd w:val="clear" w:color="auto" w:fill="CCEEFF"/>
          </w:tcPr>
          <w:p>
            <w:pPr>
              <w:spacing w:after="0" w:line="20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Intercreditor Agreement dated as of May 11, 2023 by and among Daktronics, Inc., JPMorgan Chase Bank, N.A., and Alta Fox Opportunities</w:t>
              </w:r>
            </w:hyperlink>
          </w:p>
        </w:tc>
      </w:tr>
      <w:tr>
        <w:trPr>
          <w:trHeight w:val="182"/>
        </w:trPr>
        <w:tc>
          <w:tcPr>
            <w:tcW w:w="26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100" w:type="dxa"/>
            <w:vAlign w:val="bottom"/>
            <w:tcBorders>
              <w:top w:val="single" w:sz="8" w:color="0000FF"/>
            </w:tcBorders>
            <w:gridSpan w:val="40"/>
            <w:shd w:val="clear" w:color="auto" w:fill="CCEEFF"/>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Fund, LP (Incorporated by reference to Exhibit 10.7 filed with the Current Report on Form 8-K of Daktronics, Inc. filed on May 12, 2023).</w:t>
              </w:r>
            </w:hyperlink>
          </w:p>
        </w:tc>
        <w:tc>
          <w:tcPr>
            <w:tcW w:w="320" w:type="dxa"/>
            <w:vAlign w:val="bottom"/>
            <w:tcBorders>
              <w:top w:val="single" w:sz="8" w:color="CCEEFF"/>
            </w:tcBorders>
            <w:gridSpan w:val="16"/>
            <w:shd w:val="clear" w:color="auto" w:fill="CCEEFF"/>
          </w:tcPr>
          <w:p>
            <w:pPr>
              <w:spacing w:after="0"/>
              <w:rPr>
                <w:sz w:val="15"/>
                <w:szCs w:val="15"/>
                <w:color w:val="auto"/>
              </w:rPr>
            </w:pPr>
          </w:p>
        </w:tc>
      </w:tr>
      <w:tr>
        <w:trPr>
          <w:trHeight w:val="47"/>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10000" w:type="dxa"/>
            <w:vAlign w:val="bottom"/>
            <w:tcBorders>
              <w:top w:val="single" w:sz="8" w:color="0000FF"/>
            </w:tcBorders>
            <w:gridSpan w:val="38"/>
            <w:shd w:val="clear" w:color="auto" w:fill="CCEEFF"/>
          </w:tcPr>
          <w:p>
            <w:pPr>
              <w:spacing w:after="0"/>
              <w:rPr>
                <w:sz w:val="4"/>
                <w:szCs w:val="4"/>
                <w:color w:val="auto"/>
              </w:rPr>
            </w:pPr>
          </w:p>
        </w:tc>
        <w:tc>
          <w:tcPr>
            <w:tcW w:w="420" w:type="dxa"/>
            <w:vAlign w:val="bottom"/>
            <w:tcBorders>
              <w:top w:val="single" w:sz="8" w:color="CCEEFF"/>
            </w:tcBorders>
            <w:gridSpan w:val="18"/>
            <w:shd w:val="clear" w:color="auto" w:fill="CCEEFF"/>
          </w:tcPr>
          <w:p>
            <w:pPr>
              <w:spacing w:after="0"/>
              <w:rPr>
                <w:sz w:val="4"/>
                <w:szCs w:val="4"/>
                <w:color w:val="auto"/>
              </w:rPr>
            </w:pPr>
          </w:p>
        </w:tc>
      </w:tr>
    </w:tbl>
    <w:p>
      <w:pPr>
        <w:sectPr>
          <w:pgSz w:w="11900" w:h="16838" w:orient="portrait"/>
          <w:cols w:equalWidth="0" w:num="1">
            <w:col w:w="11240"/>
          </w:cols>
          <w:pgMar w:left="320" w:top="121"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w:t>
            </w:r>
          </w:p>
        </w:tc>
      </w:tr>
      <w:tr>
        <w:trPr>
          <w:trHeight w:val="189"/>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c>
          <w:tcPr>
            <w:tcW w:w="1018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adopted pursuant to Section 302 of the Sarbanes-Oxley Act of 2002. (1)</w:t>
            </w:r>
            <w:r>
              <w:rPr>
                <w:rFonts w:ascii="Times New Roman" w:cs="Times New Roman" w:eastAsia="Times New Roman" w:hAnsi="Times New Roman"/>
                <w:sz w:val="21"/>
                <w:szCs w:val="21"/>
                <w:u w:val="single" w:color="auto"/>
                <w:color w:val="0000EE"/>
                <w:vertAlign w:val="superscript"/>
              </w:rPr>
              <w:t>1</w:t>
            </w:r>
          </w:p>
        </w:tc>
        <w:tc>
          <w:tcPr>
            <w:tcW w:w="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180" w:type="dxa"/>
            <w:vAlign w:val="bottom"/>
            <w:tcBorders>
              <w:top w:val="single" w:sz="8" w:color="0000EE"/>
            </w:tcBorders>
          </w:tcPr>
          <w:p>
            <w:pPr>
              <w:spacing w:after="0"/>
              <w:rPr>
                <w:sz w:val="4"/>
                <w:szCs w:val="4"/>
                <w:color w:val="auto"/>
              </w:rPr>
            </w:pPr>
          </w:p>
        </w:tc>
        <w:tc>
          <w:tcPr>
            <w:tcW w:w="43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0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20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5180" w:type="dxa"/>
            <w:vAlign w:val="bottom"/>
            <w:tcBorders>
              <w:top w:val="single" w:sz="8" w:color="0000EE"/>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 (1)</w:t>
            </w:r>
          </w:p>
        </w:tc>
        <w:tc>
          <w:tcPr>
            <w:tcW w:w="5000" w:type="dxa"/>
            <w:vAlign w:val="bottom"/>
            <w:tcBorders>
              <w:top w:val="single" w:sz="8" w:color="0000EE"/>
              <w:bottom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2"/>
        </w:trPr>
        <w:tc>
          <w:tcPr>
            <w:tcW w:w="10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2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(1)</w:t>
            </w: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5180" w:type="dxa"/>
            <w:vAlign w:val="bottom"/>
            <w:tcBorders>
              <w:top w:val="single" w:sz="8" w:color="0000EE"/>
            </w:tcBorders>
          </w:tcPr>
          <w:p>
            <w:pPr>
              <w:spacing w:after="0"/>
              <w:rPr>
                <w:sz w:val="2"/>
                <w:szCs w:val="2"/>
                <w:color w:val="auto"/>
              </w:rPr>
            </w:pPr>
          </w:p>
        </w:tc>
        <w:tc>
          <w:tcPr>
            <w:tcW w:w="4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20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0000EE"/>
            </w:tcBorders>
            <w:shd w:val="clear" w:color="auto" w:fill="CCEEFF"/>
          </w:tcPr>
          <w:p>
            <w:pPr>
              <w:spacing w:after="0"/>
              <w:rPr>
                <w:sz w:val="2"/>
                <w:szCs w:val="2"/>
                <w:color w:val="auto"/>
              </w:rPr>
            </w:pPr>
          </w:p>
        </w:tc>
        <w:tc>
          <w:tcPr>
            <w:tcW w:w="4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27, 2024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93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27, 2024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93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27, 2024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93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27, 2024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2024</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4"/>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108" Type="http://schemas.openxmlformats.org/officeDocument/2006/relationships/image" Target="media/image58.png"/><Relationship Id="rId63" Type="http://schemas.openxmlformats.org/officeDocument/2006/relationships/hyperlink" Target="https://www.sec.gov/Archives/edgar/data/915779/000091577918000119/exhibit31.htm" TargetMode="External"/><Relationship Id="rId64" Type="http://schemas.openxmlformats.org/officeDocument/2006/relationships/hyperlink" Target="http://www.sec.gov/Archives/edgar/data/915779/000091577918000119/exhibit31.htm" TargetMode="External"/><Relationship Id="rId65" Type="http://schemas.openxmlformats.org/officeDocument/2006/relationships/hyperlink" Target="https://www.sec.gov/Archives/edgar/data/915779/000091577923000007/exhibit31.htm" TargetMode="External"/><Relationship Id="rId66" Type="http://schemas.openxmlformats.org/officeDocument/2006/relationships/hyperlink" Target="https://www.sec.gov/Archives/edgar/data/915779/000091577918000089/dakt_20181116x8-kxex41.htm" TargetMode="External"/><Relationship Id="rId67" Type="http://schemas.openxmlformats.org/officeDocument/2006/relationships/hyperlink" Target="http://www.sec.gov/Archives/edgar/data/915779/000091577918000089/dakt_20181116x8-kxex41.htm" TargetMode="External"/><Relationship Id="rId68" Type="http://schemas.openxmlformats.org/officeDocument/2006/relationships/hyperlink" Target="https://www.sec.gov/Archives/edgar/data/915779/000143774921027158/ex_309612.htm" TargetMode="External"/><Relationship Id="rId69" Type="http://schemas.openxmlformats.org/officeDocument/2006/relationships/hyperlink" Target="http://www.sec.gov/Archives/edgar/data/915779/000143774921027158/ex_309612.htm" TargetMode="External"/><Relationship Id="rId70" Type="http://schemas.openxmlformats.org/officeDocument/2006/relationships/hyperlink" Target="https://www.sec.gov/Archives/edgar/data/915779/000091577916000233/dakt_20161115xex101.htm" TargetMode="External"/><Relationship Id="rId71" Type="http://schemas.openxmlformats.org/officeDocument/2006/relationships/hyperlink" Target="http://www.sec.gov/Archives/edgar/data/915779/000091577916000233/dakt_20161115xex101.htm" TargetMode="External"/><Relationship Id="rId72" Type="http://schemas.openxmlformats.org/officeDocument/2006/relationships/hyperlink" Target="https://www.sec.gov/Archives/edgar/data/915779/000091577916000233/dakt_20161115xex102.htm" TargetMode="External"/><Relationship Id="rId73" Type="http://schemas.openxmlformats.org/officeDocument/2006/relationships/hyperlink" Target="http://www.sec.gov/Archives/edgar/data/915779/000091577916000233/dakt_20161115xex102.htm" TargetMode="External"/><Relationship Id="rId74" Type="http://schemas.openxmlformats.org/officeDocument/2006/relationships/hyperlink" Target="https://www.sec.gov/Archives/edgar/data/915779/000091577919000079/dakt_20191115xex101.htm" TargetMode="External"/><Relationship Id="rId75" Type="http://schemas.openxmlformats.org/officeDocument/2006/relationships/hyperlink" Target="http://www.sec.gov/Archives/edgar/data/915779/000091577919000079/dakt_20191115xex101.htm" TargetMode="External"/><Relationship Id="rId76" Type="http://schemas.openxmlformats.org/officeDocument/2006/relationships/hyperlink" Target="https://www.sec.gov/Archives/edgar/data/915779/000091577920000052/dakt20200801q1ex104.htm" TargetMode="External"/><Relationship Id="rId77" Type="http://schemas.openxmlformats.org/officeDocument/2006/relationships/hyperlink" Target="http://www.sec.gov/Archives/edgar/data/915779/000091577920000052/dakt20200801q1ex104.htm" TargetMode="External"/><Relationship Id="rId78" Type="http://schemas.openxmlformats.org/officeDocument/2006/relationships/hyperlink" Target="https://www.sec.gov/Archives/edgar/data/915779/000143774921014600/ex_246991.htm" TargetMode="External"/><Relationship Id="rId79" Type="http://schemas.openxmlformats.org/officeDocument/2006/relationships/hyperlink" Target="http://www.sec.gov/Archives/edgar/data/915779/000143774921014600/ex_246991.htm" TargetMode="External"/><Relationship Id="rId80" Type="http://schemas.openxmlformats.org/officeDocument/2006/relationships/hyperlink" Target="https://www.sec.gov/Archives/edgar/data/915779/000143774922010278/ex_367356.htm" TargetMode="External"/><Relationship Id="rId81" Type="http://schemas.openxmlformats.org/officeDocument/2006/relationships/hyperlink" Target="https://www.sec.gov/Archives/edgar/data/915779/000091577922000023/exhibit101_08152022credita.htm" TargetMode="External"/><Relationship Id="rId82" Type="http://schemas.openxmlformats.org/officeDocument/2006/relationships/hyperlink" Target="https://www.sec.gov/Archives/edgar/data/915779/000091577922000092/a101amendmenttocreditagree.htm" TargetMode="External"/><Relationship Id="rId83" Type="http://schemas.openxmlformats.org/officeDocument/2006/relationships/hyperlink" Target="https://www.sec.gov/Archives/edgar/data/915779/000091577922000115/a101sixthamendmenttocredit.htm" TargetMode="External"/><Relationship Id="rId84" Type="http://schemas.openxmlformats.org/officeDocument/2006/relationships/hyperlink" Target="https://www.sec.gov/Archives/edgar/data/915779/000091577923000003/exhibit101_seventhamendment.htm" TargetMode="External"/><Relationship Id="rId85" Type="http://schemas.openxmlformats.org/officeDocument/2006/relationships/hyperlink" Target="https://www.sec.gov/Archives/edgar/data/915779/000091577920000052/dakt20200801q1ex105.htm" TargetMode="External"/><Relationship Id="rId86" Type="http://schemas.openxmlformats.org/officeDocument/2006/relationships/hyperlink" Target="http://www.sec.gov/Archives/edgar/data/915779/000091577920000052/dakt20200801q1ex105.htm" TargetMode="External"/><Relationship Id="rId87" Type="http://schemas.openxmlformats.org/officeDocument/2006/relationships/hyperlink" Target="https://www.sec.gov/Archives/edgar/data/915779/000091577920000033/dakt-20200502_defx14a.htm" TargetMode="External"/><Relationship Id="rId88" Type="http://schemas.openxmlformats.org/officeDocument/2006/relationships/hyperlink" Target="http://www.sec.gov/Archives/edgar/data/915779/000091577920000033/dakt-20200502_defx14a.htm" TargetMode="External"/><Relationship Id="rId89" Type="http://schemas.openxmlformats.org/officeDocument/2006/relationships/hyperlink" Target="https://www.sec.gov/Archives/edgar/data/915779/000091577920000054/daktex1028-ksom2020.htm" TargetMode="External"/><Relationship Id="rId90" Type="http://schemas.openxmlformats.org/officeDocument/2006/relationships/hyperlink" Target="http://www.sec.gov/Archives/edgar/data/915779/000091577920000054/daktex1028-ksom2020.htm" TargetMode="External"/><Relationship Id="rId91" Type="http://schemas.openxmlformats.org/officeDocument/2006/relationships/hyperlink" Target="https://www.sec.gov/Archives/edgar/data/915779/000091577920000054/daktex1038-ksom2020.htm" TargetMode="External"/><Relationship Id="rId92" Type="http://schemas.openxmlformats.org/officeDocument/2006/relationships/hyperlink" Target="http://www.sec.gov/Archives/edgar/data/915779/000091577920000054/daktex1038-ksom2020.htm" TargetMode="External"/><Relationship Id="rId93" Type="http://schemas.openxmlformats.org/officeDocument/2006/relationships/hyperlink" Target="https://www.sec.gov/Archives/edgar/data/915779/000091577920000054/daktex1048-ksom2020.htm" TargetMode="External"/><Relationship Id="rId94" Type="http://schemas.openxmlformats.org/officeDocument/2006/relationships/hyperlink" Target="http://www.sec.gov/Archives/edgar/data/915779/000091577920000054/daktex1048-ksom2020.htm" TargetMode="External"/><Relationship Id="rId95" Type="http://schemas.openxmlformats.org/officeDocument/2006/relationships/hyperlink" Target="https://www.sec.gov/Archives/edgar/data/915779/000091577920000054/daktex1058-ksom2020.htm" TargetMode="External"/><Relationship Id="rId96" Type="http://schemas.openxmlformats.org/officeDocument/2006/relationships/hyperlink" Target="http://www.sec.gov/Archives/edgar/data/915779/000091577920000054/daktex1058-ksom2020.htm" TargetMode="External"/><Relationship Id="rId97" Type="http://schemas.openxmlformats.org/officeDocument/2006/relationships/hyperlink" Target="https://www.sec.gov/Archives/edgar/data/915779/000091577922000010/exhibit101_071822.htm" TargetMode="External"/><Relationship Id="rId98" Type="http://schemas.openxmlformats.org/officeDocument/2006/relationships/hyperlink" Target="https://www.sec.gov/Archives/edgar/data/915779/000091577923000022/seniorsecondliensecuredcon.htm" TargetMode="External"/><Relationship Id="rId99" Type="http://schemas.openxmlformats.org/officeDocument/2006/relationships/hyperlink" Target="https://www.sec.gov/Archives/edgar/data/915779/000091577923000029/exhibit101toformexecuted.htm" TargetMode="External"/><Relationship Id="rId100" Type="http://schemas.openxmlformats.org/officeDocument/2006/relationships/hyperlink" Target="https://www.sec.gov/Archives/edgar/data/915779/000091577923000029/exhibit102toformexecuted.htm" TargetMode="External"/><Relationship Id="rId101" Type="http://schemas.openxmlformats.org/officeDocument/2006/relationships/hyperlink" Target="https://www.sec.gov/Archives/edgar/data/915779/000091577923000029/exhibit103toform_execute.htm" TargetMode="External"/><Relationship Id="rId102" Type="http://schemas.openxmlformats.org/officeDocument/2006/relationships/hyperlink" Target="https://www.sec.gov/Archives/edgar/data/915779/000091577923000029/exhibit104toform_execute.htm" TargetMode="External"/><Relationship Id="rId103" Type="http://schemas.openxmlformats.org/officeDocument/2006/relationships/hyperlink" Target="https://www.sec.gov/Archives/edgar/data/915779/000091577923000029/exhibit105toform_execute.htm" TargetMode="External"/><Relationship Id="rId104" Type="http://schemas.openxmlformats.org/officeDocument/2006/relationships/hyperlink" Target="https://www.sec.gov/Archives/edgar/data/915779/000091577923000029/exhibit106toform_execute.htm" TargetMode="External"/><Relationship Id="rId105" Type="http://schemas.openxmlformats.org/officeDocument/2006/relationships/hyperlink" Target="https://www.sec.gov/Archives/edgar/data/915779/000091577923000029/exhibit107toform_execu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2024-02-28T09:57:57Z</dcterms:created>
  <dcterms:modified xsi:type="dcterms:W3CDTF">2024-02-28T09:57:57Z</dcterms:modified>
</cp:coreProperties>
</file>