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240" w:after="283"/>
        <w:jc w:val="center"/>
        <w:rPr/>
      </w:pPr>
      <w:r>
        <w:rPr>
          <w:rFonts w:ascii="Times New Roman;serif" w:hAnsi="Times New Roman;serif"/>
          <w:b/>
          <w:color w:val="000000"/>
          <w:sz w:val="20"/>
        </w:rPr>
        <w:t>Date of Report (Date of earliest event reported):</w:t>
      </w:r>
      <w:r>
        <w:rPr>
          <w:color w:val="000000"/>
        </w:rPr>
        <w:t xml:space="preserve"> </w:t>
      </w:r>
      <w:r>
        <w:rPr>
          <w:rFonts w:ascii="Times New Roman;serif" w:hAnsi="Times New Roman;serif"/>
          <w:b w:val="false"/>
          <w:color w:val="000000"/>
          <w:sz w:val="20"/>
        </w:rPr>
        <w:t>September 16,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drawing>
          <wp:inline distT="0" distB="0" distL="0" distR="0">
            <wp:extent cx="1219200"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 cy="752475"/>
                    </a:xfrm>
                    <a:prstGeom prst="rect">
                      <a:avLst/>
                    </a:prstGeom>
                  </pic:spPr>
                </pic:pic>
              </a:graphicData>
            </a:graphic>
          </wp:inline>
        </w:drawing>
      </w:r>
      <w:bookmarkStart w:id="0" w:name="i-1"/>
      <w:bookmarkEnd w:id="0"/>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Daktronics,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294" w:type="dxa"/>
        <w:jc w:val="left"/>
        <w:tblInd w:w="0" w:type="dxa"/>
        <w:tblLayout w:type="fixed"/>
        <w:tblCellMar>
          <w:top w:w="28" w:type="dxa"/>
          <w:left w:w="28" w:type="dxa"/>
          <w:bottom w:w="28" w:type="dxa"/>
          <w:right w:w="28" w:type="dxa"/>
        </w:tblCellMar>
      </w:tblPr>
      <w:tblGrid>
        <w:gridCol w:w="889"/>
        <w:gridCol w:w="781"/>
        <w:gridCol w:w="789"/>
        <w:gridCol w:w="394"/>
        <w:gridCol w:w="394"/>
        <w:gridCol w:w="398"/>
        <w:gridCol w:w="481"/>
        <w:gridCol w:w="481"/>
        <w:gridCol w:w="687"/>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001-38747</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46-0306862</w:t>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201 Daktronics Drive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Brookings, SD 57006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(605) 692-0200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93" w:type="dxa"/>
        <w:jc w:val="left"/>
        <w:tblInd w:w="0" w:type="dxa"/>
        <w:tblLayout w:type="fixed"/>
        <w:tblCellMar>
          <w:top w:w="28" w:type="dxa"/>
          <w:left w:w="28" w:type="dxa"/>
          <w:bottom w:w="28" w:type="dxa"/>
          <w:right w:w="28" w:type="dxa"/>
        </w:tblCellMar>
      </w:tblPr>
      <w:tblGrid>
        <w:gridCol w:w="1111"/>
        <w:gridCol w:w="976"/>
        <w:gridCol w:w="987"/>
        <w:gridCol w:w="564"/>
        <w:gridCol w:w="564"/>
        <w:gridCol w:w="566"/>
        <w:gridCol w:w="1118"/>
        <w:gridCol w:w="1118"/>
        <w:gridCol w:w="1589"/>
      </w:tblGrid>
      <w:tr>
        <w:trPr/>
        <w:tc>
          <w:tcPr>
            <w:tcW w:w="11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0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Common Stock, $0.00001 Par Value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DAKT</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40" w:after="283"/>
        <w:jc w:val="both"/>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4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Item 5.02 Departure of Directors or Certain Officers; Election of Directors; Appointment of Certain Officers; Compensatory Arrangements of Certain Officers. </w:t>
      </w:r>
    </w:p>
    <w:p>
      <w:pPr>
        <w:pStyle w:val="TextBody"/>
        <w:bidi w:val="0"/>
        <w:spacing w:before="0" w:after="2"/>
        <w:jc w:val="left"/>
        <w:rPr/>
      </w:pPr>
      <w:r>
        <w:rPr/>
      </w:r>
    </w:p>
    <w:p>
      <w:pPr>
        <w:pStyle w:val="TextBody"/>
        <w:bidi w:val="0"/>
        <w:spacing w:lineRule="auto" w:line="288" w:before="0" w:after="2"/>
        <w:jc w:val="both"/>
        <w:rPr/>
      </w:pPr>
      <w:r>
        <w:rPr>
          <w:rFonts w:ascii="Times New Roman;serif" w:hAnsi="Times New Roman;serif"/>
          <w:b w:val="false"/>
          <w:color w:val="000000"/>
          <w:sz w:val="20"/>
        </w:rPr>
        <w:t>On September 17, 2026 the Board of Directors (the “</w:t>
      </w:r>
      <w:r>
        <w:rPr>
          <w:rFonts w:ascii="Times New Roman;serif" w:hAnsi="Times New Roman;serif"/>
          <w:b/>
          <w:i/>
          <w:color w:val="000000"/>
          <w:sz w:val="20"/>
        </w:rPr>
        <w:t>Board</w:t>
      </w:r>
      <w:r>
        <w:rPr>
          <w:color w:val="000000"/>
        </w:rPr>
        <w:t>”</w:t>
      </w:r>
      <w:r>
        <w:rPr>
          <w:rFonts w:ascii="Times New Roman;serif" w:hAnsi="Times New Roman;serif"/>
          <w:b w:val="false"/>
          <w:color w:val="000000"/>
          <w:sz w:val="20"/>
        </w:rPr>
        <w:t>) of Daktronics, Inc., a Delaware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following the recommendation of the Compensation Committee of the Board, approved an increase in the base salary for our Acting Chief Financial Officer, Howard Atkins. Mr. Atkins’ base salary increased to $1,200,000 annually, effective September 27, 2026. The Board also approved a one-time RSU grant to Mr. Atkins with a grant date fair value of $170,000 in recognition of his continued service as Acting Chief Financial Officer. The RSUs granted will vest pro-rata over a three-year period beginning on the date set forth in the applicable award notice, so long as Mr. Atkins remains continuously employed by the Company or a subsidiary of the Company through each such vesting date; provided however, that the RSUs will become fully vested on the date that the Board appoints a permanent Chief Financial Officer.</w:t>
      </w:r>
    </w:p>
    <w:p>
      <w:pPr>
        <w:pStyle w:val="TextBody"/>
        <w:bidi w:val="0"/>
        <w:spacing w:before="0" w:after="2"/>
        <w:jc w:val="both"/>
        <w:rPr/>
      </w:pPr>
      <w:r>
        <w:rPr/>
      </w:r>
    </w:p>
    <w:p>
      <w:pPr>
        <w:pStyle w:val="TextBody"/>
        <w:bidi w:val="0"/>
        <w:spacing w:before="0" w:after="2"/>
        <w:jc w:val="both"/>
        <w:rPr/>
      </w:pPr>
      <w:r>
        <w:rPr/>
      </w:r>
    </w:p>
    <w:p>
      <w:pPr>
        <w:pStyle w:val="TextBody"/>
        <w:bidi w:val="0"/>
        <w:spacing w:lineRule="auto" w:line="288" w:before="0" w:after="2"/>
        <w:jc w:val="both"/>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2"/>
        <w:jc w:val="left"/>
        <w:rPr/>
      </w:pPr>
      <w:r>
        <w:rPr/>
      </w:r>
    </w:p>
    <w:p>
      <w:pPr>
        <w:pStyle w:val="TextBody"/>
        <w:bidi w:val="0"/>
        <w:spacing w:lineRule="auto" w:line="288" w:before="0" w:after="2"/>
        <w:ind w:left="0" w:right="0" w:hanging="360"/>
        <w:jc w:val="both"/>
        <w:rPr/>
      </w:pPr>
      <w:r>
        <w:rPr>
          <w:rFonts w:ascii="Times New Roman;serif" w:hAnsi="Times New Roman;serif"/>
          <w:b w:val="false"/>
          <w:color w:val="000000"/>
          <w:sz w:val="20"/>
        </w:rPr>
        <w:t>(a)    On September 16, 2026, the Company held its 2026 Annual Meeting of Stockholders (the “</w:t>
      </w:r>
      <w:r>
        <w:rPr>
          <w:rFonts w:ascii="Times New Roman;serif" w:hAnsi="Times New Roman;serif"/>
          <w:b/>
          <w:i/>
          <w:color w:val="000000"/>
          <w:sz w:val="20"/>
        </w:rPr>
        <w:t>2026 Annual Meeting</w:t>
      </w:r>
      <w:r>
        <w:rPr>
          <w:color w:val="000000"/>
        </w:rPr>
        <w:t>”</w:t>
      </w:r>
      <w:r>
        <w:rPr>
          <w:rFonts w:ascii="Times New Roman;serif" w:hAnsi="Times New Roman;serif"/>
          <w:b w:val="false"/>
          <w:color w:val="000000"/>
          <w:sz w:val="20"/>
        </w:rPr>
        <w:t>). Of the 48,305,826 shares of the Company's common stock outstanding and entitled to vote at the 2026 Annual Meeting, 44,996,443 shares, or 93.2 percent, which constituted a quorum, were represented in person or by proxy at the 2026 Annual Meeting.</w:t>
      </w:r>
    </w:p>
    <w:p>
      <w:pPr>
        <w:pStyle w:val="TextBody"/>
        <w:bidi w:val="0"/>
        <w:spacing w:lineRule="auto" w:line="288" w:before="60" w:after="2"/>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Three proposals were voted on at the 2026 Annual Meeting. The proposals are described in more detail in the Proxy Statement. The final results of the votes on the proposals at the 2026 Annual Meeting were as follows:</w:t>
      </w:r>
    </w:p>
    <w:p>
      <w:pPr>
        <w:pStyle w:val="TextBody"/>
        <w:bidi w:val="0"/>
        <w:spacing w:lineRule="auto" w:line="288" w:before="240" w:after="2"/>
        <w:jc w:val="both"/>
        <w:rPr/>
      </w:pPr>
      <w:r>
        <w:rPr>
          <w:rFonts w:ascii="Times New Roman;serif" w:hAnsi="Times New Roman;serif"/>
          <w:b/>
          <w:color w:val="000000"/>
          <w:sz w:val="20"/>
        </w:rPr>
        <w:t>Proposal 1. Election of Directors.</w:t>
      </w:r>
      <w:r>
        <w:rPr>
          <w:color w:val="000000"/>
        </w:rPr>
        <w:t xml:space="preserve"> </w:t>
      </w:r>
      <w:r>
        <w:rPr>
          <w:rFonts w:ascii="Times New Roman;serif" w:hAnsi="Times New Roman;serif"/>
          <w:b w:val="false"/>
          <w:color w:val="000000"/>
          <w:sz w:val="20"/>
        </w:rPr>
        <w:t>Each of the following individuals was elected as a director of the Company to serve a three-year term that expires on the date of the Annual Meeting of Stockholders in 2029 or until his or her successor is duly elected and qualified:</w:t>
      </w:r>
    </w:p>
    <w:p>
      <w:pPr>
        <w:pStyle w:val="TextBody"/>
        <w:bidi w:val="0"/>
        <w:spacing w:before="0" w:after="2"/>
        <w:jc w:val="both"/>
        <w:rPr/>
      </w:pPr>
      <w:r>
        <w:rPr/>
      </w:r>
    </w:p>
    <w:tbl>
      <w:tblPr>
        <w:tblW w:w="7955" w:type="dxa"/>
        <w:jc w:val="left"/>
        <w:tblInd w:w="0" w:type="dxa"/>
        <w:tblLayout w:type="fixed"/>
        <w:tblCellMar>
          <w:top w:w="28" w:type="dxa"/>
          <w:left w:w="28" w:type="dxa"/>
          <w:bottom w:w="28" w:type="dxa"/>
          <w:right w:w="28" w:type="dxa"/>
        </w:tblCellMar>
      </w:tblPr>
      <w:tblGrid>
        <w:gridCol w:w="726"/>
        <w:gridCol w:w="639"/>
        <w:gridCol w:w="644"/>
        <w:gridCol w:w="109"/>
        <w:gridCol w:w="109"/>
        <w:gridCol w:w="109"/>
        <w:gridCol w:w="354"/>
        <w:gridCol w:w="354"/>
        <w:gridCol w:w="328"/>
        <w:gridCol w:w="144"/>
        <w:gridCol w:w="144"/>
        <w:gridCol w:w="144"/>
        <w:gridCol w:w="308"/>
        <w:gridCol w:w="308"/>
        <w:gridCol w:w="315"/>
        <w:gridCol w:w="144"/>
        <w:gridCol w:w="144"/>
        <w:gridCol w:w="144"/>
        <w:gridCol w:w="259"/>
        <w:gridCol w:w="259"/>
        <w:gridCol w:w="263"/>
        <w:gridCol w:w="109"/>
        <w:gridCol w:w="109"/>
        <w:gridCol w:w="109"/>
        <w:gridCol w:w="492"/>
        <w:gridCol w:w="492"/>
        <w:gridCol w:w="696"/>
      </w:tblGrid>
      <w:tr>
        <w:trPr/>
        <w:tc>
          <w:tcPr>
            <w:tcW w:w="72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Number of Shares Voted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Director 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For</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Against</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Dr. Lance D. Bultena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37,807,443</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746,452</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120,869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6,321,679</w:t>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Dr. José-Marie Griffiths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36,672,583</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1,826,527</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175,651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6,321,679</w:t>
            </w:r>
          </w:p>
        </w:tc>
      </w:tr>
    </w:tbl>
    <w:p>
      <w:pPr>
        <w:pStyle w:val="TextBody"/>
        <w:bidi w:val="0"/>
        <w:spacing w:before="0" w:after="2"/>
        <w:jc w:val="left"/>
        <w:rPr/>
      </w:pPr>
      <w:r>
        <w:rPr/>
      </w:r>
    </w:p>
    <w:p>
      <w:pPr>
        <w:pStyle w:val="TextBody"/>
        <w:bidi w:val="0"/>
        <w:spacing w:before="0" w:after="0"/>
        <w:jc w:val="both"/>
        <w:rPr/>
      </w:pPr>
      <w:r>
        <w:rPr/>
      </w:r>
    </w:p>
    <w:p>
      <w:pPr>
        <w:pStyle w:val="TextBody"/>
        <w:bidi w:val="0"/>
        <w:spacing w:lineRule="auto" w:line="288" w:before="0" w:after="2"/>
        <w:jc w:val="both"/>
        <w:rPr/>
      </w:pPr>
      <w:r>
        <w:rPr>
          <w:rFonts w:ascii="Times New Roman;serif" w:hAnsi="Times New Roman;serif"/>
          <w:b/>
          <w:color w:val="000000"/>
          <w:sz w:val="20"/>
        </w:rPr>
        <w:t xml:space="preserve">Proposal 2. Advisory (non-binding) approval of the Company's compensation of its named executive officers. </w:t>
      </w:r>
      <w:r>
        <w:rPr>
          <w:rFonts w:ascii="Times New Roman;serif" w:hAnsi="Times New Roman;serif"/>
          <w:b w:val="false"/>
          <w:color w:val="000000"/>
          <w:sz w:val="20"/>
        </w:rPr>
        <w:t>The stockholders approved, on an advisory and non-binding basis, the compensation of the Company's named executive officers as follows:</w:t>
      </w:r>
    </w:p>
    <w:p>
      <w:pPr>
        <w:pStyle w:val="TextBody"/>
        <w:bidi w:val="0"/>
        <w:spacing w:before="0" w:after="0"/>
        <w:jc w:val="both"/>
        <w:rPr/>
      </w:pPr>
      <w:r>
        <w:rPr/>
      </w:r>
    </w:p>
    <w:tbl>
      <w:tblPr>
        <w:tblW w:w="5628" w:type="dxa"/>
        <w:jc w:val="left"/>
        <w:tblInd w:w="0" w:type="dxa"/>
        <w:tblLayout w:type="fixed"/>
        <w:tblCellMar>
          <w:top w:w="28" w:type="dxa"/>
          <w:left w:w="28" w:type="dxa"/>
          <w:bottom w:w="28" w:type="dxa"/>
          <w:right w:w="28" w:type="dxa"/>
        </w:tblCellMar>
      </w:tblPr>
      <w:tblGrid>
        <w:gridCol w:w="392"/>
        <w:gridCol w:w="344"/>
        <w:gridCol w:w="315"/>
        <w:gridCol w:w="143"/>
        <w:gridCol w:w="143"/>
        <w:gridCol w:w="143"/>
        <w:gridCol w:w="309"/>
        <w:gridCol w:w="309"/>
        <w:gridCol w:w="313"/>
        <w:gridCol w:w="143"/>
        <w:gridCol w:w="143"/>
        <w:gridCol w:w="143"/>
        <w:gridCol w:w="259"/>
        <w:gridCol w:w="259"/>
        <w:gridCol w:w="263"/>
        <w:gridCol w:w="109"/>
        <w:gridCol w:w="109"/>
        <w:gridCol w:w="109"/>
        <w:gridCol w:w="492"/>
        <w:gridCol w:w="492"/>
        <w:gridCol w:w="696"/>
      </w:tblGrid>
      <w:tr>
        <w:trPr/>
        <w:tc>
          <w:tcPr>
            <w:tcW w:w="39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3621" w:type="dxa"/>
            <w:gridSpan w:val="15"/>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Number of Shares Voted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For</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Against</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35,223,706</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3,209,139</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241,919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6,321,679</w:t>
            </w:r>
          </w:p>
        </w:tc>
      </w:tr>
    </w:tbl>
    <w:p>
      <w:pPr>
        <w:pStyle w:val="TextBody"/>
        <w:bidi w:val="0"/>
        <w:spacing w:before="0" w:after="2"/>
        <w:jc w:val="left"/>
        <w:rPr/>
      </w:pPr>
      <w:r>
        <w:rPr/>
      </w:r>
    </w:p>
    <w:p>
      <w:pPr>
        <w:pStyle w:val="TextBody"/>
        <w:bidi w:val="0"/>
        <w:spacing w:before="0" w:after="2"/>
        <w:jc w:val="both"/>
        <w:rPr/>
      </w:pPr>
      <w:r>
        <w:rPr/>
      </w:r>
    </w:p>
    <w:p>
      <w:pPr>
        <w:pStyle w:val="TextBody"/>
        <w:bidi w:val="0"/>
        <w:spacing w:lineRule="auto" w:line="288" w:before="0" w:after="2"/>
        <w:jc w:val="both"/>
        <w:rPr/>
      </w:pPr>
      <w:r>
        <w:rPr>
          <w:rFonts w:ascii="Times New Roman;serif" w:hAnsi="Times New Roman;serif"/>
          <w:b/>
          <w:color w:val="000000"/>
          <w:sz w:val="20"/>
        </w:rPr>
        <w:t>Proposal 3. Ratification of Appointment of Independent Registered Public Accounting Firm.</w:t>
      </w:r>
      <w:r>
        <w:rPr>
          <w:color w:val="000000"/>
        </w:rPr>
        <w:t xml:space="preserve"> </w:t>
      </w:r>
      <w:r>
        <w:rPr>
          <w:rFonts w:ascii="Times New Roman;serif" w:hAnsi="Times New Roman;serif"/>
          <w:b w:val="false"/>
          <w:color w:val="000000"/>
          <w:sz w:val="20"/>
        </w:rPr>
        <w:t>The appointment of Deloitte &amp; Touche LLP as the Company's independent registered public accounting firm for the Company's 2027 fiscal year was ratified as follows:</w:t>
      </w:r>
    </w:p>
    <w:p>
      <w:pPr>
        <w:pStyle w:val="TextBody"/>
        <w:bidi w:val="0"/>
        <w:spacing w:before="0" w:after="2"/>
        <w:jc w:val="both"/>
        <w:rPr/>
      </w:pPr>
      <w:r>
        <w:rPr/>
      </w:r>
    </w:p>
    <w:tbl>
      <w:tblPr>
        <w:tblW w:w="5448" w:type="dxa"/>
        <w:jc w:val="left"/>
        <w:tblInd w:w="0" w:type="dxa"/>
        <w:tblLayout w:type="fixed"/>
        <w:tblCellMar>
          <w:top w:w="28" w:type="dxa"/>
          <w:left w:w="28" w:type="dxa"/>
          <w:bottom w:w="28" w:type="dxa"/>
          <w:right w:w="28" w:type="dxa"/>
        </w:tblCellMar>
      </w:tblPr>
      <w:tblGrid>
        <w:gridCol w:w="392"/>
        <w:gridCol w:w="344"/>
        <w:gridCol w:w="315"/>
        <w:gridCol w:w="143"/>
        <w:gridCol w:w="143"/>
        <w:gridCol w:w="143"/>
        <w:gridCol w:w="259"/>
        <w:gridCol w:w="259"/>
        <w:gridCol w:w="263"/>
        <w:gridCol w:w="143"/>
        <w:gridCol w:w="143"/>
        <w:gridCol w:w="143"/>
        <w:gridCol w:w="250"/>
        <w:gridCol w:w="250"/>
        <w:gridCol w:w="251"/>
        <w:gridCol w:w="109"/>
        <w:gridCol w:w="109"/>
        <w:gridCol w:w="109"/>
        <w:gridCol w:w="492"/>
        <w:gridCol w:w="492"/>
        <w:gridCol w:w="696"/>
      </w:tblGrid>
      <w:tr>
        <w:trPr/>
        <w:tc>
          <w:tcPr>
            <w:tcW w:w="39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3441" w:type="dxa"/>
            <w:gridSpan w:val="15"/>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Number of Shares Voted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For</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Against</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44,023,266</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916,770</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56,407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color w:val="000000"/>
              </w:rPr>
            </w:pPr>
            <w:r>
              <w:rPr>
                <w:color w:val="000000"/>
              </w:rPr>
              <w:t>—</w:t>
            </w:r>
          </w:p>
        </w:tc>
      </w:tr>
    </w:tbl>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2"/>
        <w:jc w:val="left"/>
        <w:rPr/>
      </w:pPr>
      <w:r>
        <w:rPr/>
      </w:r>
    </w:p>
    <w:p>
      <w:pPr>
        <w:pStyle w:val="TextBody"/>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tbl>
      <w:tblPr>
        <w:tblW w:w="799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3"/>
        <w:gridCol w:w="1933"/>
        <w:gridCol w:w="273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343" w:type="dxa"/>
        <w:jc w:val="left"/>
        <w:tblInd w:w="0" w:type="dxa"/>
        <w:tblLayout w:type="fixed"/>
        <w:tblCellMar>
          <w:top w:w="28" w:type="dxa"/>
          <w:left w:w="28" w:type="dxa"/>
          <w:bottom w:w="28" w:type="dxa"/>
          <w:right w:w="28" w:type="dxa"/>
        </w:tblCellMar>
      </w:tblPr>
      <w:tblGrid>
        <w:gridCol w:w="802"/>
        <w:gridCol w:w="707"/>
        <w:gridCol w:w="711"/>
        <w:gridCol w:w="326"/>
        <w:gridCol w:w="326"/>
        <w:gridCol w:w="326"/>
        <w:gridCol w:w="1499"/>
        <w:gridCol w:w="1499"/>
        <w:gridCol w:w="2147"/>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DAKTRONICS,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3" w:type="dxa"/>
            <w:gridSpan w:val="6"/>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By: /s/ Howard I. Atkins</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Howard I. Atkins, Acting Chief Financial Officer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18, 2026</w:t>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819</Words>
  <Characters>4553</Characters>
  <CharactersWithSpaces>5281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