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60" w:right="3060" w:hanging="4143"/>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January 27,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34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0760" w:type="dxa"/>
            <w:vAlign w:val="bottom"/>
            <w:gridSpan w:val="4"/>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South Dakota</w:t>
            </w:r>
          </w:p>
        </w:tc>
        <w:tc>
          <w:tcPr>
            <w:tcW w:w="6380" w:type="dxa"/>
            <w:vAlign w:val="bottom"/>
            <w:gridSpan w:val="3"/>
          </w:tcPr>
          <w:p>
            <w:pPr>
              <w:jc w:val="right"/>
              <w:ind w:right="215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3"/>
        </w:trPr>
        <w:tc>
          <w:tcPr>
            <w:tcW w:w="4380" w:type="dxa"/>
            <w:vAlign w:val="bottom"/>
          </w:tcPr>
          <w:p>
            <w:pPr>
              <w:jc w:val="center"/>
              <w:ind w:left="799"/>
              <w:spacing w:after="0"/>
              <w:rPr>
                <w:sz w:val="20"/>
                <w:szCs w:val="20"/>
                <w:color w:val="auto"/>
              </w:rPr>
            </w:pPr>
            <w:r>
              <w:rPr>
                <w:rFonts w:ascii="Arial" w:cs="Arial" w:eastAsia="Arial" w:hAnsi="Arial"/>
                <w:sz w:val="16"/>
                <w:szCs w:val="16"/>
                <w:color w:val="auto"/>
                <w:w w:val="93"/>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4"/>
              </w:rPr>
              <w:t>Incorporation or Organization)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05"/>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2"/>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0"/>
        </w:trPr>
        <w:tc>
          <w:tcPr>
            <w:tcW w:w="438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Brookings, SD</w:t>
            </w:r>
          </w:p>
        </w:tc>
        <w:tc>
          <w:tcPr>
            <w:tcW w:w="638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3"/>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(605) 692-0200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26, 2018 was 44,474,202.</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January 27, 2018</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40" w:type="dxa"/>
            <w:vAlign w:val="bottom"/>
            <w:gridSpan w:val="1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January 27, 2018 (unaudited) and April 29, 2017</w:t>
              </w:r>
            </w:hyperlink>
          </w:p>
        </w:tc>
        <w:tc>
          <w:tcPr>
            <w:tcW w:w="204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January 27, 2018 and</w:t>
              </w:r>
            </w:hyperlink>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January 28, 2017 (unaudited)</w:t>
              </w:r>
            </w:hyperlink>
          </w:p>
        </w:tc>
        <w:tc>
          <w:tcPr>
            <w:tcW w:w="1100" w:type="dxa"/>
            <w:vAlign w:val="bottom"/>
            <w:gridSpan w:val="3"/>
          </w:tcPr>
          <w:p>
            <w:pPr>
              <w:ind w:left="9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for the Three and Nine Months Ended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27, 2018 and January 28, 2017 (unaudited)</w:t>
              </w:r>
            </w:hyperlink>
          </w:p>
        </w:tc>
        <w:tc>
          <w:tcPr>
            <w:tcW w:w="960" w:type="dxa"/>
            <w:vAlign w:val="bottom"/>
            <w:gridSpan w:val="2"/>
          </w:tcPr>
          <w:p>
            <w:pPr>
              <w:spacing w:after="0"/>
              <w:rPr>
                <w:sz w:val="17"/>
                <w:szCs w:val="17"/>
                <w:color w:val="auto"/>
              </w:rPr>
            </w:pPr>
          </w:p>
        </w:tc>
        <w:tc>
          <w:tcPr>
            <w:tcW w:w="1100" w:type="dxa"/>
            <w:vAlign w:val="bottom"/>
            <w:gridSpan w:val="3"/>
          </w:tcPr>
          <w:p>
            <w:pPr>
              <w:ind w:left="9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January 27, 2018 and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28, 2017 (unaudited)</w:t>
              </w:r>
            </w:hyperlink>
          </w:p>
        </w:tc>
        <w:tc>
          <w:tcPr>
            <w:tcW w:w="5560" w:type="dxa"/>
            <w:vAlign w:val="bottom"/>
            <w:tcBorders>
              <w:top w:val="single" w:sz="8" w:color="0000EE"/>
            </w:tcBorders>
            <w:gridSpan w:val="8"/>
          </w:tcPr>
          <w:p>
            <w:pPr>
              <w:spacing w:after="0"/>
              <w:rPr>
                <w:sz w:val="17"/>
                <w:szCs w:val="17"/>
                <w:color w:val="auto"/>
              </w:rPr>
            </w:pPr>
          </w:p>
        </w:tc>
        <w:tc>
          <w:tcPr>
            <w:tcW w:w="10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864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260" w:type="dxa"/>
            <w:vAlign w:val="bottom"/>
            <w:gridSpan w:val="4"/>
          </w:tcPr>
          <w:p>
            <w:pPr>
              <w:ind w:left="9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64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260" w:type="dxa"/>
            <w:vAlign w:val="bottom"/>
            <w:gridSpan w:val="4"/>
          </w:tcPr>
          <w:p>
            <w:pPr>
              <w:ind w:left="9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8640" w:type="dxa"/>
            <w:vAlign w:val="bottom"/>
            <w:gridSpan w:val="1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Other Information</w:t>
              </w:r>
            </w:hyperlink>
          </w:p>
        </w:tc>
        <w:tc>
          <w:tcPr>
            <w:tcW w:w="1260" w:type="dxa"/>
            <w:vAlign w:val="bottom"/>
            <w:gridSpan w:val="4"/>
          </w:tcPr>
          <w:p>
            <w:pPr>
              <w:ind w:left="9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Legal Proceedings</w:t>
              </w:r>
            </w:hyperlink>
          </w:p>
        </w:tc>
        <w:tc>
          <w:tcPr>
            <w:tcW w:w="7200" w:type="dxa"/>
            <w:vAlign w:val="bottom"/>
            <w:gridSpan w:val="14"/>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774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4280" w:type="dxa"/>
            <w:vAlign w:val="bottom"/>
            <w:gridSpan w:val="6"/>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1260" w:type="dxa"/>
            <w:vAlign w:val="bottom"/>
            <w:gridSpan w:val="4"/>
          </w:tcPr>
          <w:p>
            <w:pPr>
              <w:ind w:left="9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Mine Safety Disclosures</w:t>
              </w:r>
            </w:hyperlink>
          </w:p>
        </w:tc>
        <w:tc>
          <w:tcPr>
            <w:tcW w:w="6880" w:type="dxa"/>
            <w:vAlign w:val="bottom"/>
            <w:gridSpan w:val="12"/>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864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864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6">
              <w:r>
                <w:rPr>
                  <w:rFonts w:ascii="Arial" w:cs="Arial" w:eastAsia="Arial" w:hAnsi="Arial"/>
                  <w:sz w:val="18"/>
                  <w:szCs w:val="18"/>
                  <w:b w:val="1"/>
                  <w:bCs w:val="1"/>
                  <w:color w:val="0000FF"/>
                  <w:w w:val="83"/>
                </w:rPr>
                <w:t>Signatures</w:t>
              </w:r>
            </w:hyperlink>
          </w:p>
        </w:tc>
        <w:tc>
          <w:tcPr>
            <w:tcW w:w="864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7">
              <w:r>
                <w:rPr>
                  <w:rFonts w:ascii="Arial" w:cs="Arial" w:eastAsia="Arial" w:hAnsi="Arial"/>
                  <w:sz w:val="18"/>
                  <w:szCs w:val="18"/>
                  <w:b w:val="1"/>
                  <w:bCs w:val="1"/>
                  <w:color w:val="0000FF"/>
                  <w:w w:val="90"/>
                </w:rPr>
                <w:t>Index to Exhibits</w:t>
              </w:r>
            </w:hyperlink>
          </w:p>
        </w:tc>
        <w:tc>
          <w:tcPr>
            <w:tcW w:w="8140" w:type="dxa"/>
            <w:vAlign w:val="bottom"/>
            <w:gridSpan w:val="18"/>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78,846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36,403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7,553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257,725</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65,935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84,189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223,941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166,117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157,192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356,026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27,</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25,033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10,897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130,595</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5,434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157,147</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44,778,945 and 44,372,357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January 27, 2018 and April 29, 2017,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52,530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113,967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shares at January 27, 2018 and April 29, 2017,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356,026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27,</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January 28,</w:t>
            </w:r>
          </w:p>
        </w:tc>
      </w:t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442,857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101,749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92,403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356,536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336,166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106,691</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15,271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45,560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45,828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8,299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26,294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21,142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97,992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92,977</w:t>
            </w: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17,825</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13,714</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13,849</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2,482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8,371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9,372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44,518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44,102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44,403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44,071</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44,798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44,206</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27,</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27,</w:t>
            </w: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January 28,</w:t>
            </w: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8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11,578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6089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1" w:right="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45,387</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equity investment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20,057</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32,839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28,526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49,070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7,449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57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57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Daktronics, Inc. and subsidiaries (the “Company”, “Daktronics”, “we”, “our”, or “us”) is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The balance sheet at April 29, 2017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April 29, 2017,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to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nine months ended January 27, 2018 and January 28, 2017 contained operating results for 39 weeks.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amount of investments accounted for under the equity method was $3,303 and $2,678 at January 27, 2018 and April 29, 2017, respectively. The equity method requires us to report our share of losses up to our equity investment amount. Cash paid for investments in affiliates is included in the Purchases of equity investment line item in our consolidated statements of cash flows. Our proportional share of the respective affiliate’s earnings or losses is included in the Other (expense) income, net line item in our consolidated statements of operations. For the nine months ended January 27, 2018, our share of the losses of our affiliates was $401.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at January 27, 2018 and April 29, 2017,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230) Classification of Certain Cash Receipts and Cash Payments, </w:t>
      </w:r>
      <w:r>
        <w:rPr>
          <w:rFonts w:ascii="Arial" w:cs="Arial" w:eastAsia="Arial" w:hAnsi="Arial"/>
          <w:sz w:val="18"/>
          <w:szCs w:val="18"/>
          <w:color w:val="auto"/>
        </w:rPr>
        <w:t>which reduces the diversity in practice in how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presented and classified in the statement of cash flows. We early adopted ASU 2016-15 during the second quarter of fiscal 2018. Adoption of ASU 2016-15 did not have a material impact on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requires that the statements of cash flows explain the change during the period in the total of cash, cash equivalents, and restricted cash. Accordingly, restricted cash will be included with cash and cash equivalents when reconciling the beginning-of-period and end-of-period total amounts presented on the statements of cash flows. We early adopted ASU 2016-18 during the second quarter of fiscal 2018 and applied its provisions retrospectively. Other than the change in presentation within the statements of cash flows, the adoption of ASU 2016-18 did not have an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 Tax Effects</w:t>
      </w:r>
      <w:r>
        <w:rPr>
          <w:rFonts w:ascii="Arial" w:cs="Arial" w:eastAsia="Arial" w:hAnsi="Arial"/>
          <w:sz w:val="18"/>
          <w:szCs w:val="18"/>
          <w:color w:val="auto"/>
        </w:rPr>
        <w:t xml:space="preserve"> </w:t>
      </w:r>
      <w:r>
        <w:rPr>
          <w:rFonts w:ascii="Arial" w:cs="Arial" w:eastAsia="Arial" w:hAnsi="Arial"/>
          <w:sz w:val="18"/>
          <w:szCs w:val="18"/>
          <w:i w:val="1"/>
          <w:iCs w:val="1"/>
          <w:color w:val="auto"/>
        </w:rPr>
        <w:t>from Accumulated Other Comprehensive Income</w:t>
      </w:r>
      <w:r>
        <w:rPr>
          <w:rFonts w:ascii="Arial" w:cs="Arial" w:eastAsia="Arial" w:hAnsi="Arial"/>
          <w:sz w:val="18"/>
          <w:szCs w:val="18"/>
          <w:color w:val="auto"/>
        </w:rPr>
        <w:t>, which allows a reclassification from accumulated other comprehensive income to retained earnings for</w:t>
      </w:r>
      <w:r>
        <w:rPr>
          <w:rFonts w:ascii="Arial" w:cs="Arial" w:eastAsia="Arial" w:hAnsi="Arial"/>
          <w:sz w:val="18"/>
          <w:szCs w:val="18"/>
          <w:i w:val="1"/>
          <w:iCs w:val="1"/>
          <w:color w:val="auto"/>
        </w:rPr>
        <w:t xml:space="preserve"> </w:t>
      </w:r>
      <w:r>
        <w:rPr>
          <w:rFonts w:ascii="Arial" w:cs="Arial" w:eastAsia="Arial" w:hAnsi="Arial"/>
          <w:sz w:val="18"/>
          <w:szCs w:val="18"/>
          <w:color w:val="auto"/>
        </w:rPr>
        <w:t>stranded tax effects resulting from the newly enacted federal corporate income tax rate under the U.S. Tax Cuts and Jobs Act. ASU 2018-02 is effective for interim and annual periods beginning after December 15, 2018, with early adoption permitted. We are currently evaluating the effect that adopting ASU 2018-02 will have on our consolidated financial statements and related disclosures.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consolidated financial statements and related disclosures.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is intended to improve the accounting for the income tax consequences of intra-entity transfers of assets other than inventory. Current 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ASU 2016-16 is effective for us on April 29, 2018. We are currently evaluating the effect that adopting ASU 2016-16 will have on our consolidated financial statements and related disclosures.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We are currently evaluating the effect that adopting ASU 2016-13 will have on our consolidated financial statements and related disclosures.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ASU 2016-02 is effective for interim and annual periods beginning after December 15, 2018, with early adoption permitted. We are currently evaluating the effect that adopting ASU 2016-02 will have on our consolidated financial statements and related disclosures.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2016-12, and 2016-20 to clarify guidance with respect to principal versus agent considerations and the identification of performance obligations and licensing, to issue guidance on certain narrow areas, and to add practical expedients. We will adopt ASU 2014-09 and related guidance under the modified retrospective method during the first quarter of fiscal 2019. The implementation team has completed its evaluation of the revenue arrangements, analyzed contracts to identify key provisions impacted by Accounting Standards Codification ("ASC") 606, assessed the applicable accounting, and reviewed existing accounting policies and internal controls. We are in the process of implementing appropriate changes to our business processes, systems and controls to support recognition and disclosure under ASC 606. As a result of the evaluation performed to date, we do not anticipate that the adoption will significantly change the timing or amount of revenue recognized, based upon our current assessment of "point in time" and "over time" revenue recognition. Therefore, we do not anticipate that the adoption of ASU 2014-09 will materially impact our consolidated results of operations and financial statements, other than the additional disclosure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nine months ended January 27, 2018 and January 28,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Net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Per share (loss)</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27, 2018</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44,518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28, 2017</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27, 2018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9,372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28, 2017</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1,203 shares of common stock with a weighted average exercise price of $11.45 for the three months ended January 27, 2018 and 1,354 shares of common stock with a weighted average exercise price of $13.86 for the three months ended January 28, 2017 were not included in the computation of diluted (loss)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1,281 shares of common stock with a weighted average exercise price of $12.55 for the nine months ended January 27, 2018 and 2,380 shares of common stock with a weighted average exercise price of $13.27 for the nine months ended January 28, 2017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Share Repurchase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first, second and third quarter of fiscal 2018, we had no repurchases of shares of our outstanding common stock. During the first quarter of fiscal 2017, we repurchased 284 shares of common stock at a total cost of $1,825, and there were no other purchases during fiscal 2017. As of January 27, 2018, we had $38,175 of remaining capacity under our current share repurchase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segment reporting presents results through gross profit less selling costs. Gross profit is net sales less cost of goods sold. Cost of goods sold consists primarily of inventory, consumables, salaries, other employee-related costs, facilities-related costs for manufacturing locations, machinery and equipment maintenance and depreciation, site sub-contractors, warranty costs, and other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demos, and supplies.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of our Annual Report on Form 10-K for the fiscal year ended April 29, 2017. Unabsorbed manufacturing costs are allocated to the business unit benefiting most from that manufacturing location's production capabilities.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35,483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112,342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45,167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191,432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157,032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11,189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64,989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130,316</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115,719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472,353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442,857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9,747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43,056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28,567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23,316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115,817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106,691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Selling expense: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15,271</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14,678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45,560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45,828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8,299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21,142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363,766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79,091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January 27,</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29,</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62,425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4,324</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66,749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January 27, 2018,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2018 and April 29, 2017,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27, 2018</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9,104</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6,001</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24,023</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23,937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2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12,260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7,574</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32,721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nine months ended January 27, 2018 and January 28, 2017, the reclassifications from accumulated other comprehensive loss to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27,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9,031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5,988</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15,133</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23,937</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contingent liability related to a prior year acquisition of ADFLOW Networks, Inc. ("ADFLOW"), on March 15, 2016. For more information related to the ADFLOW acquisition, see "Note 4. Business Combinations" of our Annual Report on Form 10-K for the fiscal year ended April 29, 2017. The fair value of such contingent consideration is estimated as of the acquisition date, and subsequently at the end of each reporting period, using forecasted cash flows. Projecting future cash flows requires us to make significant estimates and assumptions regarding future events, conditions, or revenues being achieved under the subject contingent agreement as well as the appropriate discount rate. Such valuation techniques include one or more significant inputs that are not observable. See "Note 13. Fair Value Measurement"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Sale of Non-Digital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2017,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goods sold in the International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27, 2018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27,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8,469</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performed our annual analysis based on the goodwill amount as of the first business day of our third quarter in fiscal 2018, which was October 29, 2017. The result of the analysis indicated no goodwill impairment existed as of that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9. Inventories</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27,</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26,833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31,805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70,451</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$2,311 and $2,610 at January 27, 2018 and April 29, 2017, respectively. Included in accounts receivable as of January 27, 2018 and April 29, 2017 was $2,044 and $1,857, respectively, of retainage on construction-type contracts, all of which is expected to be collected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twelve months and sales-type leases.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$4,147 and $4,890 as of January 27, 2018 and April 29, 2017, respectively. Contract and lease receivables bearing annual interest rates of 4.8 to 10.0 percent are due in varying annual installments through August 2024. The face amount of long-term receivables was $4,547 and $5,201 as of January 27, 2018 and April 29,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27, 2018 and April 29, 2017, we did not believe there was a reasonable probability that any material loss for these various claims or legal actions, including reviews, inspections or other legal proceedings, if any, would be incurred. Accordingly, no material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OOH applications built prior to fiscal 2013. The device failure causes a visual defect in the display. Over the past three years, we have deployed preventative maintenance to sites impacted and repaired the defective devices in our repair center. When certain site locations have exceeded an acceptable failure rate, we have refurbished the display to meet customers’ expectations under contractual obligations. During fiscal 2017, 2016, and 2015 we recognized warranty expense for probable and reasonably estimated costs to remediate this issue of $1,766, $9,174, and $1,168, respectively. We recognized warranty expense related to this issue of $4,034 during the nine months ended January 27, 2018. This increased expense level is not the result of a new issue, but is primarily based on our decision to preserve our market leadership. We elected to expand the refurbishments for customer relationship purposes. As of January 27, 2018, we had $3,066 remaining in accrued warranty obligations for the estimate of probable future claims related to this issue. Although many of our contractual warranty arrangements are nearing expiration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nine months ended January 27, 2018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27,899</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9,652</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5,230</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29,200</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January 27, 2018, we had outstanding letters of credit and surety bonds in the amount of $13,396 and $8,330,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$2,568 and $2,358 for the nine months ended January 27, 2018 and January 28, 2017,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January 27,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January 27, 2018, we were obligated under the following conditional and unconditional purchase commitments, which included $350 in conditional purchase commitments: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U.S. Federal income tax as well as income taxes of multiple state and foreign jurisdictions. Due to various factors and operating in multiple state and foreign jurisdictions, our effective tax is subject to fluctuation. As a result of the expiration of statutes of limitations, our fiscal years 2015, 2016, and 2017 are the remaining years open under statutes of limitations for federal and state income tax examinations. Certain subsidiaries are also subject to income tax in several foreign jurisdictions which have open tax years varying by jurisdiction beginning in fiscal 2008.</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2018, we had $3,179 of unrecognized tax benefits which would reduce our effective tax rate if recognized.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President Trump signed the U.S. Tax Cuts and Jobs Act (the “Tax Act”) into law. The Tax Act makes broad and complex changes to the U.S. tax code. Some of the most significant provisions of the Tax Act impacting us include a reduction of the U.S. federal corporate income tax rate from 35% to 21%, a one-time "deemed repatriation" tax on previously untaxed accumulated earnings and profits of certain subsidiaries in non-U.S. jurisdictions, and a transition of U.S. international taxation from a worldwide tax system to a territorial tax system.</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GAAP accounting for income taxes requires us to record the impact of any tax law change in the quarter the law change is enacted. On December 22, 2017, the Securities and Exchange Commission issued Staff Accounting Bulletin No. 118 which provides additional guidance allowing companies to record provisional amounts during a measurement period, not to exceed one year from the enactment date of the Tax Act, to account for the impacts of the Tax Act in their financial statements when companies do not have the necessary information available, prepared or analyzed in reasonable detail to complete their accounting for the effects of the changes in the Tax Act. We have accounted for the impacts of the Tax Act to the extent a reasonable estimate could be made during the quarter ended January 27, 2018. We will continue to refine our estimates throughout the measurement period or until the accounting is complete, and the impact of the Tax Act may differ from these estimates, possibly materially, due to, among other things, changes in estimates and assumptions that we have made.</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we have recorded a provisional reduction to our net deferred tax asset (which represents future tax benefits) of $3,679 which resulted in a corresponding increase to income tax expense for the quarter ended January 27, 2018. The revaluation of our net deferred tax asset is subject to further adjustments during the measurement period due to the complexity of determining our net deferred tax asset as of the enactment date of the Tax Act. Some of the information necessary to determine the accounting impacts of the tax rate change includes finalization of our fiscal 2018 tax return as well as refining the analysis of which existing deferred balances at the enactment date will reverse in fiscal 2018 and which deferred balances will reverse after fiscal 2018.</w:t>
      </w:r>
    </w:p>
    <w:p>
      <w:pPr>
        <w:spacing w:after="0" w:line="7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Additionally, we have recorded a provisional increase to income tax expense of $601 for the one-time deemed repatriation tax. The estimate of the deemed repatriation tax is based, in part, on the amount of cash and other specified assets anticipated to be held by Daktronics’ foreign subsidiaries as of April 28, 2018. As a result, the final amount may change as the amounts are finalized. We plan to pay the tax payable in installments in accordance with the Tax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January 27, 2018 and April 29, 2017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27, 2018</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49,042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49,070</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23,281</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71,317</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32,623</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33,239</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32,100</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3"/>
              </w:rPr>
              <w:t>A roll forward of the Level 3 contingent liability, both short- and long-term, for the nine months ended January 27, 2018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29, 2017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January 27, 2018</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14. Derivative Financial Instruments" for more information regarding our derivatives.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the fair value of a liability measured on expected future payments relating to a business acquisition if future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measures are achieved. The contingent liability was calculated by estimating the discounted present value of expected future payments for estimated performance measure attainment. To estimate future performance measure attainment, we utilized significant unobservable inputs as of January 27, 2018 and April 29, 2017. The unobservable inputs included management expectations and forecasts for business performance and an estimated discount rate based on current borrowing interest rates. To the extent that these assumptions changed or actual results differed from these estimates, the fair value of the contingent consideration liability could change. The contingent liability is presented in other long-term obligations in our consolidated balance sheets.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Some of our financial instruments, such as accounts receivable, long-term receivables, prepaid expense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costs and earnings in excess of billings and billings in excess of costs, accounts payable, warranty obligations, customer deposits, deferred revenue, and other long-term obligations, are reflected in the balance sheet at carrying value, which approximates fair value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January 27, 2018 and April 29, 2017,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January 27, 2018 and April 29,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January 27, 2018</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29, 2017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27, 2018, there was an asset and liability of $64 and $720, respectively, and as of April 29, 2017, there was an asset and liability of $64 and $277, respectively, representing the fair value of foreign currency exchange forward contracts, which were determined using Level 2 inputs from a third-party bank.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2018, our Board of Directors declared a regular quarterly dividend of $0.07 per share on our common stock payable on March 22, 2018 to holders of record of our common stock on March 12,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29, 2017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generally accepted accounting principles in the United States ("GAAP"). This discussion should be read in conjunction with the accompanying Consolidated Financial Statements and Notes to the Consolidated Financial Statements included in this Report.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4. Segment Disclosure" of the Notes to the Consolidated Financial Statements included elsewhere in this Report.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several displays, controllers, and subcontracted structure builds, each of which can occur on varied schedules per the customer's needs. Net sales and gross profit percentages also have fluctuated due to other seasonal factors, including the impact of holidays, which primarily affects our third fiscal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backlog consists of contractually binding sales agreements or purchase orders we expect to fill within the next 24 months. Orders, which we define as a receipt of an executed contract and any required deposits, are booked and included in backlog.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 Because order backlog may be subject to extended delivery schedules, orders may be canceled, and orders have varied estimated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profitability, our backlog is not necessarily indicative of future net sales or net income. Backlog can fluctuate due to large order booking timing and seasonality. Backlog is not a measure defined by GAAP, and our methodology for determining backlog may vary from the methodology used by other companies in determining their backlog amounts.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multimillion-dollar revenue potential also attract competition, which generally reduces profitability.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4. Segment Disclosure" of the Notes to the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Out-of-Home ("OOH") companies continue developing new sites and replacing digital billboards which are reaching end of life. This is dependent on there being no adverse changes in the digital billboard regulatory environment restricting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more sophisticated displays in school athletic facilities, such as large integrated video systems.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of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27, 2018 AND JANUARY 28,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4,131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130,316</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115,719</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14,597</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28,745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32,595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14,178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25,329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4,076</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126,153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January 27, 2018 compared to the same period one year ago was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 volumes in the on-premise niche and the timing of delivery of large projects in the spectacular niche, which were partially offset by an increase in the billboard niche shipment activity due to changes of timing of customer demand as compared to last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orders for the three months ended January 27, 2018 compared to the same period one year ago was the net result of decreases in the billboard niche and decreases in the on-premise niche due to a number of factors, including competitive market pricing, a delay of national account-based opportunities, and the natural volatility of large project timing.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January 27, 2018 compared to the same period one year ago was primarily due to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and the timing of customer needs. This year, net sales were impacted by projects for professional baseball facilities renovation and construction project timeliness.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Orders decreased for the three months ended January 27, 2018 compared to the same period one year ago due to variability in order timing.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decrease in net sales for the three months ended January 27, 2018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timing of customer demand.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decreased for the three months ended January 27, 2018 compared to the same period one year ago due to fewer video project orders which have larger average selling prices in this segment during the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three months ended January 27, 2018 compared to the same period one year ago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needs from state transportation authorities during the quarter this year as compared to last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January 27, 2018 compared to the same period one year ago decreased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January 27, 2018 compared to the same period one year ago increased primarily due to increased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demand in OOH.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increased for the three months ended January 27, 2018 compared to the same period one year ago primarily due to the volatility of large order timing.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product order backlog as of January 27, 2018 was $151 million as compared to $170 million as of January 28, 2017 and $155 million at the end of the second quarter of fiscal 2018. Historically, our backlog varies due to the seasonality of our business, the timing of large projects, and customer delivery schedules for these orders. The backlog as of January 27, 2018 decreased from January 28, 2017 in our Commercial, Live Events and Transportation business units, increased in our International business unit, and remained relatively flat in our High School Park and Recreation business unit.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27, 2018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21.3%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21.3%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9,747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21.6</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6,629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24.1</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25.3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25.5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18.3</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20.6</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28,567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21.9%</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23,316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20.1%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goods sold. Cost of goods sold consists primarily of inventory, consumables, salaries, other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three months ended January 27, 2018 compared to the same period one year ago was primarily due to higher sales volumes over relatively fixed infrastructure costs. The following describes the overall impact by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for the three months ended January 27, 2018 compared to the same period one year ago remained relatively flat.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three months ended January 27, 2018 compared to the same period one year ago was due to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 of sales over relatively fixed infrastructure costs and lower warranty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decrease for the three months ended January 27, 2018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lower sales volumes over relatively fixed infrastructure costs and a change in sales mix.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January 27, 2018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sales volumes over relatively fixed infrastructure costs.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gross profit percent decrease for the three months ended January 27, 2018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warranty expenses and an unfavorable sales mix, which were offset by increased volume of sales over relatively fixed infrastructure costs.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27, 2018</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3,843</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8.5</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10.4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12.4</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expense in our Commercial business unit for the third quarter of fiscal 2018 decreased compared to the same quarter a year ago due to decreases in personnel expenses. Selling expense in our Live Events business unit increased in the third quarter of fiscal 2018 compared to the same quarter a year ago due to increases in conventions/advertising expenses and higher bad debt expenses. Selling expense in our High School Park and Recreation business unit increased in the third quarter of fiscal 2018 compared to the same quarter a year ago due to travel and entertainment expenses and conventions/advertising expenses. Selling expense remained relatively flat in our Transportation business unit in the third quarter of fiscal 2018 compared to the same quarter a year ago. Selling expense in our International business unit increased in the third quarter of fiscal 2018 compared to the same quarter a year ago due to increases in personnel expenses and third-party commissions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27, 2018</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8,599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40"/>
              <w:spacing w:after="0"/>
              <w:rPr>
                <w:sz w:val="20"/>
                <w:szCs w:val="20"/>
                <w:color w:val="auto"/>
              </w:rPr>
            </w:pPr>
            <w:r>
              <w:rPr>
                <w:rFonts w:ascii="Arial" w:cs="Arial" w:eastAsia="Arial" w:hAnsi="Arial"/>
                <w:sz w:val="18"/>
                <w:szCs w:val="18"/>
                <w:color w:val="auto"/>
              </w:rPr>
              <w:t>6,973</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third quarter of fiscal 2018 decreased as compared to the same period one year ago primarily due to decreases in personnel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expenses in the third quarter of fiscal 2018 increased as compared to the same period one year ago primarily due to increased labor costs and professional services assigned to product development projects relating to our strategy to accelerate the deployment of products and solutions to our markets. To deliver value to our customers and serve the markets' expectations, we plan to increase the level of expenditures for new or enhanced customer solutions for the remainder of fiscal 2018 as compared to prior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27, 2018</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third quarter of fiscal 2018 compared to the same period one year ago remained relatively flat.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third quarter of fiscal 2018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current-year rate was significantly impacted by the Tax Cuts and Jobs Act of 2017 (the “Tax Act”), which was signed into law on December 22, 2017. Most notably, the Tax Act reduced the statutory federal income tax rate for corporations from 35% to 21%. Because we file our tax return based on our fiscal year, the statutory tax rate for our 2018 tax return will be a blended rate of approximately 30.4%. In addition to the effect of the lower overall federal tax rate, the Tax Act resulted in a $3.7 million one-time expense for the estimated re-measurement of our net deferred tax asset and a $0.6 million estimated one-time transition tax on certain undistributed earnings of our foreign subsidiaries in the quarter ended January 27, 2018. Any additional impacts from the enactment of the Tax Act will be recorded as they are identified during the measurement period as provided for in accordance with Staff Accounting Bulletin No. 118 ("SAB 118"). Excluding the impact of this one-time expense, our effective tax rate was 46.9% for the three months ended January 27, 2018. We expect our effective tax rate to be approximately 30% for the remainder of our fiscal year. In fiscal 2019, we expect an effective tax rate of approximately 21%, exclusive of any SAB 118 changes in estimate.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JANUARY 27, 2018 AND JANUARY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January 27,</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112,342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191,432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157,032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34,400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46,577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39,517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7,060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64,989</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472,353</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442,857</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29,496</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97,816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114,326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(16,510)</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145,246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60,368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61,055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79,909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78,164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421,494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435,355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Net sales for the nine months ended January 27, 2018 compared to the same period one year ago decreased as a result of lower order volumes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on-premise niche and the timing of delivery of large projects in the spectacular niche, partially offset by an increase in the billboard niche.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orders for the nine months ended January 27, 2018 compared to the same period one year ago was the net result of decreases in the on-premise and spectacular niches due to a number of factors including competitive market pricing, a delay of national account-based opportunities during the nine months ended January 27, 2018 as compared to the same period last year, and the natural volatility of large project timing.</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the nine months ended January 27, 2018 compared to the same period one year ago was primarily due to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the timing of the demand for upgraded or new solutions for arenas, professional sports, and colleges and universities.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nine months ended January 27, 2018 compared to the same period one year ago due to an increased number of projects in professional sport arenas.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Net sales for the nine months ended January 27, 2018 compared to the same period one year ago remained relatively flat.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nine months ended January 27, 2018 compared to the same period one year ago due to fewer large sports video projects awarded during the third quarter of fiscal 2018 compared to the third quarter of fiscal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nine months ended January 27, 2018 compared to the same period one year ago was related to the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large order production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nine months ended January 27, 2018 compared to the same period one year ago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decreased in our International business unit for the nine months ended January 27, 2018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timing of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increased for the nine months ended January 27, 2018 compared to the same period one year ago primarily due to the volatility of large order timing.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27, 2018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20.5%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43,056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30,430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19.4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34.0</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31.7</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16,696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12,966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32.8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18.2</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115,817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24.5%</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106,691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goods sold. Cost of goods sold consists primarily of inventory, consumables, salaries, other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our gross profit percentage for the nine months ended January 27, 2018 compared to the same period one year ago was the net result of the changes described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nine months ended January 27, 2018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higher warranty expenses and lower sales volumes over relatively fixed infrastructure costs.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gross profit percent increase for the nine months ended January 27, 2018 compared to the same period one year ago was the result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volume of sales over relatively fixed infrastructure costs, improved performance on large projects as compared to original estimates.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nine months ended January 27, 2018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primarily was due to a favorable sales mix and improved productivity.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nine months ended January 27, 2018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increased volume of sales over relatively fixed infrastructure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nine months ended January 27, 2018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sales volumes over a relatively fixed cost structure and higher warranty expenses, which were offset by the $1.2 million gain from the sale of our non-digital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27, 2018</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13,778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10,562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11.6</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7,532</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3,084</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6.6</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3,461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16.2</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45,560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45,828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expense in our Commercial business unit decreased in the nine months ended January 27, 2018 compared to the same period one year ago primarily due to third-party commission expenses. Selling expense in our Live Events business unit increased in the nine months ended January 27, 2018 compared to the same period one year ago primarily due to increased conventions/advertising expenses, bad debt expenses, and travel and entertainment expenses. Selling expense in our High School Park and Recreation business unit increased in the nine months ended January 27, 2018 compared to the same period one year ago due to increases in personnel expenses. Selling expense in our Transportation business unit decreased in the nine months ended January 27, 2018 compared to the same period one year ago primarily due to lower bad debt expense. Selling expense in our International business unit declined in the nine months ended January 27, 2018 compared to the same period one year ago due to lower bad debt expenses, lower third-party commissions expenses and a $0.2 million intangible asset impairment that had been incurred in the first nine months of fiscal 2017 that was not incurred in the first nine months of fiscal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27, 2018</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26,294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21,142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nine months ended January 27, 2018 increased as compared to the same period one year ago primarily due to increases in personnel expenses and information technology software and hardware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expenses in the nine months ended January 27, 2018 as compared to the same period one year ago increased primarily due to increased labor costs and professional services assigned to product development projects relating to our strategy to accelerate the deployment of products and solutions to our markets. To deliver value to our customers and serve the markets' expectations, we plan to increase the level of expenditures for new or enhanced customer solutions for the remainder of fiscal 2018 as compared to prior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27, 2018</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nine months ended January 27, 2018 compared to the same period one year ago decreased as a result of lower long-term receivables which bear imputed interest rates.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nine months ended January 27, 2018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foreign currency volatility, the losses recorded from an equity method affiliate, and an income tax penalty incurred on a late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47.2 percent for the nine months ended January 27, 2018 as compared to an effective tax rate of 31.9 percent for the nine months ended January 28, 2017.</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current-year rate was significantly impacted by the Tax Act, which was signed into law on December 22, 2017. Most notably, the Tax Act reduced the statutory federal income tax rate for corporations from 35% to 21%. Because we file our tax return based on our fiscal year, the statutory tax rate for our 2018 tax return will be a blended rate of approximately 30.4%. In addition to the effect of the lower overall federal tax rate, the Tax Act resulted in a $3.7 million one-time expense for the estimated re-measurement of our net deferred tax asset and a $0.6 million estimated one-time transition tax on certain undistributed earnings of our foreign subsidiaries in the quarter ended January 27, 2018. Any additional impacts from the enactment of the Tax Act will be recorded as they are identified during the measurement period as provided for in accordance with SAB 118. Excluding the impact of this one-time expense, our effective tax rate was 23% for the nine months ended January 27, 2018, and we expect our effective tax rate to be approximately 48% for the remainder of our fiscal year. In fiscal 2019, we expect an effective tax rate of approximately 21%, exclusive of any SAB 118 changes in estimate.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26,953</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45,387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(11,421)</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20,057</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was $27.0 million for the first nine months of fiscal 2018 compared to net cash provided by operating activities of $45.4 million in the first nine months of fiscal 2017. The $18.4 million decrease in cash from operating activities from the first nine months of fiscal 2017 to the first nine months of fiscal 2018 was the net result of changes in net operating assets and liabilities of $18.6 million, a $1.4 million decrease in depreciation, amortization and impairment, a $1.2 million gain on the sale of our non-digital division, a $0.9 million decrease in the provision for doubtful accounts, and a $0.1 million decrease in net income, adjusted by an increase of $3.7 million in deferred income taxes and a $0.1 million increase in other non-cash items,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27,</w:t>
            </w:r>
          </w:p>
        </w:tc>
        <w:tc>
          <w:tcPr>
            <w:tcW w:w="1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752</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3,954</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(9,829)</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4,220</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3,532</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807</w:t>
            </w:r>
          </w:p>
        </w:tc>
        <w:tc>
          <w:tcPr>
            <w:tcW w:w="2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fluctuations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totaled $1.2 million in the first nine months of fiscal 2018 compared to $11.4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nine months of fiscal 2017. The change in the amount of cash used in investing activities was the result of a net increase in marketable securities of $12.0 million in the first nine months of fiscal 2018 as compared to the first nine months of fiscal 2017. Purchases of property and equipment totaled $10.9 million in the first nine months of fiscal 2018 compared to $6.7 million in the first nine months of fiscal 2017. Proceeds from the sale of property, equipment and other assets totaled $2.1 million in the first nine months of fiscal 2018 compared to $0.2 million in the first nine months of fiscal 2017; this was mostly related to the sale of our non-digital division.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$10.1 million for the nine months ended January 27, 2018 compared to $13.2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same period one year ago. Dividends of $9.3 million, or $0.21 per share, were paid to Daktronics shareholders during the first nine months of fiscal 2018, as compared to dividends of $10.6 million, or $0.24 per share, paid to Daktronics shareholders during the first nine months of fiscal 2017. In the first nine months of fiscal 2017, we used $1.8 million to purchase our common shares as part of the $40.0 million share repurchase plan authorized by our Board of Directors, and there have been no purchases in the nine months ended January 27, 2018.</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$6.6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January 27, 2018, which we expect to collect within one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Working capital was $142.9 million and $127.1 million at January 27, 2018 and April 29, 2017, respectively. The changes in working capital, particularly changes in accounts receivable, accounts payable, inventory, and costs in excess of billings and billings in excess of costs,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3.0 percent at January 27, 2018. We are assessed a loan fee equal to 0.125 percent per annum on any unused portion of the loan. As of January 27, 2018, there were no advances to us under the loan portion of the line of credit, and the balance of letters of credit outstanding was approximately $10.7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(with the exception of any U.S. bank approved special cash dividend), a capital expenditure reserve of $6 million, and income tax expenses paid in cash, but excluding cash used to repurchase any Daktronics, Inc. stock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$40.0 million. The interest rate is equal to LIBOR plus 1.5 percent. As of January 27, 2018, there were no advances outstanding under the loan agreement and approximately $2.7 million in bank guarantees under this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2018, we were in compliance with all applicable bank loan covenants.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and/or paid since the prior fiscal year end of April 29,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20" w:type="dxa"/>
            <w:vAlign w:val="bottom"/>
          </w:tcPr>
          <w:p>
            <w:pPr>
              <w:ind w:left="24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June 13, 2017</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23, 2017</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August 31, 2017</w:t>
            </w:r>
          </w:p>
        </w:tc>
        <w:tc>
          <w:tcPr>
            <w:tcW w:w="1920" w:type="dxa"/>
            <w:vAlign w:val="bottom"/>
          </w:tcPr>
          <w:p>
            <w:pPr>
              <w:ind w:left="240"/>
              <w:spacing w:after="0"/>
              <w:rPr>
                <w:sz w:val="20"/>
                <w:szCs w:val="20"/>
                <w:color w:val="auto"/>
              </w:rPr>
            </w:pPr>
            <w:r>
              <w:rPr>
                <w:rFonts w:ascii="Arial" w:cs="Arial" w:eastAsia="Arial" w:hAnsi="Arial"/>
                <w:sz w:val="18"/>
                <w:szCs w:val="18"/>
                <w:color w:val="auto"/>
              </w:rPr>
              <w:t>September 11, 2017</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22, 2017</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30, 2017</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11, 2017</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21, 2017</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March 1, 2018</w:t>
            </w:r>
          </w:p>
        </w:tc>
        <w:tc>
          <w:tcPr>
            <w:tcW w:w="1920" w:type="dxa"/>
            <w:vAlign w:val="bottom"/>
          </w:tcPr>
          <w:p>
            <w:pPr>
              <w:ind w:left="240"/>
              <w:spacing w:after="0"/>
              <w:rPr>
                <w:sz w:val="20"/>
                <w:szCs w:val="20"/>
                <w:color w:val="auto"/>
              </w:rPr>
            </w:pPr>
            <w:r>
              <w:rPr>
                <w:rFonts w:ascii="Arial" w:cs="Arial" w:eastAsia="Arial" w:hAnsi="Arial"/>
                <w:sz w:val="18"/>
                <w:szCs w:val="18"/>
                <w:color w:val="auto"/>
              </w:rPr>
              <w:t>March 12, 2018</w:t>
            </w:r>
          </w:p>
        </w:tc>
        <w:tc>
          <w:tcPr>
            <w:tcW w:w="2000" w:type="dxa"/>
            <w:vAlign w:val="bottom"/>
          </w:tcPr>
          <w:p>
            <w:pPr>
              <w:ind w:left="220"/>
              <w:spacing w:after="0"/>
              <w:rPr>
                <w:sz w:val="20"/>
                <w:szCs w:val="20"/>
                <w:color w:val="auto"/>
              </w:rPr>
            </w:pPr>
            <w:r>
              <w:rPr>
                <w:rFonts w:ascii="Arial" w:cs="Arial" w:eastAsia="Arial" w:hAnsi="Arial"/>
                <w:sz w:val="18"/>
                <w:szCs w:val="18"/>
                <w:color w:val="auto"/>
              </w:rPr>
              <w:t>March 22, 2018</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January 27, 2018, we had $8.3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$20 million for fiscal 2018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January 27, 2018, most of our net sales were denominated in U.S. dollars, and our exposure to foreign currency exchange rate changes on net sales had not been significant. For the nine months ended January 27, 2018, net sales originating outside the United States were 16.1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total net sales and, consequently, a greater portion of our business could be denominated in foreign currencies. In addition, we may fund our foreign subsidiaries’ operating cash needs in the form of loans denominated in U.S. dollars.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We estimate that a 10 percent change in all foreign exchange rates would impact our reported income before taxes by approximately $1.1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contracts with customers denominated in a foreign currency. The notional amount of these derivatives is $10.4 million, and all contracts mature within 19 months. These contracts are marked to market each balance sheet date and are not designated as hedges. See "Note 14. Derivative Financial Instruments" of the Notes to the Consolidated Financial Statements included elsewhere in this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January 27, 2018, our outstanding marketing obligations were $0.5 million, all of which were in fixed rate obligations.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27, 2018, our outstanding long-term receivables were $4.1 million. Each 25 basis point increase in interest rates would have an associated immaterial annual opportunity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34290</wp:posOffset>
            </wp:positionV>
            <wp:extent cx="375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 our $49.0 million in cash balances at January 27, 2018, $40.8 million were denominated in U.S. dollars of which $3.7 million is held by our foreign subsidiaries. We have an additional $8.2 million in cash balances denominated in foreign currencies of which $7.1 million are maintained in accounts of our foreign subsidiaries. A portion of the cash held in foreign accounts is used to collateralize outstanding bank guarantees issued by our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have been impacted by longer lead times because of worldwide shortages; however, we believe that we have adequate sources of supply for our key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27, 2018, which is the end of the period covered by this Report. Based upon that evaluation, the Chief Executive Officer and Chief Financial Officer concluded that as of January 27, 2018,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27, 2018,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29, 2017.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January 27, 2018,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March 2,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6"/>
            <w:szCs w:val="16"/>
            <w:u w:val="single" w:color="auto"/>
            <w:color w:val="0000FF"/>
          </w:rPr>
          <w:t>Amended and Restated Articles of Incorporation of the Company (Incorporated by reference to Exhibit 3.1 filed with our Quarterly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10-Q on August 30, 2013).</w:t>
        </w:r>
      </w:hyperlink>
    </w:p>
    <w:p>
      <w:pPr>
        <w:spacing w:after="0" w:line="4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Exhibit 10.1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to Exhibit 10.6 filed with our Annual Report on Form 10-K filed on June 9, 2017).</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Schedule 14A filed on July 14,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r:id="rId27">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7">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8-K on September 3, 2015).</w:t>
        </w:r>
      </w:hyperlink>
    </w:p>
    <w:p>
      <w:pPr>
        <w:spacing w:after="0" w:line="49" w:lineRule="exact"/>
        <w:rPr>
          <w:sz w:val="20"/>
          <w:szCs w:val="20"/>
          <w:color w:val="auto"/>
        </w:rPr>
      </w:pPr>
    </w:p>
    <w:p>
      <w:pPr>
        <w:ind w:left="720" w:right="22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our Current 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160" w:hanging="688"/>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8">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0">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6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40" w:hanging="685"/>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27, 2018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27,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3/2/2018</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27,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3/2/2018</w:t>
      </w:r>
    </w:p>
    <w:p>
      <w:pPr>
        <w:sectPr>
          <w:pgSz w:w="11900" w:h="16838" w:orient="portrait"/>
          <w:cols w:equalWidth="0" w:num="1">
            <w:col w:w="11420"/>
          </w:cols>
          <w:pgMar w:left="240" w:top="58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27, 2018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3/2/2018</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27, 2018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3/2/2018</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5" Type="http://schemas.openxmlformats.org/officeDocument/2006/relationships/hyperlink" Target="http://www.sec.gov/Archives/edgar/data/915779/000091577913000093/dakt-20130427_ex31xaoi.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6000233/dakt_20161115xex101.htm" TargetMode="External"/><Relationship Id="rId19" Type="http://schemas.openxmlformats.org/officeDocument/2006/relationships/hyperlink" Target="http://www.sec.gov/Archives/edgar/data/915779/000091577916000233/dakt_20161115xex102.htm" TargetMode="External"/><Relationship Id="rId21" Type="http://schemas.openxmlformats.org/officeDocument/2006/relationships/hyperlink" Target="http://www.sec.gov/Archives/edgar/data/915779/000091577916000233/dakt_20161115xex103.htm" TargetMode="External"/><Relationship Id="rId22" Type="http://schemas.openxmlformats.org/officeDocument/2006/relationships/hyperlink" Target="http://www.sec.gov/Archives/edgar/data/915779/000091577916000233/dakt_20161115xex104.htm" TargetMode="External"/><Relationship Id="rId24" Type="http://schemas.openxmlformats.org/officeDocument/2006/relationships/hyperlink" Target="http://www.sec.gov/Archives/edgar/data/915779/000091577917000027/dakt_ex106x10-kx2017.htm" TargetMode="External"/><Relationship Id="rId25" Type="http://schemas.openxmlformats.org/officeDocument/2006/relationships/hyperlink" Target="http://www.sec.gov/Archives/edgar/data/915779/000091577915000046/dakt-20150501_defx14a.htm#s4b4ce7db85924a1dba35b799a722a4cd" TargetMode="External"/><Relationship Id="rId27"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30"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2019-12-29T00:34:10Z</dcterms:created>
  <dcterms:modified xsi:type="dcterms:W3CDTF">2019-12-29T00:34:10Z</dcterms:modified>
</cp:coreProperties>
</file>