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904"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04"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04"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00" w:hanging="76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4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79" w:hanging="749"/>
        <w:spacing w:after="0" w:line="308"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540" w:hanging="749"/>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800" w:right="859" w:hanging="765"/>
        <w:spacing w:after="0" w:line="26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sz w:val="24"/>
          <w:szCs w:val="24"/>
          <w:color w:val="auto"/>
        </w:rPr>
      </w:pPr>
    </w:p>
    <w:p>
      <w:pPr>
        <w:ind w:left="1540" w:hanging="749"/>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4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4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4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31, 2016</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August 31, 2016</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14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three Directors to serve for a three-year term that expires on the date of the Annual Meeting of Shareholders in 2019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conduct an advisory approval of the Company's executive compensation; and</w:t>
      </w:r>
    </w:p>
    <w:p>
      <w:pPr>
        <w:spacing w:after="0" w:line="63" w:lineRule="exact"/>
        <w:rPr>
          <w:rFonts w:ascii="Arial" w:cs="Arial" w:eastAsia="Arial" w:hAnsi="Arial"/>
          <w:sz w:val="18"/>
          <w:szCs w:val="18"/>
          <w:color w:val="auto"/>
        </w:rPr>
      </w:pPr>
    </w:p>
    <w:p>
      <w:pPr>
        <w:ind w:left="2280" w:right="580" w:hanging="327"/>
        <w:spacing w:after="0" w:line="277" w:lineRule="auto"/>
        <w:tabs>
          <w:tab w:leader="none" w:pos="2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2017.</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54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June 27, 2016.</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54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540" w:type="dxa"/>
            <w:vAlign w:val="bottom"/>
            <w:gridSpan w:val="2"/>
          </w:tcPr>
          <w:p>
            <w:pPr>
              <w:ind w:left="340"/>
              <w:spacing w:after="0"/>
              <w:rPr>
                <w:sz w:val="20"/>
                <w:szCs w:val="20"/>
                <w:color w:val="auto"/>
              </w:rPr>
            </w:pPr>
            <w:r>
              <w:rPr>
                <w:rFonts w:ascii="Arial" w:cs="Arial" w:eastAsia="Arial" w:hAnsi="Arial"/>
                <w:sz w:val="18"/>
                <w:szCs w:val="18"/>
                <w:color w:val="auto"/>
                <w:w w:val="89"/>
              </w:rPr>
              <w:t>Even if you plan to attend the Annual Meeting, please submit a proxy as soon as possible so that your shares can be voted at the</w:t>
            </w:r>
          </w:p>
        </w:tc>
      </w:tr>
      <w:tr>
        <w:trPr>
          <w:trHeight w:val="230"/>
        </w:trPr>
        <w:tc>
          <w:tcPr>
            <w:tcW w:w="1580" w:type="dxa"/>
            <w:vAlign w:val="bottom"/>
          </w:tcPr>
          <w:p>
            <w:pPr>
              <w:spacing w:after="0"/>
              <w:rPr>
                <w:sz w:val="20"/>
                <w:szCs w:val="20"/>
                <w:color w:val="auto"/>
              </w:rPr>
            </w:pPr>
          </w:p>
        </w:tc>
        <w:tc>
          <w:tcPr>
            <w:tcW w:w="9540" w:type="dxa"/>
            <w:vAlign w:val="bottom"/>
            <w:gridSpan w:val="2"/>
          </w:tcPr>
          <w:p>
            <w:pPr>
              <w:ind w:left="34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898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898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898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26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12, 2016.</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31, 2016.</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2016 Annual Report to Shareholders, which includes our Annual Report on Form 10-K for the fiscal year ended April 30, 2016,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4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4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One - Election of Directors</w:t>
              </w:r>
            </w:hyperlink>
          </w:p>
        </w:tc>
        <w:tc>
          <w:tcPr>
            <w:tcW w:w="4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67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Two - Advisory (non-binding) Approval of the Company's Executive Compensation</w:t>
              </w:r>
            </w:hyperlink>
          </w:p>
        </w:tc>
        <w:tc>
          <w:tcPr>
            <w:tcW w:w="35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574"/>
        </w:trPr>
        <w:tc>
          <w:tcPr>
            <w:tcW w:w="10320" w:type="dxa"/>
            <w:vAlign w:val="bottom"/>
            <w:gridSpan w:val="1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Three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7000" w:type="dxa"/>
            <w:vAlign w:val="bottom"/>
            <w:gridSpan w:val="1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332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Section 16(a) Beneficial Ownership Reporting Compliance</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2420" w:type="dxa"/>
            <w:vAlign w:val="bottom"/>
            <w:gridSpan w:val="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Executive Compensation</w:t>
              </w:r>
            </w:hyperlink>
          </w:p>
        </w:tc>
        <w:tc>
          <w:tcPr>
            <w:tcW w:w="640" w:type="dxa"/>
            <w:vAlign w:val="bottom"/>
          </w:tcPr>
          <w:p>
            <w:pPr>
              <w:spacing w:after="0"/>
              <w:rPr>
                <w:sz w:val="24"/>
                <w:szCs w:val="24"/>
                <w:color w:val="auto"/>
              </w:rPr>
            </w:pPr>
          </w:p>
        </w:tc>
        <w:tc>
          <w:tcPr>
            <w:tcW w:w="7900" w:type="dxa"/>
            <w:vAlign w:val="bottom"/>
            <w:gridSpan w:val="8"/>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Borders>
              <w:left w:val="single" w:sz="8" w:color="0000EE"/>
            </w:tcBorders>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Audit Committee Report</w:t>
              </w:r>
            </w:hyperlink>
          </w:p>
        </w:tc>
        <w:tc>
          <w:tcPr>
            <w:tcW w:w="8540" w:type="dxa"/>
            <w:vAlign w:val="bottom"/>
            <w:gridSpan w:val="9"/>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Householding of Annual Disclosure Documents</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80" w:type="dxa"/>
            <w:vAlign w:val="bottom"/>
            <w:tcBorders>
              <w:left w:val="single" w:sz="8" w:color="0000EE"/>
            </w:tcBorders>
            <w:gridSpan w:val="5"/>
            <w:shd w:val="clear" w:color="auto" w:fill="0000EE"/>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Available Information</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7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580" w:type="dxa"/>
            <w:vAlign w:val="bottom"/>
            <w:gridSpan w:val="3"/>
          </w:tcPr>
          <w:p>
            <w:pPr>
              <w:spacing w:after="0"/>
              <w:rPr>
                <w:sz w:val="20"/>
                <w:szCs w:val="20"/>
                <w:color w:val="auto"/>
              </w:rPr>
            </w:pPr>
            <w:r>
              <w:rPr>
                <w:rFonts w:ascii="Arial" w:cs="Arial" w:eastAsia="Arial" w:hAnsi="Arial"/>
                <w:sz w:val="18"/>
                <w:szCs w:val="18"/>
                <w:color w:val="0000EE"/>
              </w:rPr>
              <w:t>Notice and Ballot</w:t>
            </w:r>
          </w:p>
        </w:tc>
        <w:tc>
          <w:tcPr>
            <w:tcW w:w="8740" w:type="dxa"/>
            <w:vAlign w:val="bottom"/>
            <w:gridSpan w:val="10"/>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0000EE"/>
              </w:rPr>
              <w:t>45</w:t>
            </w: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2016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August 31, 2016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2016 Annual Report to Shareholders, are being made available to shareholders on the Internet or are being mailed on or about July 12, 2016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27, 2016 (the “Record Date”) are entitled to notice of and to vote at the Annual Meeting. As of the Record Date, there were 44,093,054 shares of our common stock outstanding and entitled to vote held by 1,133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"About Us", then “Investor Relations” and then “Annual Reports and Proxies"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for which brokers have not received instructions, and which therefore are not voted, with respect to a particular proposal are referred to as “broker non-votes” with respect to that proposal. Abstentions from voting on a proposal described in this proxy statement and broker non-votes will not affect the outcome of the vote on that proposal.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14, 2017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May 28, 2017, and the shareholder must otherwise comply with Rule 14a-4(c) under the Securities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Exchange Act of 1934. Notices of intention to present proposals at the 2017 annual meeting of shareholders should be addressed to Corporate Secretary, Daktronics, Inc., 201 Daktronics Drive, Brookings, South Dakota 57006.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27, 2016,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440"/>
              <w:spacing w:after="0"/>
              <w:rPr>
                <w:sz w:val="20"/>
                <w:szCs w:val="20"/>
                <w:color w:val="auto"/>
              </w:rPr>
            </w:pPr>
            <w:r>
              <w:rPr>
                <w:rFonts w:ascii="Arial" w:cs="Arial" w:eastAsia="Arial" w:hAnsi="Arial"/>
                <w:sz w:val="18"/>
                <w:szCs w:val="18"/>
                <w:b w:val="1"/>
                <w:bCs w:val="1"/>
                <w:color w:val="auto"/>
              </w:rPr>
              <w:t>Amount and Nature of</w:t>
            </w:r>
          </w:p>
        </w:tc>
        <w:tc>
          <w:tcPr>
            <w:tcW w:w="25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Percentage of Outstanding</w:t>
            </w:r>
          </w:p>
        </w:tc>
      </w:tr>
      <w:tr>
        <w:trPr>
          <w:trHeight w:val="261"/>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Owners</w:t>
            </w:r>
          </w:p>
        </w:tc>
        <w:tc>
          <w:tcPr>
            <w:tcW w:w="220" w:type="dxa"/>
            <w:vAlign w:val="bottom"/>
          </w:tcPr>
          <w:p>
            <w:pPr>
              <w:spacing w:after="0"/>
              <w:rPr>
                <w:sz w:val="22"/>
                <w:szCs w:val="2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22"/>
                <w:szCs w:val="22"/>
                <w:color w:val="auto"/>
              </w:rPr>
            </w:pPr>
          </w:p>
        </w:tc>
        <w:tc>
          <w:tcPr>
            <w:tcW w:w="2620" w:type="dxa"/>
            <w:vAlign w:val="bottom"/>
            <w:tcBorders>
              <w:bottom w:val="single" w:sz="8" w:color="auto"/>
            </w:tcBorders>
          </w:tcPr>
          <w:p>
            <w:pPr>
              <w:jc w:val="right"/>
              <w:ind w:right="330"/>
              <w:spacing w:after="0" w:line="262" w:lineRule="exact"/>
              <w:rPr>
                <w:sz w:val="20"/>
                <w:szCs w:val="20"/>
                <w:color w:val="auto"/>
              </w:rPr>
            </w:pPr>
            <w:r>
              <w:rPr>
                <w:rFonts w:ascii="Arial" w:cs="Arial" w:eastAsia="Arial" w:hAnsi="Arial"/>
                <w:sz w:val="18"/>
                <w:szCs w:val="18"/>
                <w:b w:val="1"/>
                <w:bCs w:val="1"/>
                <w:color w:val="auto"/>
              </w:rPr>
              <w:t>Beneficial Ownership</w:t>
            </w:r>
            <w:r>
              <w:rPr>
                <w:rFonts w:ascii="Arial" w:cs="Arial" w:eastAsia="Arial" w:hAnsi="Arial"/>
                <w:sz w:val="25"/>
                <w:szCs w:val="25"/>
                <w:b w:val="1"/>
                <w:bCs w:val="1"/>
                <w:color w:val="auto"/>
                <w:vertAlign w:val="superscript"/>
              </w:rPr>
              <w:t>(1)</w:t>
            </w:r>
          </w:p>
        </w:tc>
        <w:tc>
          <w:tcPr>
            <w:tcW w:w="200" w:type="dxa"/>
            <w:vAlign w:val="bottom"/>
          </w:tcPr>
          <w:p>
            <w:pPr>
              <w:spacing w:after="0"/>
              <w:rPr>
                <w:sz w:val="22"/>
                <w:szCs w:val="22"/>
                <w:color w:val="auto"/>
              </w:rPr>
            </w:pPr>
          </w:p>
        </w:tc>
        <w:tc>
          <w:tcPr>
            <w:tcW w:w="2580" w:type="dxa"/>
            <w:vAlign w:val="bottom"/>
            <w:tcBorders>
              <w:bottom w:val="single" w:sz="8" w:color="auto"/>
            </w:tcBorders>
          </w:tcPr>
          <w:p>
            <w:pPr>
              <w:jc w:val="right"/>
              <w:ind w:right="87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(2)</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(16)</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3,656,729</w:t>
            </w: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40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10022</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29"/>
        </w:trPr>
        <w:tc>
          <w:tcPr>
            <w:tcW w:w="4560" w:type="dxa"/>
            <w:vAlign w:val="bottom"/>
          </w:tcPr>
          <w:p>
            <w:pPr>
              <w:ind w:left="280"/>
              <w:spacing w:after="0"/>
              <w:rPr>
                <w:sz w:val="20"/>
                <w:szCs w:val="20"/>
                <w:color w:val="auto"/>
              </w:rPr>
            </w:pPr>
            <w:r>
              <w:rPr>
                <w:rFonts w:ascii="Arial" w:cs="Arial" w:eastAsia="Arial" w:hAnsi="Arial"/>
                <w:sz w:val="18"/>
                <w:szCs w:val="18"/>
                <w:color w:val="auto"/>
              </w:rPr>
              <w:t>RidgeWorth Capital Management LLC as Parent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4560" w:type="dxa"/>
            <w:vAlign w:val="bottom"/>
          </w:tcPr>
          <w:p>
            <w:pPr>
              <w:ind w:left="280"/>
              <w:spacing w:after="0"/>
              <w:rPr>
                <w:sz w:val="20"/>
                <w:szCs w:val="20"/>
                <w:color w:val="auto"/>
              </w:rPr>
            </w:pPr>
            <w:r>
              <w:rPr>
                <w:rFonts w:ascii="Arial" w:cs="Arial" w:eastAsia="Arial" w:hAnsi="Arial"/>
                <w:sz w:val="18"/>
                <w:szCs w:val="18"/>
                <w:color w:val="auto"/>
              </w:rPr>
              <w:t>Company for Ceredex Value Advisors LLC</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c>
          <w:tcPr>
            <w:tcW w:w="220" w:type="dxa"/>
            <w:vAlign w:val="bottom"/>
          </w:tcPr>
          <w:p>
            <w:pPr>
              <w:spacing w:after="0"/>
              <w:rPr>
                <w:sz w:val="20"/>
                <w:szCs w:val="20"/>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2,002,046</w:t>
            </w:r>
          </w:p>
        </w:tc>
        <w:tc>
          <w:tcPr>
            <w:tcW w:w="2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3333 Piedmont Road NE, Suite 1500</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Atlanta, GA 30305</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2,655,987</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2,858,014</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438,558</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1,506,116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75,353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78,612</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91,693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100,271</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Kevin P. McDermott</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20,312</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P. Friel</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Sheila M.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51,614</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228,308</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Matthew J. Kurtenbach</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322,140</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Carla S. Gatzke</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762,333</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3,693,026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65" w:lineRule="auto"/>
        <w:tabs>
          <w:tab w:leader="none" w:pos="8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Applicable percentage ownership is based on 44,093,054 shares of common stock outstanding as of June 27, 2016.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June 27, 2016, and restricted stock units that are scheduled to vest within 60 days of June 27, 2016. We did not deem these shares outstanding, however, for the purpose of computing the percentage ownership of any other person.</w:t>
      </w:r>
    </w:p>
    <w:p>
      <w:pPr>
        <w:spacing w:after="0" w:line="1" w:lineRule="exact"/>
        <w:rPr>
          <w:rFonts w:ascii="Arial" w:cs="Arial" w:eastAsia="Arial" w:hAnsi="Arial"/>
          <w:sz w:val="17"/>
          <w:szCs w:val="17"/>
          <w:color w:val="auto"/>
        </w:rPr>
      </w:pPr>
    </w:p>
    <w:p>
      <w:pPr>
        <w:ind w:left="820" w:hanging="488"/>
        <w:spacing w:after="0" w:line="250"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90,445 shares subject to options, 28,423 shares held through the 401(k) Plan, 17,400 shares held by his spouse, 44,800 shares held by his children and 3,532 shares of restricted stock with which vest within 60 days from June 27, 2016.</w:t>
      </w:r>
    </w:p>
    <w:p>
      <w:pPr>
        <w:ind w:left="820" w:hanging="488"/>
        <w:spacing w:after="0"/>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Includes 55,362 shares held through the 401(k) Plan and 3,525 shares of restricted stock which vest on September 3,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56,930 shares subject to exercisable options and 3,525 shares of restricted stock which vest on September 3, 2016.</w:t>
      </w:r>
    </w:p>
    <w:p>
      <w:pPr>
        <w:spacing w:after="0" w:line="2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45,421 shares subject to exercisable options and 3,525 shares of restricted stock which vest on September 3, 2016.</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38,421 shares subject to exercisable options and 3,525 shares of restricted stock which vest on September 3, 2016.</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19,623 shares subject to exercisable options and 3,525 shares of restricted stock which vest on September 3, 2016.</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9,191 shares subject to exercisable options and 3,525 shares of restricted stock which vest on September 3, 2016.</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9,191 shares subject to exercisable options and 3,525 shares of restricted stock which vest on September 3, 2016.</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35,767 shares subject to options, 6,186 shares held through the 401(k) Plan and 2,150 shares of restricted stock which vest within 60 days from June 27, 2016.</w:t>
      </w: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70,195 shares subject to options, 38,559 shares held through the 401(k) Plan, 559 shares held by his spouse and 2,232 shares of restricted stock which vest within 60 days from June 27, 2016.</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69,955 shares subject to options, 12,859 shares held through 401(k) Plan, 31,100 shares held by his children and 2,220 shares of restricted stock which vest within 60 days from June 27, 2016.</w:t>
      </w:r>
    </w:p>
    <w:p>
      <w:pPr>
        <w:ind w:left="820" w:right="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65,599 shares subject to options, 133,276 shares held through the 401(k) Plan, 90,000 shares held by her spouse, 30,385 shares held by her children and 2,070 shares of restricted stock with which vest within 60 days from June 27, 2016.</w:t>
      </w: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5% of the outstanding shares of the Company's common stock.</w:t>
      </w: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based on an Amendment to Schedule 13G filed by the shareholder with the Securities and Exchange Commission (the "SEC") on February 10, 2016. As set forth in the Schedule 13G, Blackrock, Inc. has sole voting power as to 3,566,041 of these shares and sole dispositive power as to all 3,656,729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Data based on Schedule 13G filed by the shareholder with the SEC on February 09, 2016. As set forth in the Schedule 13G, RidgeWorth Capital Management LLC, as Parent Company for Ceredex Value Advisors LLC, has sole voting power as to 1,441,726 of these shares and sole dispositive power as to all 2,002,046 shares.</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1,084,461 shares held by his spouse, Irene Kurtenbach, and 300,000 shares held in Medary Creek LLLP. Medary Creek LLLP is a limited liability limited partnership of which Aelred and Irene Kurtenbach are the general partners.</w:t>
      </w:r>
    </w:p>
    <w:p>
      <w:pPr>
        <w:ind w:left="820" w:hanging="488"/>
        <w:spacing w:after="0" w:line="323" w:lineRule="auto"/>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consists of eight individuals divided into three classes serving staggered three-year terms of office. There are three Directors (James B. Morgan, John L. Mulligan, and Kevin P. McDermott) whose terms will expire at the 2016 Annual Meeting; two Directors (Robert G. Dutcher and Nancy D. Frame) whose terms expire in 2017; and three Directors (Byron J. Anderson, John P. Friel, and Reece A. Kurtenbach) whose terms will expire in 2018. The Nominating and Corporate Governance Committee has recommended to the Board of Directors that James B. Morgan, John L. Mulligan, and Kevin P. McDermott be nominated for re-election at the 2016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4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960" w:type="dxa"/>
            <w:vAlign w:val="bottom"/>
          </w:tcPr>
          <w:p>
            <w:pPr>
              <w:ind w:left="114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tcBorders>
              <w:bottom w:val="single" w:sz="8" w:color="CCEEFF"/>
            </w:tcBorders>
            <w:shd w:val="clear" w:color="auto" w:fill="CCEEFF"/>
          </w:tcPr>
          <w:p>
            <w:pPr>
              <w:spacing w:after="0"/>
              <w:rPr>
                <w:sz w:val="21"/>
                <w:szCs w:val="21"/>
                <w:color w:val="auto"/>
              </w:rPr>
            </w:pPr>
          </w:p>
        </w:tc>
      </w:tr>
      <w:tr>
        <w:trPr>
          <w:trHeight w:val="243"/>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John L. Mulligan</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22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Investment associate with UBS</w:t>
            </w:r>
          </w:p>
        </w:tc>
        <w:tc>
          <w:tcPr>
            <w:tcW w:w="3960" w:type="dxa"/>
            <w:vAlign w:val="bottom"/>
          </w:tcPr>
          <w:p>
            <w:pPr>
              <w:ind w:left="20"/>
              <w:spacing w:after="0"/>
              <w:rPr>
                <w:sz w:val="20"/>
                <w:szCs w:val="20"/>
                <w:color w:val="auto"/>
              </w:rPr>
            </w:pPr>
            <w:r>
              <w:rPr>
                <w:rFonts w:ascii="Arial" w:cs="Arial" w:eastAsia="Arial" w:hAnsi="Arial"/>
                <w:sz w:val="18"/>
                <w:szCs w:val="18"/>
                <w:color w:val="auto"/>
              </w:rPr>
              <w:t>Audit Committee, Chair</w:t>
            </w:r>
          </w:p>
        </w:tc>
      </w:tr>
      <w:tr>
        <w:trPr>
          <w:trHeight w:val="27"/>
        </w:trPr>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9"/>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Provides litigation support consulting services on</w:t>
            </w: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w:t>
            </w:r>
          </w:p>
        </w:tc>
      </w:tr>
      <w:tr>
        <w:trPr>
          <w:trHeight w:val="216"/>
        </w:trPr>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 part time basis; a board member of Genesco</w:t>
            </w:r>
          </w:p>
        </w:tc>
        <w:tc>
          <w:tcPr>
            <w:tcW w:w="3960" w:type="dxa"/>
            <w:vAlign w:val="bottom"/>
            <w:shd w:val="clear" w:color="auto" w:fill="CCEEFF"/>
          </w:tcPr>
          <w:p>
            <w:pPr>
              <w:spacing w:after="0"/>
              <w:rPr>
                <w:sz w:val="18"/>
                <w:szCs w:val="18"/>
                <w:color w:val="auto"/>
              </w:rPr>
            </w:pPr>
          </w:p>
        </w:tc>
      </w:tr>
      <w:tr>
        <w:trPr>
          <w:trHeight w:val="230"/>
        </w:trPr>
        <w:tc>
          <w:tcPr>
            <w:tcW w:w="1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3960" w:type="dxa"/>
            <w:vAlign w:val="bottom"/>
            <w:shd w:val="clear" w:color="auto" w:fill="CCEEFF"/>
          </w:tcPr>
          <w:p>
            <w:pPr>
              <w:spacing w:after="0"/>
              <w:rPr>
                <w:sz w:val="20"/>
                <w:szCs w:val="20"/>
                <w:color w:val="auto"/>
              </w:rPr>
            </w:pPr>
          </w:p>
        </w:tc>
      </w:tr>
      <w:tr>
        <w:trPr>
          <w:trHeight w:val="27"/>
        </w:trPr>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James B. Morgan (69) </w:t>
      </w:r>
      <w:r>
        <w:rPr>
          <w:rFonts w:ascii="Arial" w:cs="Arial" w:eastAsia="Arial" w:hAnsi="Arial"/>
          <w:sz w:val="17"/>
          <w:szCs w:val="17"/>
          <w:color w:val="auto"/>
        </w:rPr>
        <w:t>is currently retired. He has been a Director since 1984. He served as the Company's President and Chief Executive Officer from 2001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his retirement effective on September 1, 2013. Prior to that he served as President and Chief Operating Officer and Vice President for Engineering. He originally joined the Company in 1969 as its first design engineer. He holds a Bachelor of Science degree and a Master of Science degree in electrical engineering from South Dakota State University. Mr. Morgan brings to the Board his experience and knowledge of our business and industry derived from his previous positions as President and Chief Executive Officer and his experience of over 45 years working for the Company.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(77) </w:t>
      </w:r>
      <w:r>
        <w:rPr>
          <w:rFonts w:ascii="Arial" w:cs="Arial" w:eastAsia="Arial" w:hAnsi="Arial"/>
          <w:sz w:val="17"/>
          <w:szCs w:val="17"/>
          <w:color w:val="auto"/>
        </w:rPr>
        <w:t>has been a Director and has served as chairperson of the Audit Committee since 1993. Since 1993, he has been employed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Kevin P. McDermott (62) </w:t>
      </w:r>
      <w:r>
        <w:rPr>
          <w:rFonts w:ascii="Arial" w:cs="Arial" w:eastAsia="Arial" w:hAnsi="Arial"/>
          <w:sz w:val="16"/>
          <w:szCs w:val="16"/>
          <w:color w:val="auto"/>
        </w:rPr>
        <w:t>has been a Director since June 2015. Mr. McDermott joins the board of directors with 33 years of experience with the accounting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of KPMG LLP,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 party litigation matters. Although Mr. McDermott retired from KPMG LLP, he provides litigation support consulting services on a part time basis. He is a licensed Certified Public Accountant in Tennessee and New York and holds a Bachelor of Science in economics from South Dakota State University. Mr. McDermott was appointed to the board of directors of Genesco Inc. effective February 1, 2016. Mr. McDermott brings significant expertise in the area of financial and internal control reporting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publicly traded companies. This expertise aligns with our responsibility and commitment to provide oversight for our shareholders and others relating to the integrity of our financial statements and related filings.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Robert G. Dutcher (71) </w:t>
      </w:r>
      <w:r>
        <w:rPr>
          <w:rFonts w:ascii="Arial" w:cs="Arial" w:eastAsia="Arial" w:hAnsi="Arial"/>
          <w:sz w:val="17"/>
          <w:szCs w:val="17"/>
          <w:color w:val="auto"/>
        </w:rPr>
        <w:t>is currently retired. He has been a Director of the Company since 2002 and chairperson of the Compensation Committee since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Before his retirement, from April 2009 until March 2011, he served as Strategic Advisor Lead Member of MEDRAD, Inc. From April 2008 through March 2009, he was President and Chief Executive Officer of the Cardiovascular Division of MEDRAD, Inc. From 2001 until April 2008, he was the Chairman, President and Chief Executive Officer of Possis Medical, Inc., a publicly-held medical device company located in Minneapolis, Minnesota, which was acquired by MEDRAD, Inc. in April 2008. From 1993 until April 2008, he served as President and Chief Executive Officer of Possis Medical. Before joining Possis Medical in 1985, he was with Medtronic, Inc. for 12 years, most recently as Director of Research and Development. He previously worked in an engineering capacity for Control Data Corporation and Honeywell, Inc. Mr. Dutcher holds a Bachelor of Science degree in electrical engineering from South Dakota State University and a Master of Science degree in electrical engineering from the University of Minnesota. Mr. Dutcher brings to the Board extensive knowledge in driving profitable growth in technology driven industries from his experience in leading R&amp;D at Medtronic and as Chief Executive Officer of Possis Medical.</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Nancy D. Frame (71) </w:t>
      </w:r>
      <w:r>
        <w:rPr>
          <w:rFonts w:ascii="Arial" w:cs="Arial" w:eastAsia="Arial" w:hAnsi="Arial"/>
          <w:sz w:val="17"/>
          <w:szCs w:val="17"/>
          <w:color w:val="auto"/>
        </w:rPr>
        <w:t>is currently retired. She has been a Director of the Company since 1999, chairperson of the Nominating and Corporate Governance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since 2004 and Lead Independent Director since 2005. She also serves as a member of the Compensation Committee. She was Deputy Director of the U.S.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Bachelor of Science degree from South Dakota State University.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Byron J. Anderson (72) </w:t>
      </w:r>
      <w:r>
        <w:rPr>
          <w:rFonts w:ascii="Arial" w:cs="Arial" w:eastAsia="Arial" w:hAnsi="Arial"/>
          <w:sz w:val="17"/>
          <w:szCs w:val="17"/>
          <w:color w:val="auto"/>
        </w:rPr>
        <w:t>is currently retired. He has been a Director of the Company since 2005 and has served on the Compensation Committee and</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Nominating and Governance Committee since November 2005 and on the Audit Committee since May 2015. Before his retirement, from 1999 to 2004 he 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ending his career there as a Vice President responsible for a business unit serving the worldwide communications industry. He holds an Master of Business Administration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Reece A. Kurtenbach (51) </w:t>
      </w:r>
      <w:r>
        <w:rPr>
          <w:rFonts w:ascii="Arial" w:cs="Arial" w:eastAsia="Arial" w:hAnsi="Arial"/>
          <w:sz w:val="17"/>
          <w:szCs w:val="17"/>
          <w:color w:val="auto"/>
        </w:rPr>
        <w:t>was appointed as President and Chief Executive Officer and a Director effective on September 1, 2013 and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The Board believes that Mr. Kurtenbach is an appropriate representative of management on the Board given his position as a senior executive officer and his long tenure with the Company which dates back 29 years. In addition, Mr. Kurtenbach brings a wealth of industry experience to the Board.</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John P. Friel (62) </w:t>
      </w:r>
      <w:r>
        <w:rPr>
          <w:rFonts w:ascii="Arial" w:cs="Arial" w:eastAsia="Arial" w:hAnsi="Arial"/>
          <w:sz w:val="17"/>
          <w:szCs w:val="17"/>
          <w:color w:val="auto"/>
        </w:rPr>
        <w:t>has been a Director since September 2015. Mr. Friel served for 30 years in various capacities at MEDRAD, Inc., a global company that</w:t>
      </w:r>
      <w:r>
        <w:rPr>
          <w:rFonts w:ascii="Arial" w:cs="Arial" w:eastAsia="Arial" w:hAnsi="Arial"/>
          <w:sz w:val="17"/>
          <w:szCs w:val="17"/>
          <w:b w:val="1"/>
          <w:bCs w:val="1"/>
          <w:color w:val="auto"/>
        </w:rPr>
        <w:t xml:space="preserve"> </w:t>
      </w:r>
      <w:r>
        <w:rPr>
          <w:rFonts w:ascii="Arial" w:cs="Arial" w:eastAsia="Arial" w:hAnsi="Arial"/>
          <w:sz w:val="17"/>
          <w:szCs w:val="17"/>
          <w:color w:val="auto"/>
        </w:rPr>
        <w:t>designs, develops, manufactures, sells, and supports medical devices. MEDRAD is an affiliate of Bayer, AG. He joined MEDRAD in the accounting area and earned a promotion to Treasurer and Vice President in corporate planning in 1986 and in the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 in 2004 and again in 2010. Mr. Friel is currently the managing director at Preservation Technologies L.P., the director of the medical device industry segment at Blue Water Growth LLC, and a business consultant and board member of various companies in his position at Five Radicals LLC. Mr. Friel is a principal and founder of Five Radicals, which focuses on Baldrige Performance Excellence, strategic planning, general business consulting to entrepreneurial medical device companies, and private equity business development opportunity search efforts. He holds a Master of Arts in law and diplomacy from Tufts University and a Bachelor of Arts in political science and Bachelor of Science in accounting from Pennsylvania State University. Mr. Friel brings extensive global general management knowledge and practice. He has strong experience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building and growing businesses, especially in technical product development and global expansions, which align with many of the Company's initiatives and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Anderson, Mulligan, Dutcher, Friel and McDermott and Ms. Frame are “independent,” as that term is defined in Rule 5605(a)(2) of the NASDAQ Listing Rules. Accordingly, the Board is composed of a majority of independent Directors as required by the NASDAQ Listing Rules.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subject to at-will employment consistent with applicable South Dakota state law. There are no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2016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2016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("the Independent Auditor") to perform reviews of our interim consolidated financial statements to be included in our fiscal 2017 Quarterly Reports on Form 10-Q and to audit our annual consolidated financial statements and our internal control over financial reporting for fiscal 2017, and it recommends that the shareholders vote for ratification of such appointment. Ernst &amp; Young LLP has acted as our Independent Auditor since fiscal year 2003. A representative of Ernst &amp; Young LLP is expected to be present at the Annual Meeting, will have the opportunity to make a statement, and is expected to be available to respond to appropriate questions.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aggregate fees billed for professional services rendered by Ernst &amp; Young LLP for the last two fiscal years are set forth in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30, 2016</w:t>
            </w:r>
          </w:p>
        </w:tc>
        <w:tc>
          <w:tcPr>
            <w:tcW w:w="18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96"/>
              </w:rPr>
              <w:t>May 2, 2015</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1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862,625</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795,470</w:t>
            </w:r>
          </w:p>
        </w:tc>
      </w:tr>
      <w:tr>
        <w:trPr>
          <w:trHeight w:val="270"/>
        </w:trPr>
        <w:tc>
          <w:tcPr>
            <w:tcW w:w="3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26,200</w:t>
            </w:r>
          </w:p>
        </w:tc>
      </w:tr>
      <w:tr>
        <w:trPr>
          <w:trHeight w:val="270"/>
        </w:trPr>
        <w:tc>
          <w:tcPr>
            <w:tcW w:w="310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37"/>
        </w:trPr>
        <w:tc>
          <w:tcPr>
            <w:tcW w:w="3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891,220</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823,665</w:t>
            </w:r>
          </w:p>
        </w:tc>
      </w:tr>
      <w:tr>
        <w:trPr>
          <w:trHeight w:val="47"/>
        </w:trPr>
        <w:tc>
          <w:tcPr>
            <w:tcW w:w="3100" w:type="dxa"/>
            <w:vAlign w:val="bottom"/>
            <w:tcBorders>
              <w:bottom w:val="single" w:sz="8" w:color="CCEEFF"/>
            </w:tcBorders>
            <w:shd w:val="clear" w:color="auto" w:fill="CCEEFF"/>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0"/>
        </w:trPr>
        <w:tc>
          <w:tcPr>
            <w:tcW w:w="3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jc w:val="both"/>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Auditor for the fiscal year ending April 29, 2017. If the shareholders do not approve the selection of Ernst &amp; Young LLP, the Audit Committee will reconsider its selection.</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APRIL 29, 2017 AS SET FORTH IN PROPOSAL THREE.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 Aelred Kurtenbach, one of our founders and our first Chief Executive Officer ("CEO"), served as Chairman of the Board from the Company's inception until September 2014. When he retired from the CEO responsibilities in 2001, the Board separated the Chair and CEO roles and retained Dr. Kurtenbach as Chair in order to continue to benefit from his leadership. The Board has also established a Lead Independent Director role. Ms. Nancy Frame has served as our Lead Independent Director since 2005. When Dr. Kurtenbach retired as Chairman of the Board in September 2014, the Board studied and discussed publicly available research and expert guidance on different structures. After this study and discussion, the Board determined that a return to the combined Chair and CEO roles plus a Lead Independent Director role would best serve the Company and its shareholders going forward.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2016, the Board of Directors held four regularly scheduled meetings and one special meeting, the Audit Committee met nine times, the Compensation Committee met four times, and the Nominating and Corporate Governance Committee met four times. All of the Directors attended at least 75 percent of the aggregate of all meetings of the Board of Directors and Committees upon which they served and the annual meeting of shareholders held in September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the economy, credit markets and regulatory and legislative developments.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Audit Committee</w:t>
      </w:r>
      <w:r>
        <w:rPr>
          <w:rFonts w:ascii="Arial" w:cs="Arial" w:eastAsia="Arial" w:hAnsi="Arial"/>
          <w:sz w:val="17"/>
          <w:szCs w:val="17"/>
          <w:color w:val="auto"/>
        </w:rPr>
        <w:t>. During fiscal 2016, our Audit Committee consisted of John L. Mulligan (Chairperson), Byron J. Anderson (beginning May 1, 2015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September 3, 2015), John P. Friel (beginning September 3, 2015), and Kevin P. McDermott (beginning August 17, 2015). Upon a prior board member's resignation from the Board effective May 1, 2015, Mr. Anderson was appointed to the Audit Committee. Mr. Anderson served on the Audit Committee through September 3, 2015, when Mr. Friel were appointed to the Audit Committee. The Board of Directors has determined that each Audit Committee member is independent as defined under Rule 5605(a)(2) of the NASDAQ Listing Rules and Rule 10A-3 under the Securities Exchange Act of 1934 (“Exchange Act”). The Board has determined that Mr. Mulligan and Mr. McDermott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registered public accounting firm,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Compensation Committee</w:t>
      </w:r>
      <w:r>
        <w:rPr>
          <w:rFonts w:ascii="Arial" w:cs="Arial" w:eastAsia="Arial" w:hAnsi="Arial"/>
          <w:sz w:val="17"/>
          <w:szCs w:val="17"/>
          <w:color w:val="auto"/>
        </w:rPr>
        <w:t>. During fiscal 2016, our Compensation Committee consisted of Robert G. Dutcher (Chairperson), Byron J. Anderson and Nancy 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Frame. All of 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Nominating and Corporate Governance Committee</w:t>
      </w:r>
      <w:r>
        <w:rPr>
          <w:rFonts w:ascii="Arial" w:cs="Arial" w:eastAsia="Arial" w:hAnsi="Arial"/>
          <w:sz w:val="18"/>
          <w:szCs w:val="18"/>
          <w:color w:val="auto"/>
        </w:rPr>
        <w:t>. During fiscal 2016, our Nominating and Corporate Governance Committee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consisted of Nancy D. Frame (Chairperson), Byron J. Anderson and John P. Friel.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their willingness to be prepared and active participants at Board and Committee meetings. The Nominating and Corporate Governance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and the Board seek members who will contribute to our overall corporate goals, taking into account:</w:t>
      </w:r>
    </w:p>
    <w:p>
      <w:pPr>
        <w:spacing w:after="0" w:line="2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Nominating and Corporate Governance Committee will consider written proposals from shareholders for nominees for Director. Any such nominations must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2016,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2016 DIRECTOR COMPENSATION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Fees Earned or</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Total</w:t>
            </w:r>
          </w:p>
        </w:tc>
      </w:tr>
      <w:tr>
        <w:trPr>
          <w:trHeight w:val="257"/>
        </w:trPr>
        <w:tc>
          <w:tcPr>
            <w:tcW w:w="2500" w:type="dxa"/>
            <w:vAlign w:val="bottom"/>
            <w:tcBorders>
              <w:bottom w:val="single" w:sz="8" w:color="auto"/>
            </w:tcBorders>
            <w:shd w:val="clear" w:color="auto" w:fill="CCEEFF"/>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7"/>
              </w:rPr>
              <w:t>Paid in Cash ($)</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0"/>
              <w:spacing w:after="0" w:line="257" w:lineRule="exact"/>
              <w:rPr>
                <w:sz w:val="20"/>
                <w:szCs w:val="20"/>
                <w:color w:val="auto"/>
              </w:rPr>
            </w:pPr>
            <w:r>
              <w:rPr>
                <w:rFonts w:ascii="Arial" w:cs="Arial" w:eastAsia="Arial" w:hAnsi="Arial"/>
                <w:sz w:val="18"/>
                <w:szCs w:val="18"/>
                <w:color w:val="auto"/>
                <w:w w:val="89"/>
              </w:rPr>
              <w:t xml:space="preserve">Stock Awards ($) </w:t>
            </w:r>
            <w:r>
              <w:rPr>
                <w:rFonts w:ascii="Arial" w:cs="Arial" w:eastAsia="Arial" w:hAnsi="Arial"/>
                <w:sz w:val="25"/>
                <w:szCs w:val="25"/>
                <w:color w:val="auto"/>
                <w:w w:val="89"/>
                <w:vertAlign w:val="superscript"/>
              </w:rPr>
              <w:t>(2)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line="257" w:lineRule="exact"/>
              <w:rPr>
                <w:sz w:val="20"/>
                <w:szCs w:val="20"/>
                <w:color w:val="auto"/>
              </w:rPr>
            </w:pPr>
            <w:r>
              <w:rPr>
                <w:rFonts w:ascii="Arial" w:cs="Arial" w:eastAsia="Arial" w:hAnsi="Arial"/>
                <w:sz w:val="18"/>
                <w:szCs w:val="18"/>
                <w:color w:val="auto"/>
                <w:w w:val="90"/>
              </w:rPr>
              <w:t xml:space="preserve">Option Awards ($) </w:t>
            </w:r>
            <w:r>
              <w:rPr>
                <w:rFonts w:ascii="Arial" w:cs="Arial" w:eastAsia="Arial" w:hAnsi="Arial"/>
                <w:sz w:val="25"/>
                <w:szCs w:val="25"/>
                <w:color w:val="auto"/>
                <w:w w:val="90"/>
                <w:vertAlign w:val="superscript"/>
              </w:rPr>
              <w:t>(3)</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5"/>
              </w:rPr>
              <w:t>Compensation ($)</w:t>
            </w: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Byron J. Anderson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94,998</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G. Dutcher</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93,998</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Nancy D. Frame</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95,998</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John P. Friel</w:t>
            </w:r>
            <w:r>
              <w:rPr>
                <w:rFonts w:ascii="Arial" w:cs="Arial" w:eastAsia="Arial" w:hAnsi="Arial"/>
                <w:sz w:val="25"/>
                <w:szCs w:val="25"/>
                <w:color w:val="auto"/>
                <w:vertAlign w:val="superscript"/>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75,498</w:t>
            </w:r>
          </w:p>
        </w:tc>
      </w:tr>
      <w:tr>
        <w:trPr>
          <w:trHeight w:val="270"/>
        </w:trPr>
        <w:tc>
          <w:tcPr>
            <w:tcW w:w="2500" w:type="dxa"/>
            <w:vAlign w:val="bottom"/>
          </w:tcPr>
          <w:p>
            <w:pPr>
              <w:ind w:left="40"/>
              <w:spacing w:after="0" w:line="270" w:lineRule="exact"/>
              <w:rPr>
                <w:sz w:val="20"/>
                <w:szCs w:val="20"/>
                <w:color w:val="auto"/>
              </w:rPr>
            </w:pPr>
            <w:r>
              <w:rPr>
                <w:rFonts w:ascii="Arial" w:cs="Arial" w:eastAsia="Arial" w:hAnsi="Arial"/>
                <w:sz w:val="18"/>
                <w:szCs w:val="18"/>
                <w:color w:val="auto"/>
              </w:rPr>
              <w:t>Kevin P. McDermott</w:t>
            </w:r>
            <w:r>
              <w:rPr>
                <w:rFonts w:ascii="Arial" w:cs="Arial" w:eastAsia="Arial" w:hAnsi="Arial"/>
                <w:sz w:val="25"/>
                <w:szCs w:val="25"/>
                <w:color w:val="auto"/>
                <w:vertAlign w:val="superscript"/>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74,498</w:t>
            </w: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89,998</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29,998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95,998</w:t>
            </w:r>
          </w:p>
        </w:tc>
      </w:tr>
      <w:tr>
        <w:trPr>
          <w:trHeight w:val="27"/>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25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James A. Vellenga</w:t>
            </w:r>
            <w:r>
              <w:rPr>
                <w:rFonts w:ascii="Arial" w:cs="Arial" w:eastAsia="Arial" w:hAnsi="Arial"/>
                <w:sz w:val="25"/>
                <w:szCs w:val="25"/>
                <w:color w:val="auto"/>
                <w:vertAlign w:val="superscript"/>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10,250</w:t>
            </w:r>
          </w:p>
        </w:tc>
      </w:tr>
    </w:tbl>
    <w:p>
      <w:pPr>
        <w:jc w:val="both"/>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2016 and therefore his compensation is included in the appropriate tables within the section of this proxy statement entitled "Executive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September 3, 2015 grants of 3,525 restricted shares of our common stock, which vest on September 3, 2016 if they are then Directors of the Company. This amount was computed in accordance with Financial Accounting Standards Board Accounting Standards Codification Topic 718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September 3, 2015 stock option awards of 9,191 shares with a grant date fair value of $25,000, which vest on September 3, 2016 if they are then Directors of the Company. This amount was computed in accordance with ASC 718. The 2015 Stock Incentive Plan (the "2015 Plan") requires that all options granted under the 2015 Plan have an exercise price equal to the fair market value of our common stock on the date of grant. All options granted to non-employee Directors under the 2015 Plan are non-qualified options not intended to qualify as incentive stock options under Section 422 of the Internal Revenue Code of 1986.</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elected to the Board of Directors on September 2,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 appointed to the Board of Directors in June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Vellenga passed away in August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2016, each independent Director received an annual retainer of $25,000.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2016 Director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Stock Ownership and Retention Guidelines. </w:t>
      </w:r>
      <w:r>
        <w:rPr>
          <w:rFonts w:ascii="Arial" w:cs="Arial" w:eastAsia="Arial" w:hAnsi="Arial"/>
          <w:sz w:val="18"/>
          <w:szCs w:val="18"/>
          <w:color w:val="auto"/>
        </w:rPr>
        <w:t>The Board of Directors has implemented stock ownership guidelines for Directors. Under these guidelines,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Director is expected to achieve a target of 5,000 shares owned, excluding shares subject to options. Directors have five years from the later of their first becoming a member of the Board of Directors or, if applicable, January 2007 to achieve this level of ownership. As of the Record Date, all directors were in compliance with these guidelines.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June 27, 2016 about our executive officers who are not Directors.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34"/>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54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Vice President and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 lead design engineer after spending a number of years with Rockwell International Corporation,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School &amp; Theatres business unit, which is now known as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project manager for the Company's process improvements and facility expansions. In 2001, he was named Manufacturing Manager and, in 2006, he was appointed Vice President, Manufacturing. Also in 2006, he was charged with leading the Company's transformation to lean manufacturing. More recently,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Carla S. Gatzke </w:t>
      </w:r>
      <w:r>
        <w:rPr>
          <w:rFonts w:ascii="Arial" w:cs="Arial" w:eastAsia="Arial" w:hAnsi="Arial"/>
          <w:sz w:val="16"/>
          <w:szCs w:val="16"/>
          <w:color w:val="auto"/>
        </w:rPr>
        <w:t>joined the Company in 1981 as a student employee in inventory, information systems, and engineering. In 1984, she moved into the role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Systems Sales Engineering where she was responsible for sales and project management for legislative voting systems. In 1988, Ms. Gatzke took an 18 month leave of absence to attend Drake University and teach for one semester. In 1990, Ms. Gatzke returned to Daktronics and managed Star Circuits, a subsidiary of the Company which manufactures printed circuit boards. In 1992, she became responsible for the Human Resources Department and, in 1996, she added the responsibility of the Company's Information and Technology and Systems Department. In 2006, the responsibility of the Company's Human Resources and Information and Technology and Systems departments were separated, and Ms. Gatzke retained responsibility for the Human Resources Department. In 2005, she was appointed Vice President of Human Resources. Ms. Gatzke has served as Corporate Secretary since 1994. Ms. Gatzke holds a Master of Business Administration degree from Drake University and a Bachelor of Science degree in electrical engineering with minors in math and computer science from South Dakota State University. Ms. Gatzke is the daughter of Aelred J. Kurtenbach and the sister of Reece A. Kurtenbach and Matthew J. Kurtenbach.</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also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and stock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financial performance for the fiscal year ended April 30, 2016 included declines in sales and orders. Orders and sales decreased over last fiscal year due to decreased customer demand in billboard and spectacular niches, the timing of customer deliveries extending beyond the fiscal year, and timing volatility in booking large orders. The additional week in fiscal 2015 accounted for approximately 2.0% of the decline. In fiscal 2016, we delivered a 0.6 percent return on assets and a 1.0 percent return on beginning shareholders' equity. In fiscal 2016 compared to fiscal 2015, sales were down 7.4 percent, and operating income decreased by 92.0 percent. In fiscal 2016, operating income as a percent of sales decreased to 0.4 percentage as compared to 5.1 percent in fiscal 2015.</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executive compensation during the current fiscal year were mainly due to both maintaining competitiveness as the economy improved and the Company's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executive compensation programs. In arriving at the appropriate levels of pay and incentive opportunities, the Committee reviews our compensation philosophy and trends in our peer group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incentive compensation is designed to focus the executive team on the Company-wide goals and objectives, which focus on growth in revenue and reductions in cost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shareholders' interests.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is essential to retain high-performing executives. The average number of years of experience with Daktronics of our currently employed non-Director Named Executive Officers is 23.5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2016, our Named Executive Officers were Reece A. Kurtenbach, President and Chief Executive Officer; Sheila M. Anderson, Chief Financial Officer and Treasurer; Bradley T. Wiemann, Executive Vice President; Matthew J. Kurtenbach, Vice President, Manufacturing; and Carla S. Gatzke, Vice President of Human Resources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Chief Executive Officer and Vice President of Human Resources present to the Compensation Committee their recommendation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executives' compensation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Imation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EVINE Live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Bio-Techne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Hutchinson Technology,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Arctic Cat,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MTS Systems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Datalink Corp</w:t>
      </w:r>
    </w:p>
    <w:p>
      <w:pPr>
        <w:spacing w:after="0" w:line="200"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also considers compensation data from Salary.com and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we have not retained consulting firms to assist us in determining executive compensation. The Committee believes that its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2016,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equity-based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deferred compensation arrangements;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salary reflects each executive's responsibility, capability and performance. Base salary is determined based on the benchmarking data</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executive's responsibilities, the executive's experience in his or her area of responsibility, and the executive's performance and the impact of such performance on our business results.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noted that Mr. Reece Kurtenbach's base salary for fiscal 2014 was considerably lower than the benchmarking data for Chief Executive Officers ("CEO") and that Mr. Kurtenbach was fully performing the responsibilities of CEO. Therefore, the Committee approved an adjustment to Mr. Kurtenbach's base salary for fiscal 2015 to a level that is more competitive.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also determined that the base salaries for fiscal 2014 for the other Named Executive Officers were generally lower than competitive levels in the benchmarking data, and therefore it approved an increase in the base salaries for fiscal 2015 for the other Named Executive Officers. In addition, the Committee determined that Ms. Sheila Anderson's base salary for fiscal 2014 was somewhat lower than competitive levels due to her brief time in the responsibility of Chief Financial Officer ("CFO") and that she is fully performing the responsibilities of CFO. Therefore, the Committee approved an additional increase in base salary for Ms. Anderson for fiscal 2015.</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three months of base salary to 7.5 months of base salary for each executive officer. The maximum level of the variable cash compensation is 120 percent of the targeted level of variable cash compensation.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it believes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2016, the Named Executive Officers were eligible for non-equity-based incentive compensation if the maximum payout of 120 percent of target was achieved as follows: Chief Executive Officer - 67 percent of his base salary; Chief Financial Officer - 46 percent of her salary; Vice President and Secretary - 42 percent of her base salary; and all other Named Executives Officers - 54 percent of their base salaries. For fiscal 2014, a payout of approximately 47 percent was made. For fiscal 2015, a payout of approximately 26 percent was made. For fiscal 2016, there was no non-equity-based incentive compensation paid out to any Named Executive Officer.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comparison to the prior fiscal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2016, subject to the guidelines and limitations imposed by the Compensation Committee.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among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fiscal 2014 allocation, the Committee determined that each Named Executive Officer would be allocated equity grants for approximately 10,000 shares of common stock, with a ratio of 2.5:1 of incentive stock options to restricted stock units. The Committee recommended that Reece A. Kurtenbach should receive more equity grants than the other Named Executive Officers due to his being named as Chief Executive Officer effective on September 1, 2013 and that Sheila A. Anderson should receive fewer equity grants due to it being her first year as Chief Financial Officer. The Board approved the Compensation Committee’s recommended allocation. For fiscal 2014, all equity grants to employees were made under the Company's 2007 Stock Incentive Plan (the "2007 Plan").</w:t>
      </w:r>
    </w:p>
    <w:p>
      <w:pPr>
        <w:spacing w:after="0" w:line="19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In fiscal 2014, Mr. Kurtenbach was granted incentive stock options to purchase 8,750 shares of our common stock and restricted stock units for 3,500 shares in the annual employee equity grant. The Compensation Committee also recommended and the Board approved a one</w:t>
      </w:r>
      <w:r>
        <w:rPr>
          <w:rFonts w:ascii="MS PGothic" w:cs="MS PGothic" w:eastAsia="MS PGothic" w:hAnsi="MS PGothic"/>
          <w:sz w:val="18"/>
          <w:szCs w:val="18"/>
          <w:color w:val="auto"/>
        </w:rPr>
        <w:t>‑</w:t>
      </w:r>
      <w:r>
        <w:rPr>
          <w:rFonts w:ascii="Arial" w:cs="Arial" w:eastAsia="Arial" w:hAnsi="Arial"/>
          <w:sz w:val="18"/>
          <w:szCs w:val="18"/>
          <w:color w:val="auto"/>
        </w:rPr>
        <w:t>time grant to Mr. Kurtenbach of incentive stock options to purchase 25,000 shares when he was appointed Chief Executive Officer as described in footnote 5 to the Summary Compensation Table.</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fiscal 2015 allocation, the Committee recommended that each Named Executive Officer would again be allocated equity grants for approximately 10,000 shares of common stock, with a ratio of 2.5:1 of incentive stock options to restricted stock units. The Committee recommended that Mr. Reece A. Kurtenbach should receive a grant of twice the amount of other Named Executive Officers to facilitate ownership of additional stock of the Company by the CEO and to reflect a ratio of grants to the CEO compared to grants to other Named Executive Officers that is more similar to the ratio in the benchmarking data. The Board approved the Compensation Committee's recommended allocation. For fiscal 2015, all equity grants to employees were made under the 2007 Plan.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fiscal 2016, the Compensation Committee determined that it would continue to grant restricted stock units as well as incentive stock options in a manner substantially similar to fiscal 2015, and that the valuation of the equity grants, based on the grant date fair value as determined under ASC 718, would be limited to approximately $2.5 million for all employees, including the Named Executive Officers. The total number of shares of common stock subject to stock options and restricted stock units granted to all employees remained the same in fiscal 2016 compared to fiscal 2015. The value of the restricted stock units was equal to 90.6 percent of the value of the stock options for executives, as determined under the fair value provisions of ASC 718. For fiscal 2016, all equity grants to employees were made under the 2015 Plan.</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and the 2015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health coverage, or similar benefits for our executives or employees.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employees, including the Named Executive Officers, are entitled to participate in the 401(k) Plan, which is qualified under Section 401(k) of the Internal Revenue Code of 1986. At the discretion of the Board of Directors, we may make matching contributions equal to a percentage of the salary deduction contributions or other discretionary amounts. We paid $2.3 million in matching and discretionary contributions in fiscal 2016, $2.1 million in fiscal 2015 and $1.9 million in fiscal 2014. Contributions to the 401(k) Plan on behalf of the Named Executive Officers are described in the table entitled “Summary Compensation Table – Fiscal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fiscal years ended April 30, 2016, May 2, 2015 and April 26, 2014,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30, 2016. The Company operates on a 52 or 53 week fiscal year, with our fiscal year ending on the Saturday closest to April 30 of each year. Fiscal 2015 is a 53-week year; therefore, the fiscal year ended May 2, 2015 contained results for 53 weeks while the fiscal years ended April 30, 2016 and April 26, 2014 contained results for 52 weeks.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2"/>
          </w:tcPr>
          <w:p>
            <w:pPr>
              <w:ind w:left="40"/>
              <w:spacing w:after="0"/>
              <w:rPr>
                <w:sz w:val="20"/>
                <w:szCs w:val="20"/>
                <w:color w:val="auto"/>
              </w:rPr>
            </w:pPr>
            <w:r>
              <w:rPr>
                <w:rFonts w:ascii="Arial" w:cs="Arial" w:eastAsia="Arial" w:hAnsi="Arial"/>
                <w:sz w:val="18"/>
                <w:szCs w:val="18"/>
                <w:b w:val="1"/>
                <w:bCs w:val="1"/>
                <w:color w:val="auto"/>
              </w:rPr>
              <w:t>SUMMARY COMPENSATION TABLE – FISCAL 2016</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Non-Equity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Option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Incentive Plan</w:t>
            </w:r>
          </w:p>
        </w:tc>
        <w:tc>
          <w:tcPr>
            <w:tcW w:w="240" w:type="dxa"/>
            <w:vAlign w:val="bottom"/>
          </w:tcPr>
          <w:p>
            <w:pPr>
              <w:spacing w:after="0"/>
              <w:rPr>
                <w:sz w:val="18"/>
                <w:szCs w:val="18"/>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gridSpan w:val="9"/>
            <w:vMerge w:val="restart"/>
          </w:tcPr>
          <w:p>
            <w:pPr>
              <w:ind w:left="40"/>
              <w:spacing w:after="0"/>
              <w:rPr>
                <w:sz w:val="20"/>
                <w:szCs w:val="20"/>
                <w:color w:val="auto"/>
              </w:rPr>
            </w:pPr>
            <w:r>
              <w:rPr>
                <w:rFonts w:ascii="Arial" w:cs="Arial" w:eastAsia="Arial" w:hAnsi="Arial"/>
                <w:sz w:val="18"/>
                <w:szCs w:val="18"/>
                <w:color w:val="auto"/>
              </w:rPr>
              <w:t>Awards($)   Awards($)   Compensation($)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60" w:type="dxa"/>
            <w:vAlign w:val="bottom"/>
            <w:vMerge w:val="restart"/>
          </w:tcPr>
          <w:p>
            <w:pPr>
              <w:ind w:left="30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Year</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vMerge w:val="restart"/>
          </w:tcPr>
          <w:p>
            <w:pPr>
              <w:spacing w:after="0"/>
              <w:rPr>
                <w:sz w:val="5"/>
                <w:szCs w:val="5"/>
                <w:color w:val="auto"/>
              </w:rPr>
            </w:pPr>
          </w:p>
        </w:tc>
        <w:tc>
          <w:tcPr>
            <w:tcW w:w="3480" w:type="dxa"/>
            <w:vAlign w:val="bottom"/>
            <w:gridSpan w:val="9"/>
            <w:vMerge w:val="continue"/>
          </w:tcPr>
          <w:p>
            <w:pPr>
              <w:spacing w:after="0"/>
              <w:rPr>
                <w:sz w:val="5"/>
                <w:szCs w:val="5"/>
                <w:color w:val="auto"/>
              </w:rPr>
            </w:pPr>
          </w:p>
        </w:tc>
        <w:tc>
          <w:tcPr>
            <w:tcW w:w="1460" w:type="dxa"/>
            <w:vAlign w:val="bottom"/>
            <w:gridSpan w:val="2"/>
            <w:vMerge w:val="restart"/>
          </w:tcPr>
          <w:p>
            <w:pPr>
              <w:ind w:left="20"/>
              <w:spacing w:after="0" w:line="257" w:lineRule="exact"/>
              <w:rPr>
                <w:sz w:val="20"/>
                <w:szCs w:val="20"/>
                <w:color w:val="auto"/>
              </w:rPr>
            </w:pPr>
            <w:r>
              <w:rPr>
                <w:rFonts w:ascii="Arial" w:cs="Arial" w:eastAsia="Arial" w:hAnsi="Arial"/>
                <w:sz w:val="18"/>
                <w:szCs w:val="18"/>
                <w:color w:val="auto"/>
                <w:w w:val="89"/>
              </w:rPr>
              <w:t>Compensation($)</w:t>
            </w:r>
            <w:r>
              <w:rPr>
                <w:rFonts w:ascii="Arial" w:cs="Arial" w:eastAsia="Arial" w:hAnsi="Arial"/>
                <w:sz w:val="25"/>
                <w:szCs w:val="25"/>
                <w:color w:val="auto"/>
                <w:w w:val="89"/>
                <w:vertAlign w:val="superscript"/>
              </w:rPr>
              <w:t>(4)</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Reece A. Kurtenbach</w:t>
            </w:r>
            <w:r>
              <w:rPr>
                <w:rFonts w:ascii="Arial" w:cs="Arial" w:eastAsia="Arial" w:hAnsi="Arial"/>
                <w:sz w:val="25"/>
                <w:szCs w:val="25"/>
                <w:b w:val="1"/>
                <w:bCs w:val="1"/>
                <w:color w:val="auto"/>
                <w:vertAlign w:val="superscript"/>
              </w:rPr>
              <w:t>(5)</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367,308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40,620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44,850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460,669</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72,780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83,250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539,977</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34,580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81,765</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535,250</w:t>
            </w:r>
          </w:p>
        </w:tc>
        <w:tc>
          <w:tcPr>
            <w:tcW w:w="0" w:type="dxa"/>
            <w:vAlign w:val="bottom"/>
          </w:tcPr>
          <w:p>
            <w:pPr>
              <w:spacing w:after="0"/>
              <w:rPr>
                <w:sz w:val="1"/>
                <w:szCs w:val="1"/>
                <w:color w:val="auto"/>
              </w:rPr>
            </w:pPr>
          </w:p>
        </w:tc>
      </w:tr>
      <w:tr>
        <w:trPr>
          <w:trHeight w:val="283"/>
        </w:trPr>
        <w:tc>
          <w:tcPr>
            <w:tcW w:w="266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Sheila M. Anderson</w:t>
            </w:r>
            <w:r>
              <w:rPr>
                <w:rFonts w:ascii="Arial" w:cs="Arial" w:eastAsia="Arial" w:hAnsi="Arial"/>
                <w:sz w:val="25"/>
                <w:szCs w:val="25"/>
                <w:b w:val="1"/>
                <w:bCs w:val="1"/>
                <w:color w:val="auto"/>
                <w:vertAlign w:val="superscript"/>
              </w:rPr>
              <w:t>(6)</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228,308</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277,909</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208,977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320,598</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172,224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27,170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34,075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281,318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236,985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287,670</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343,409</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29,640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46,626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323,920</w:t>
            </w:r>
          </w:p>
        </w:tc>
        <w:tc>
          <w:tcPr>
            <w:tcW w:w="0" w:type="dxa"/>
            <w:vAlign w:val="bottom"/>
          </w:tcPr>
          <w:p>
            <w:pPr>
              <w:spacing w:after="0"/>
              <w:rPr>
                <w:sz w:val="1"/>
                <w:szCs w:val="1"/>
                <w:color w:val="auto"/>
              </w:rPr>
            </w:pPr>
          </w:p>
        </w:tc>
      </w:tr>
      <w:tr>
        <w:trPr>
          <w:trHeight w:val="283"/>
        </w:trPr>
        <w:tc>
          <w:tcPr>
            <w:tcW w:w="2660" w:type="dxa"/>
            <w:vAlign w:val="bottom"/>
          </w:tcPr>
          <w:p>
            <w:pPr>
              <w:ind w:left="40"/>
              <w:spacing w:after="0" w:line="283" w:lineRule="exact"/>
              <w:rPr>
                <w:sz w:val="20"/>
                <w:szCs w:val="20"/>
                <w:color w:val="auto"/>
              </w:rPr>
            </w:pPr>
            <w:r>
              <w:rPr>
                <w:rFonts w:ascii="Arial" w:cs="Arial" w:eastAsia="Arial" w:hAnsi="Arial"/>
                <w:sz w:val="18"/>
                <w:szCs w:val="18"/>
                <w:b w:val="1"/>
                <w:bCs w:val="1"/>
                <w:color w:val="auto"/>
              </w:rPr>
              <w:t>Matthew J. Kurtenbach</w:t>
            </w:r>
            <w:r>
              <w:rPr>
                <w:rFonts w:ascii="Arial" w:cs="Arial" w:eastAsia="Arial" w:hAnsi="Arial"/>
                <w:sz w:val="25"/>
                <w:szCs w:val="25"/>
                <w:b w:val="1"/>
                <w:bCs w:val="1"/>
                <w:color w:val="auto"/>
                <w:vertAlign w:val="superscript"/>
              </w:rPr>
              <w:t>(7)</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222,985</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272,907</w:t>
            </w:r>
          </w:p>
        </w:tc>
        <w:tc>
          <w:tcPr>
            <w:tcW w:w="0" w:type="dxa"/>
            <w:vAlign w:val="bottom"/>
          </w:tcPr>
          <w:p>
            <w:pPr>
              <w:spacing w:after="0"/>
              <w:rPr>
                <w:sz w:val="1"/>
                <w:szCs w:val="1"/>
                <w:color w:val="auto"/>
              </w:rPr>
            </w:pPr>
          </w:p>
        </w:tc>
      </w:tr>
      <w:tr>
        <w:trPr>
          <w:trHeight w:val="230"/>
        </w:trPr>
        <w:tc>
          <w:tcPr>
            <w:tcW w:w="26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219,272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36,390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41,625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330,581</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185,762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29,640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43,798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302,923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Carla S. Gatzke</w:t>
            </w:r>
            <w:r>
              <w:rPr>
                <w:rFonts w:ascii="Arial" w:cs="Arial" w:eastAsia="Arial" w:hAnsi="Arial"/>
                <w:sz w:val="25"/>
                <w:szCs w:val="25"/>
                <w:b w:val="1"/>
                <w:bCs w:val="1"/>
                <w:color w:val="auto"/>
                <w:vertAlign w:val="superscript"/>
              </w:rPr>
              <w:t>(8)</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18,618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238,949</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186,854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33,358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285,553</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restricted stock units granted under the 2007 Plan for the fiscal years 2014 and 2015 and under the 2015 Plan for fiscal 2016. In accordance with ASC 718, the amount is calculated based on the grant date fair value of the award. Refer to “Item 7. Management’s Discussion and Analysis of Financial Condition and Results of Operations — Critical Accounting Policies and Estimates ” in our Annual Report on Form 10-K for the fiscal year ended April 30, 2016 for a discussion of the assumptions used in calculating the amount under ASC 718.</w:t>
      </w:r>
    </w:p>
    <w:p>
      <w:pPr>
        <w:jc w:val="both"/>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stock options granted under the 2007 Plan for the fiscal years 2014 and 2015 and under the 2015 Plan for fiscal 2016. The value of the option awards is calculated based on the grant date fair value of the award in accordance with ASC 718. Refer to “Item 7. Management’s Discussion and Analysis of Financial Condition and Results of Operations — Critical Accounting Policies and Estimates ” in our Annual Report on Form 10-K for the fiscal year ended April 30, 2016 for a discussion of the assumptions used in calculating the amount under ASC 718.</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2014, fiscal 2015 and fiscal 2016.</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Internal Revenue Code of 1986.</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Reece A. Kurtenbach was named Chief Executive Officer and President on September 1, 2013. Mr. Kurtenbach's salary was increased to $275,000 effective September 1, 2013, and he was awarded additional stock compensation for the increase in responsibilities.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Sheila M. Anderson was named Chief Financial Officer and Treasurer in September 2012.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Matthew J. Kurtenbach became a Named Executive Officer during fiscal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Carla S. Gatzke became a Named Executive Officer during fiscal 2015.</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12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400" w:type="dxa"/>
            <w:vAlign w:val="bottom"/>
            <w:gridSpan w:val="17"/>
          </w:tcPr>
          <w:p>
            <w:pPr>
              <w:jc w:val="center"/>
              <w:ind w:right="760"/>
              <w:spacing w:after="0"/>
              <w:rPr>
                <w:sz w:val="20"/>
                <w:szCs w:val="20"/>
                <w:color w:val="auto"/>
              </w:rPr>
            </w:pPr>
            <w:r>
              <w:rPr>
                <w:rFonts w:ascii="Arial" w:cs="Arial" w:eastAsia="Arial" w:hAnsi="Arial"/>
                <w:sz w:val="18"/>
                <w:szCs w:val="18"/>
                <w:color w:val="auto"/>
                <w:w w:val="91"/>
              </w:rPr>
              <w:t>The following table sets forth information regarding grants of plan-based awards to the Named Executive Officers during fiscal 2016:</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0"/>
          </w:tcPr>
          <w:p>
            <w:pPr>
              <w:ind w:left="340"/>
              <w:spacing w:after="0"/>
              <w:rPr>
                <w:sz w:val="20"/>
                <w:szCs w:val="20"/>
                <w:color w:val="auto"/>
              </w:rPr>
            </w:pPr>
            <w:r>
              <w:rPr>
                <w:rFonts w:ascii="Arial" w:cs="Arial" w:eastAsia="Arial" w:hAnsi="Arial"/>
                <w:sz w:val="18"/>
                <w:szCs w:val="18"/>
                <w:b w:val="1"/>
                <w:bCs w:val="1"/>
                <w:color w:val="auto"/>
              </w:rPr>
              <w:t>GRANTS OF PLAN-BASED AWARDS — FISCAL 2016</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All 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awards: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Exercise or base</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price of option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stock or</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underlying</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awards($/share)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gridSpan w:val="2"/>
            <w:vMerge w:val="restart"/>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5"/>
                <w:szCs w:val="5"/>
                <w:color w:val="auto"/>
              </w:rPr>
            </w:pPr>
          </w:p>
        </w:tc>
        <w:tc>
          <w:tcPr>
            <w:tcW w:w="1120" w:type="dxa"/>
            <w:vAlign w:val="bottom"/>
            <w:vMerge w:val="restart"/>
          </w:tcPr>
          <w:p>
            <w:pPr>
              <w:jc w:val="right"/>
              <w:ind w:right="50"/>
              <w:spacing w:after="0"/>
              <w:rPr>
                <w:sz w:val="20"/>
                <w:szCs w:val="20"/>
                <w:color w:val="auto"/>
              </w:rPr>
            </w:pPr>
            <w:r>
              <w:rPr>
                <w:rFonts w:ascii="Arial" w:cs="Arial" w:eastAsia="Arial" w:hAnsi="Arial"/>
                <w:sz w:val="18"/>
                <w:szCs w:val="18"/>
                <w:color w:val="auto"/>
              </w:rPr>
              <w:t>Grant Date</w:t>
            </w:r>
          </w:p>
        </w:tc>
        <w:tc>
          <w:tcPr>
            <w:tcW w:w="100" w:type="dxa"/>
            <w:vAlign w:val="bottom"/>
            <w:vMerge w:val="restart"/>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4"/>
              </w:rPr>
              <w:t>Threshold($)</w:t>
            </w:r>
          </w:p>
        </w:tc>
        <w:tc>
          <w:tcPr>
            <w:tcW w:w="100" w:type="dxa"/>
            <w:vAlign w:val="bottom"/>
            <w:vMerge w:val="restart"/>
          </w:tcPr>
          <w:p>
            <w:pPr>
              <w:spacing w:after="0"/>
              <w:rPr>
                <w:sz w:val="5"/>
                <w:szCs w:val="5"/>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Target($)</w:t>
            </w:r>
          </w:p>
        </w:tc>
        <w:tc>
          <w:tcPr>
            <w:tcW w:w="120" w:type="dxa"/>
            <w:vAlign w:val="bottom"/>
            <w:vMerge w:val="restart"/>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5"/>
              </w:rPr>
              <w:t>Maximum($)</w:t>
            </w:r>
          </w:p>
        </w:tc>
        <w:tc>
          <w:tcPr>
            <w:tcW w:w="120" w:type="dxa"/>
            <w:vAlign w:val="bottom"/>
          </w:tcPr>
          <w:p>
            <w:pPr>
              <w:spacing w:after="0"/>
              <w:rPr>
                <w:sz w:val="5"/>
                <w:szCs w:val="5"/>
                <w:color w:val="auto"/>
              </w:rPr>
            </w:pPr>
          </w:p>
        </w:tc>
        <w:tc>
          <w:tcPr>
            <w:tcW w:w="98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00" w:type="dxa"/>
            <w:vAlign w:val="bottom"/>
            <w:vMerge w:val="restart"/>
          </w:tcPr>
          <w:p>
            <w:pPr>
              <w:spacing w:after="0"/>
              <w:rPr>
                <w:sz w:val="5"/>
                <w:szCs w:val="5"/>
                <w:color w:val="auto"/>
              </w:rPr>
            </w:pPr>
          </w:p>
        </w:tc>
        <w:tc>
          <w:tcPr>
            <w:tcW w:w="124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6"/>
              </w:rPr>
              <w:t xml:space="preserve">options (#) </w:t>
            </w:r>
            <w:r>
              <w:rPr>
                <w:rFonts w:ascii="Arial" w:cs="Arial" w:eastAsia="Arial" w:hAnsi="Arial"/>
                <w:sz w:val="25"/>
                <w:szCs w:val="25"/>
                <w:color w:val="auto"/>
                <w:w w:val="86"/>
                <w:vertAlign w:val="superscript"/>
              </w:rPr>
              <w:t>(3)</w:t>
            </w:r>
          </w:p>
        </w:tc>
        <w:tc>
          <w:tcPr>
            <w:tcW w:w="100" w:type="dxa"/>
            <w:vAlign w:val="bottom"/>
            <w:vMerge w:val="restart"/>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5"/>
              </w:rPr>
              <w:t xml:space="preserve">awards($) </w:t>
            </w:r>
            <w:r>
              <w:rPr>
                <w:rFonts w:ascii="Arial" w:cs="Arial" w:eastAsia="Arial" w:hAnsi="Arial"/>
                <w:sz w:val="25"/>
                <w:szCs w:val="25"/>
                <w:color w:val="auto"/>
                <w:w w:val="85"/>
                <w:vertAlign w:val="superscript"/>
              </w:rPr>
              <w:t>(5)</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09/03/2015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320,000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85,470</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09/03/2015</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27,958</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111,833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134,200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42,735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09/03/2015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160,160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42,735</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09/03/2015</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31,471</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125,883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151,060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42,735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09/03/2015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39,159</w:t>
            </w: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2016 under the 2015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2016 under the 2015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2015 Plan.</w:t>
      </w: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$8.51 per share on September 3, 2015.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30, 2016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11/15/2016</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10.930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09/03/2024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8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123,401</w:t>
            </w:r>
          </w:p>
        </w:tc>
      </w:tr>
      <w:tr>
        <w:trPr>
          <w:trHeight w:val="20"/>
        </w:trPr>
        <w:tc>
          <w:tcPr>
            <w:tcW w:w="18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08"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3,200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1,600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3,600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2,400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2,748</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4,122</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69,687</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8,484</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73,811</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2,100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6,300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8,460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73,602</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11/16/2006</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11/15/2016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11/15/2007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11/14/2017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68,208</w:t>
            </w: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6"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ectPr>
          <w:pgSz w:w="11900" w:h="16838" w:orient="portrait"/>
          <w:cols w:equalWidth="0" w:num="1">
            <w:col w:w="11420"/>
          </w:cols>
          <w:pgMar w:left="240" w:top="108" w:right="239" w:bottom="56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08" w:right="239" w:bottom="568"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Determined by multiplying the Company's $8.70 per share closing stock price on April 29, 2016, which was the last business day of fiscal year 2016, by the number of shares subject to the award.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of the restricted stock units and the number of shares subject to the restricted stock units are as follows:</w:t>
      </w:r>
    </w:p>
    <w:p>
      <w:pPr>
        <w:spacing w:after="0" w:line="355"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2000" w:type="dxa"/>
            <w:vAlign w:val="bottom"/>
            <w:tcBorders>
              <w:top w:val="single" w:sz="8" w:color="auto"/>
              <w:lef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9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20" w:type="dxa"/>
            <w:vAlign w:val="bottom"/>
            <w:tcBorders>
              <w:top w:val="single" w:sz="8" w:color="auto"/>
            </w:tcBorders>
            <w:shd w:val="clear" w:color="auto" w:fill="000000"/>
          </w:tcPr>
          <w:p>
            <w:pPr>
              <w:spacing w:after="0"/>
              <w:rPr>
                <w:sz w:val="21"/>
                <w:szCs w:val="21"/>
                <w:color w:val="auto"/>
              </w:rPr>
            </w:pPr>
          </w:p>
        </w:tc>
      </w:tr>
      <w:tr>
        <w:trPr>
          <w:trHeight w:val="230"/>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1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Granted</w:t>
            </w:r>
          </w:p>
        </w:tc>
        <w:tc>
          <w:tcPr>
            <w:tcW w:w="1980" w:type="dxa"/>
            <w:vAlign w:val="bottom"/>
          </w:tcPr>
          <w:p>
            <w:pPr>
              <w:ind w:left="20"/>
              <w:spacing w:after="0"/>
              <w:rPr>
                <w:sz w:val="20"/>
                <w:szCs w:val="20"/>
                <w:color w:val="auto"/>
              </w:rPr>
            </w:pPr>
            <w:r>
              <w:rPr>
                <w:rFonts w:ascii="Arial" w:cs="Arial" w:eastAsia="Arial" w:hAnsi="Arial"/>
                <w:sz w:val="18"/>
                <w:szCs w:val="18"/>
                <w:color w:val="auto"/>
              </w:rPr>
              <w:t>Officer</w:t>
            </w:r>
          </w:p>
        </w:tc>
        <w:tc>
          <w:tcPr>
            <w:tcW w:w="1080" w:type="dxa"/>
            <w:vAlign w:val="bottom"/>
          </w:tcPr>
          <w:p>
            <w:pPr>
              <w:ind w:left="140"/>
              <w:spacing w:after="0"/>
              <w:rPr>
                <w:sz w:val="20"/>
                <w:szCs w:val="20"/>
                <w:color w:val="auto"/>
              </w:rPr>
            </w:pPr>
            <w:r>
              <w:rPr>
                <w:rFonts w:ascii="Arial" w:cs="Arial" w:eastAsia="Arial" w:hAnsi="Arial"/>
                <w:sz w:val="18"/>
                <w:szCs w:val="18"/>
                <w:color w:val="auto"/>
              </w:rPr>
              <w:t>Grant Date</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Granted</w:t>
            </w:r>
          </w:p>
        </w:tc>
        <w:tc>
          <w:tcPr>
            <w:tcW w:w="20" w:type="dxa"/>
            <w:vAlign w:val="bottom"/>
            <w:shd w:val="clear" w:color="auto" w:fill="000000"/>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1,575</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2,160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2,160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302"/>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6,000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09/03/2015</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37"/>
        </w:trPr>
        <w:tc>
          <w:tcPr>
            <w:tcW w:w="2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700</w:t>
            </w: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J. Kurtenbach</w:t>
            </w:r>
          </w:p>
        </w:tc>
        <w:tc>
          <w:tcPr>
            <w:tcW w:w="1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tcBorders>
              <w:top w:val="single" w:sz="8" w:color="auto"/>
            </w:tcBorders>
            <w:shd w:val="clear" w:color="auto" w:fill="000000"/>
          </w:tcPr>
          <w:p>
            <w:pPr>
              <w:spacing w:after="0"/>
              <w:rPr>
                <w:sz w:val="20"/>
                <w:szCs w:val="20"/>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490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09/12/2012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1,200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09/05/2015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3,000</w:t>
            </w:r>
          </w:p>
        </w:tc>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1,900</w:t>
            </w:r>
          </w:p>
        </w:tc>
        <w:tc>
          <w:tcPr>
            <w:tcW w:w="1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1,420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7"/>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2,750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2016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2016</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33,766</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20,409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25,576</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25,436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30, 2016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2,110,690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11.58</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2015 Stock Incentive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240,027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2,601,958</w:t>
            </w:r>
          </w:p>
        </w:tc>
      </w:tr>
      <w:tr>
        <w:trPr>
          <w:trHeight w:val="270"/>
        </w:trPr>
        <w:tc>
          <w:tcPr>
            <w:tcW w:w="416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3"/>
                <w:szCs w:val="23"/>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514,248</w:t>
            </w: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2,350,717</w:t>
            </w:r>
          </w:p>
        </w:tc>
        <w:tc>
          <w:tcPr>
            <w:tcW w:w="2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11.26</w:t>
            </w:r>
          </w:p>
        </w:tc>
        <w:tc>
          <w:tcPr>
            <w:tcW w:w="200" w:type="dxa"/>
            <w:vAlign w:val="bottom"/>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3,116,206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494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-130175</wp:posOffset>
            </wp:positionV>
            <wp:extent cx="4107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30, 2016, include estimated amounts earned through such date,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2001 Incentive Stock Option Plan (the "2001 Plan"), 2007 Plan, and the 2015 Plan all options and restricted stock units immediately vest upon a change in control, as that term is defined in the 2001 Plan, 2007 Plan, and the 2015 Plan. Upon a termination of employment for any reason, and consistent with our employment policies which apply to all employees, we are obligated to pay for accrued and unused vacation time, which would then be payable in a lump sum.</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900" w:type="dxa"/>
            <w:vAlign w:val="bottom"/>
          </w:tcPr>
          <w:p>
            <w:pPr>
              <w:ind w:left="1400"/>
              <w:spacing w:after="0"/>
              <w:rPr>
                <w:sz w:val="20"/>
                <w:szCs w:val="20"/>
                <w:color w:val="auto"/>
              </w:rPr>
            </w:pPr>
            <w:r>
              <w:rPr>
                <w:rFonts w:ascii="Arial" w:cs="Arial" w:eastAsia="Arial" w:hAnsi="Arial"/>
                <w:sz w:val="18"/>
                <w:szCs w:val="18"/>
                <w:color w:val="auto"/>
              </w:rPr>
              <w:t>Benefit</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2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35,527</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35,527</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w w:val="97"/>
              </w:rPr>
              <w:t>Restricted stock vesting acceleration</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69,687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11,659</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82,771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11,659</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73,811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21,086</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21,086</w:t>
            </w:r>
          </w:p>
        </w:tc>
      </w:tr>
      <w:tr>
        <w:trPr>
          <w:trHeight w:val="56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73,602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26,815</w:t>
            </w:r>
          </w:p>
        </w:tc>
      </w:tr>
      <w:tr>
        <w:trPr>
          <w:trHeight w:val="27"/>
        </w:trPr>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101,842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26,815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26,815</w:t>
            </w:r>
          </w:p>
        </w:tc>
      </w:tr>
      <w:tr>
        <w:trPr>
          <w:trHeight w:val="311"/>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23,192</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23,192</w:t>
            </w:r>
          </w:p>
        </w:tc>
      </w:tr>
      <w:tr>
        <w:trPr>
          <w:trHeight w:val="20"/>
        </w:trPr>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$8.70 per share closing price of the common stock as reported on The NASDAQ Global Select Market as of April 29, 2016, which was the last business day of fiscal 2016, and the exercise price of the option multiplied by the number of shares subject to the option.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8"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responsible for the oversight of our financial reporting process, our system of internal control over financial reporting, and the audit process. Management has the primary responsibility for the financial statements and the reporting process, including the systems of internal control over financial reporting, which it reviews with the Audit Committee. In this context, the Audit Committee has met and held discussions with management and our Independent Auditor with respect to the overall scope and plans for the reviews of our interim consolidated financial statements and the audits of our annual consolidated financial statements and internal control over financial reporting. The Audit Committee has the authority and responsibility to select, evaluate and, when it deems it to be appropriate, replace the Independent Auditor. The Audit Committee is also responsible for overseeing the Company’s Related Party Transaction Policy.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February 19, 2016.</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three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the Independent Auditor, nor can the Audit Committee certify that the Independent Auditor is “independent” under applicable rules. The Audit Committee serves a Board-level oversight role in which it provides advice, counsel and direction to management and the Independent Auditor on the basis of the information it receives, discussions with management and the Independent Auditor, and the experience of the Audit Committee’s members in business, financial accounting and audit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2016,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320" w:type="dxa"/>
            <w:vAlign w:val="bottom"/>
          </w:tcPr>
          <w:p>
            <w:pPr>
              <w:ind w:left="7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w w:val="92"/>
              </w:rPr>
              <w:t>Attendance at full meetings during 2016</w:t>
            </w:r>
          </w:p>
        </w:tc>
      </w:tr>
      <w:tr>
        <w:trPr>
          <w:trHeight w:val="27"/>
        </w:trPr>
        <w:tc>
          <w:tcPr>
            <w:tcW w:w="24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3320" w:type="dxa"/>
            <w:vAlign w:val="bottom"/>
          </w:tcPr>
          <w:p>
            <w:pPr>
              <w:ind w:left="740"/>
              <w:spacing w:after="0"/>
              <w:rPr>
                <w:sz w:val="20"/>
                <w:szCs w:val="20"/>
                <w:color w:val="auto"/>
              </w:rPr>
            </w:pPr>
            <w:r>
              <w:rPr>
                <w:rFonts w:ascii="Arial" w:cs="Arial" w:eastAsia="Arial" w:hAnsi="Arial"/>
                <w:sz w:val="18"/>
                <w:szCs w:val="18"/>
                <w:color w:val="auto"/>
              </w:rPr>
              <w:t>1993</w:t>
            </w:r>
          </w:p>
        </w:tc>
        <w:tc>
          <w:tcPr>
            <w:tcW w:w="3780" w:type="dxa"/>
            <w:vAlign w:val="bottom"/>
          </w:tcPr>
          <w:p>
            <w:pPr>
              <w:ind w:left="600"/>
              <w:spacing w:after="0"/>
              <w:rPr>
                <w:sz w:val="20"/>
                <w:szCs w:val="20"/>
                <w:color w:val="auto"/>
              </w:rPr>
            </w:pPr>
            <w:r>
              <w:rPr>
                <w:rFonts w:ascii="Arial" w:cs="Arial" w:eastAsia="Arial" w:hAnsi="Arial"/>
                <w:sz w:val="18"/>
                <w:szCs w:val="18"/>
                <w:color w:val="auto"/>
              </w:rPr>
              <w:t>9/9</w:t>
            </w:r>
          </w:p>
        </w:tc>
      </w:tr>
      <w:tr>
        <w:trPr>
          <w:trHeight w:val="310"/>
        </w:trPr>
        <w:tc>
          <w:tcPr>
            <w:tcW w:w="2460" w:type="dxa"/>
            <w:vAlign w:val="bottom"/>
          </w:tcPr>
          <w:p>
            <w:pPr>
              <w:ind w:left="40"/>
              <w:spacing w:after="0"/>
              <w:rPr>
                <w:sz w:val="20"/>
                <w:szCs w:val="20"/>
                <w:color w:val="auto"/>
              </w:rPr>
            </w:pPr>
            <w:r>
              <w:rPr>
                <w:rFonts w:ascii="Arial" w:cs="Arial" w:eastAsia="Arial" w:hAnsi="Arial"/>
                <w:sz w:val="18"/>
                <w:szCs w:val="18"/>
                <w:color w:val="auto"/>
              </w:rPr>
              <w:t xml:space="preserve">James A Vellenga </w:t>
            </w:r>
            <w:r>
              <w:rPr>
                <w:rFonts w:ascii="Arial" w:cs="Arial" w:eastAsia="Arial" w:hAnsi="Arial"/>
                <w:sz w:val="25"/>
                <w:szCs w:val="25"/>
                <w:color w:val="auto"/>
                <w:vertAlign w:val="superscript"/>
              </w:rPr>
              <w:t>(1)</w:t>
            </w:r>
          </w:p>
        </w:tc>
        <w:tc>
          <w:tcPr>
            <w:tcW w:w="3320" w:type="dxa"/>
            <w:vAlign w:val="bottom"/>
          </w:tcPr>
          <w:p>
            <w:pPr>
              <w:ind w:left="740"/>
              <w:spacing w:after="0"/>
              <w:rPr>
                <w:sz w:val="20"/>
                <w:szCs w:val="20"/>
                <w:color w:val="auto"/>
              </w:rPr>
            </w:pPr>
            <w:r>
              <w:rPr>
                <w:rFonts w:ascii="Arial" w:cs="Arial" w:eastAsia="Arial" w:hAnsi="Arial"/>
                <w:sz w:val="18"/>
                <w:szCs w:val="18"/>
                <w:color w:val="auto"/>
              </w:rPr>
              <w:t>1999</w:t>
            </w:r>
          </w:p>
        </w:tc>
        <w:tc>
          <w:tcPr>
            <w:tcW w:w="3780" w:type="dxa"/>
            <w:vAlign w:val="bottom"/>
          </w:tcPr>
          <w:p>
            <w:pPr>
              <w:ind w:left="600"/>
              <w:spacing w:after="0"/>
              <w:rPr>
                <w:sz w:val="20"/>
                <w:szCs w:val="20"/>
                <w:color w:val="auto"/>
              </w:rPr>
            </w:pPr>
            <w:r>
              <w:rPr>
                <w:rFonts w:ascii="Arial" w:cs="Arial" w:eastAsia="Arial" w:hAnsi="Arial"/>
                <w:sz w:val="18"/>
                <w:szCs w:val="18"/>
                <w:color w:val="auto"/>
              </w:rPr>
              <w:t>2/9</w:t>
            </w:r>
          </w:p>
        </w:tc>
      </w:tr>
      <w:tr>
        <w:trPr>
          <w:trHeight w:val="270"/>
        </w:trPr>
        <w:tc>
          <w:tcPr>
            <w:tcW w:w="2460" w:type="dxa"/>
            <w:vAlign w:val="bottom"/>
          </w:tcPr>
          <w:p>
            <w:pPr>
              <w:ind w:left="40"/>
              <w:spacing w:after="0" w:line="270" w:lineRule="exact"/>
              <w:rPr>
                <w:sz w:val="20"/>
                <w:szCs w:val="20"/>
                <w:color w:val="auto"/>
              </w:rPr>
            </w:pPr>
            <w:r>
              <w:rPr>
                <w:rFonts w:ascii="Arial" w:cs="Arial" w:eastAsia="Arial" w:hAnsi="Arial"/>
                <w:sz w:val="18"/>
                <w:szCs w:val="18"/>
                <w:color w:val="auto"/>
              </w:rPr>
              <w:t>Bryon J. Anderson</w:t>
            </w:r>
            <w:r>
              <w:rPr>
                <w:rFonts w:ascii="Arial" w:cs="Arial" w:eastAsia="Arial" w:hAnsi="Arial"/>
                <w:sz w:val="25"/>
                <w:szCs w:val="25"/>
                <w:color w:val="auto"/>
                <w:vertAlign w:val="superscript"/>
              </w:rPr>
              <w:t>(2)</w:t>
            </w:r>
          </w:p>
        </w:tc>
        <w:tc>
          <w:tcPr>
            <w:tcW w:w="3320" w:type="dxa"/>
            <w:vAlign w:val="bottom"/>
          </w:tcPr>
          <w:p>
            <w:pPr>
              <w:ind w:left="740"/>
              <w:spacing w:after="0"/>
              <w:rPr>
                <w:sz w:val="20"/>
                <w:szCs w:val="20"/>
                <w:color w:val="auto"/>
              </w:rPr>
            </w:pPr>
            <w:r>
              <w:rPr>
                <w:rFonts w:ascii="Arial" w:cs="Arial" w:eastAsia="Arial" w:hAnsi="Arial"/>
                <w:sz w:val="18"/>
                <w:szCs w:val="18"/>
                <w:color w:val="auto"/>
              </w:rPr>
              <w:t>2015</w:t>
            </w:r>
          </w:p>
        </w:tc>
        <w:tc>
          <w:tcPr>
            <w:tcW w:w="3780" w:type="dxa"/>
            <w:vAlign w:val="bottom"/>
          </w:tcPr>
          <w:p>
            <w:pPr>
              <w:ind w:left="600"/>
              <w:spacing w:after="0"/>
              <w:rPr>
                <w:sz w:val="20"/>
                <w:szCs w:val="20"/>
                <w:color w:val="auto"/>
              </w:rPr>
            </w:pPr>
            <w:r>
              <w:rPr>
                <w:rFonts w:ascii="Arial" w:cs="Arial" w:eastAsia="Arial" w:hAnsi="Arial"/>
                <w:sz w:val="18"/>
                <w:szCs w:val="18"/>
                <w:color w:val="auto"/>
              </w:rPr>
              <w:t>4/9</w:t>
            </w:r>
          </w:p>
        </w:tc>
      </w:tr>
      <w:tr>
        <w:trPr>
          <w:trHeight w:val="270"/>
        </w:trPr>
        <w:tc>
          <w:tcPr>
            <w:tcW w:w="24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Kevin P. McDermott </w:t>
            </w:r>
            <w:r>
              <w:rPr>
                <w:rFonts w:ascii="Arial" w:cs="Arial" w:eastAsia="Arial" w:hAnsi="Arial"/>
                <w:sz w:val="25"/>
                <w:szCs w:val="25"/>
                <w:color w:val="auto"/>
                <w:vertAlign w:val="superscript"/>
              </w:rPr>
              <w:t>(3)</w:t>
            </w:r>
          </w:p>
        </w:tc>
        <w:tc>
          <w:tcPr>
            <w:tcW w:w="3320" w:type="dxa"/>
            <w:vAlign w:val="bottom"/>
          </w:tcPr>
          <w:p>
            <w:pPr>
              <w:ind w:left="7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7/9</w:t>
            </w:r>
          </w:p>
        </w:tc>
      </w:tr>
      <w:tr>
        <w:trPr>
          <w:trHeight w:val="259"/>
        </w:trPr>
        <w:tc>
          <w:tcPr>
            <w:tcW w:w="2460" w:type="dxa"/>
            <w:vAlign w:val="bottom"/>
          </w:tcPr>
          <w:p>
            <w:pPr>
              <w:ind w:left="40"/>
              <w:spacing w:after="0" w:line="259" w:lineRule="exact"/>
              <w:rPr>
                <w:sz w:val="20"/>
                <w:szCs w:val="20"/>
                <w:color w:val="auto"/>
              </w:rPr>
            </w:pPr>
            <w:r>
              <w:rPr>
                <w:rFonts w:ascii="Arial" w:cs="Arial" w:eastAsia="Arial" w:hAnsi="Arial"/>
                <w:sz w:val="18"/>
                <w:szCs w:val="18"/>
                <w:color w:val="auto"/>
              </w:rPr>
              <w:t xml:space="preserve">John P. Friel </w:t>
            </w:r>
            <w:r>
              <w:rPr>
                <w:rFonts w:ascii="Arial" w:cs="Arial" w:eastAsia="Arial" w:hAnsi="Arial"/>
                <w:sz w:val="25"/>
                <w:szCs w:val="25"/>
                <w:color w:val="auto"/>
                <w:vertAlign w:val="superscript"/>
              </w:rPr>
              <w:t>(4)</w:t>
            </w:r>
          </w:p>
        </w:tc>
        <w:tc>
          <w:tcPr>
            <w:tcW w:w="3320" w:type="dxa"/>
            <w:vAlign w:val="bottom"/>
          </w:tcPr>
          <w:p>
            <w:pPr>
              <w:ind w:left="7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5/9</w:t>
            </w:r>
          </w:p>
        </w:tc>
      </w:tr>
    </w:tbl>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Vellenga passed away in August 2015.</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Appointed to the Audit Committee effective May 1, 2015 and served through September 3, 2015.</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Appointed to the Audit Committee effective August 17, 2015.</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Appointed to the Audit Committee effective September 3,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Audit Committee has reviewed and discussed with management and the Independent Auditor our audited consolidated financial statements for the fiscal year ended April 30, 2016 and the results of management's assessment and the Independent Auditor's audit of the effectiveness of the Company's internal control over financial reporting; the significant accounting policies, including the quality and acceptability, applied by management in the preparation of our financial statements, as well as alternative treatments; and management's and the Independent Auditor's judgment with respect to risk assessment. We have discussed with our Independent Auditor the matters required by the standards of the Public Company Accounting Oversight Board ("PCAOB"), including PCAOB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We have also received from the Independent Auditor the written disclosures and the letter required by applicable requirements of the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Auditor's independence; and reviewed and pre-approved fees charged by the Independent Auditor and considered whether the Independent Auditor's provision of non-audit services to us is compatible with their independence. The Audit Committee also met in executive session following each of the formal Audit Committee meetings with representatives of our Independent Auditor.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recognizes the importance of maintaining the independence of the Company's Independent Auditor, both in fact and appearance. Each year, the Committee evaluates the qualifications, performance and independence of the Company's Independent Auditor and determines 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Ernst &amp; Young LLP as our Independent Auditor to perform reviews of our interim consolidated financial statements and to perform audits of our annual consolidated financial statements and of our internal control over financial reporting for fiscal 2017.</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April 30, 2016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30, 2016,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Annual Report to Shareholders for the fiscal year ended April 30, 2016 can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“Investors” then “Annual Reports and Proxies" under the heading "Financial Information." Any person whose proxy is solicited by this Proxy Statement will be provided, upon request and without charge, with a copy of our Annual Report on Form 10-K for the fiscal year ended April 30, 2016. Please submit such requests to Daktronics, Inc., 201 Daktronics Drive, Brookings, South Dakota 57006, Attention: Investor Relations, or by calling (605) 692-0200.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219"/>
          </w:cols>
          <w:pgMar w:left="240" w:top="125" w:right="1440"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1]"/>
      <w:numFmt w:val="upperLetter"/>
      <w:start w:val="24"/>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2"/>
      <w:numFmt w:val="bullet"/>
      <w:start w:val="1"/>
    </w:lvl>
  </w:abstractNum>
  <w:abstractNum w:abstractNumId="4">
    <w:nsid w:val="7C83E458"/>
    <w:multiLevelType w:val="hybridMultilevel"/>
    <w:lvl w:ilvl="0">
      <w:lvlJc w:val="left"/>
      <w:lvlText w:val="3"/>
      <w:numFmt w:val="bullet"/>
      <w:start w:val="1"/>
    </w:lvl>
  </w:abstractNum>
  <w:abstractNum w:abstractNumId="5">
    <w:nsid w:val="257130A3"/>
    <w:multiLevelType w:val="hybridMultilevel"/>
    <w:lvl w:ilvl="0">
      <w:lvlJc w:val="left"/>
      <w:lvlText w:val="4"/>
      <w:numFmt w:val="bullet"/>
      <w:start w:val="1"/>
    </w:lvl>
  </w:abstractNum>
  <w:abstractNum w:abstractNumId="6">
    <w:nsid w:val="62BBD95A"/>
    <w:multiLevelType w:val="hybridMultilevel"/>
    <w:lvl w:ilvl="0">
      <w:lvlJc w:val="left"/>
      <w:lvlText w:val="5"/>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bullet"/>
      <w:start w:val="1"/>
    </w:lvl>
  </w:abstractNum>
  <w:abstractNum w:abstractNumId="9">
    <w:nsid w:val="333AB105"/>
    <w:multiLevelType w:val="hybridMultilevel"/>
    <w:lvl w:ilvl="0">
      <w:lvlJc w:val="left"/>
      <w:lvlText w:val="2"/>
      <w:numFmt w:val="bullet"/>
      <w:start w:val="1"/>
    </w:lvl>
  </w:abstractNum>
  <w:abstractNum w:abstractNumId="10">
    <w:nsid w:val="721DA317"/>
    <w:multiLevelType w:val="hybridMultilevel"/>
    <w:lvl w:ilvl="0">
      <w:lvlJc w:val="left"/>
      <w:lvlText w:val="3"/>
      <w:numFmt w:val="bullet"/>
      <w:start w:val="1"/>
    </w:lvl>
  </w:abstractNum>
  <w:abstractNum w:abstractNumId="11">
    <w:nsid w:val="2443A858"/>
    <w:multiLevelType w:val="hybridMultilevel"/>
    <w:lvl w:ilvl="0">
      <w:lvlJc w:val="left"/>
      <w:lvlText w:val="4"/>
      <w:numFmt w:val="bullet"/>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lvl w:ilvl="1">
      <w:lvlJc w:val="left"/>
      <w:lvlText w:val="(%2)"/>
      <w:numFmt w:val="decimal"/>
      <w:start w:val="1"/>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2019-12-06T03:52:58Z</dcterms:created>
  <dcterms:modified xsi:type="dcterms:W3CDTF">2019-12-06T03:52:58Z</dcterms:modified>
</cp:coreProperties>
</file>