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6616.xml.htm"/>
      <w:bookmarkStart w:id="1" w:name="kswkform4_17842366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Wendler Brett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DAKTRONICS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BROOKINGS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DAKTRONICS INC /SD/</w:t>
              </w:r>
            </w:hyperlink>
            <w:r>
              <w:rPr/>
              <w:t xml:space="preserve"> [ </w:t>
            </w:r>
            <w:r>
              <w:rPr>
                <w:rFonts w:ascii="Times;serif" w:hAnsi="Times;serif"/>
                <w:color w:val="0000FF"/>
                <w:sz w:val="24"/>
                <w:shd w:fill="FFFFFF" w:val="clear"/>
              </w:rPr>
              <w:t>DAKT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of Design &amp; Development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7,076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27,026</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Daktronics,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granted under the Daktronics, Inc. 2025 Stock Incentive Plan. The RSUs vest in four equal annual installments beginning August 23, 2027, subject to certain vesting, forfeiture, and termination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derivative securities beneficially owned represents the aggregate number of unvested restricted stock units beneficially owned by the reporting person following the reported transaction, consisting of: (i) 500 unvested RSUs granted September 2, 2021; (ii) 1,000 unvested RSUs granted September 8, 2022; (iii) 738 unvested RSUs granted September 11, 2023; (iv) 908 unvested RSUs granted September 9, 2024; (v) 8,652 unvested RSUs granted March 5, 2025; (vi) 8,152 unvested RSUs granted July 28, 2025; and (vii) 7,076 unvested RSUs granted July 14, 2026. Such awards vest at varying times pursuant to the terms of the applicable award agreements.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Wendler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344" TargetMode="External"/><Relationship Id="rId5" Type="http://schemas.openxmlformats.org/officeDocument/2006/relationships/hyperlink" Target="http://www.sec.gov/cgi-bin/browse-edgar?action=getcompany&amp;CIK=00009157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719</Words>
  <Characters>3934</Characters>
  <CharactersWithSpaces>4589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