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September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767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7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South Dakota</w:t>
            </w: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0"/>
              </w:rPr>
              <w:t>0-23246</w:t>
            </w:r>
          </w:p>
        </w:tc>
        <w:tc>
          <w:tcPr>
            <w:tcW w:w="308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46-0306862</w:t>
            </w:r>
          </w:p>
        </w:tc>
      </w:tr>
      <w:tr>
        <w:trPr>
          <w:trHeight w:val="270"/>
        </w:trPr>
        <w:tc>
          <w:tcPr>
            <w:tcW w:w="3260" w:type="dxa"/>
            <w:vAlign w:val="bottom"/>
          </w:tcPr>
          <w:p>
            <w:pPr>
              <w:jc w:val="center"/>
              <w:ind w:left="550"/>
              <w:spacing w:after="0"/>
              <w:rPr>
                <w:sz w:val="20"/>
                <w:szCs w:val="20"/>
                <w:color w:val="auto"/>
              </w:rPr>
            </w:pPr>
            <w:r>
              <w:rPr>
                <w:rFonts w:ascii="Arial" w:cs="Arial" w:eastAsia="Arial" w:hAnsi="Arial"/>
                <w:sz w:val="18"/>
                <w:szCs w:val="18"/>
                <w:color w:val="auto"/>
                <w:w w:val="91"/>
              </w:rPr>
              <w:t>(State or Other Jurisdiction of</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(Commission</w:t>
            </w:r>
          </w:p>
        </w:tc>
        <w:tc>
          <w:tcPr>
            <w:tcW w:w="3080" w:type="dxa"/>
            <w:vAlign w:val="bottom"/>
          </w:tcPr>
          <w:p>
            <w:pPr>
              <w:jc w:val="center"/>
              <w:ind w:right="590"/>
              <w:spacing w:after="0"/>
              <w:rPr>
                <w:sz w:val="20"/>
                <w:szCs w:val="20"/>
                <w:color w:val="auto"/>
              </w:rPr>
            </w:pPr>
            <w:r>
              <w:rPr>
                <w:rFonts w:ascii="Arial" w:cs="Arial" w:eastAsia="Arial" w:hAnsi="Arial"/>
                <w:sz w:val="18"/>
                <w:szCs w:val="18"/>
                <w:color w:val="auto"/>
                <w:w w:val="93"/>
              </w:rPr>
              <w:t>(I.R.S. Employer</w:t>
            </w:r>
          </w:p>
        </w:tc>
      </w:tr>
      <w:tr>
        <w:trPr>
          <w:trHeight w:val="270"/>
        </w:trPr>
        <w:tc>
          <w:tcPr>
            <w:tcW w:w="3260" w:type="dxa"/>
            <w:vAlign w:val="bottom"/>
          </w:tcPr>
          <w:p>
            <w:pPr>
              <w:jc w:val="center"/>
              <w:ind w:left="550"/>
              <w:spacing w:after="0"/>
              <w:rPr>
                <w:sz w:val="20"/>
                <w:szCs w:val="20"/>
                <w:color w:val="auto"/>
              </w:rPr>
            </w:pPr>
            <w:r>
              <w:rPr>
                <w:rFonts w:ascii="Arial" w:cs="Arial" w:eastAsia="Arial" w:hAnsi="Arial"/>
                <w:sz w:val="18"/>
                <w:szCs w:val="18"/>
                <w:color w:val="auto"/>
                <w:w w:val="92"/>
              </w:rPr>
              <w:t>Incorporation or Organization)</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3080" w:type="dxa"/>
            <w:vAlign w:val="bottom"/>
          </w:tcPr>
          <w:p>
            <w:pPr>
              <w:jc w:val="center"/>
              <w:ind w:right="5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260" w:type="dxa"/>
            <w:vAlign w:val="bottom"/>
          </w:tcPr>
          <w:p>
            <w:pPr>
              <w:spacing w:after="0"/>
              <w:rPr>
                <w:sz w:val="24"/>
                <w:szCs w:val="24"/>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201 Daktronics Drive</w:t>
            </w:r>
          </w:p>
        </w:tc>
        <w:tc>
          <w:tcPr>
            <w:tcW w:w="3080" w:type="dxa"/>
            <w:vAlign w:val="bottom"/>
          </w:tcPr>
          <w:p>
            <w:pPr>
              <w:spacing w:after="0"/>
              <w:rPr>
                <w:sz w:val="24"/>
                <w:szCs w:val="24"/>
                <w:color w:val="auto"/>
              </w:rPr>
            </w:pPr>
          </w:p>
        </w:tc>
      </w:tr>
      <w:tr>
        <w:trPr>
          <w:trHeight w:val="220"/>
        </w:trPr>
        <w:tc>
          <w:tcPr>
            <w:tcW w:w="3260" w:type="dxa"/>
            <w:vAlign w:val="bottom"/>
          </w:tcPr>
          <w:p>
            <w:pPr>
              <w:spacing w:after="0"/>
              <w:rPr>
                <w:sz w:val="19"/>
                <w:szCs w:val="19"/>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Brookings, SD 57006</w:t>
            </w:r>
          </w:p>
        </w:tc>
        <w:tc>
          <w:tcPr>
            <w:tcW w:w="3080" w:type="dxa"/>
            <w:vAlign w:val="bottom"/>
          </w:tcPr>
          <w:p>
            <w:pPr>
              <w:spacing w:after="0"/>
              <w:rPr>
                <w:sz w:val="19"/>
                <w:szCs w:val="19"/>
                <w:color w:val="auto"/>
              </w:rPr>
            </w:pPr>
          </w:p>
        </w:tc>
      </w:tr>
      <w:tr>
        <w:trPr>
          <w:trHeight w:val="230"/>
        </w:trPr>
        <w:tc>
          <w:tcPr>
            <w:tcW w:w="3260" w:type="dxa"/>
            <w:vAlign w:val="bottom"/>
          </w:tcPr>
          <w:p>
            <w:pPr>
              <w:spacing w:after="0"/>
              <w:rPr>
                <w:sz w:val="20"/>
                <w:szCs w:val="20"/>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 (zip code)</w:t>
            </w:r>
          </w:p>
        </w:tc>
        <w:tc>
          <w:tcPr>
            <w:tcW w:w="3080" w:type="dxa"/>
            <w:vAlign w:val="bottom"/>
          </w:tcPr>
          <w:p>
            <w:pPr>
              <w:spacing w:after="0"/>
              <w:rPr>
                <w:sz w:val="20"/>
                <w:szCs w:val="20"/>
                <w:color w:val="auto"/>
              </w:rPr>
            </w:pPr>
          </w:p>
        </w:tc>
      </w:tr>
      <w:tr>
        <w:trPr>
          <w:trHeight w:val="418"/>
        </w:trPr>
        <w:tc>
          <w:tcPr>
            <w:tcW w:w="3260" w:type="dxa"/>
            <w:vAlign w:val="bottom"/>
          </w:tcPr>
          <w:p>
            <w:pPr>
              <w:spacing w:after="0"/>
              <w:rPr>
                <w:sz w:val="24"/>
                <w:szCs w:val="24"/>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(605) 692-0200</w:t>
            </w:r>
          </w:p>
        </w:tc>
        <w:tc>
          <w:tcPr>
            <w:tcW w:w="3080" w:type="dxa"/>
            <w:vAlign w:val="bottom"/>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color w:val="auto"/>
                <w:w w:val="89"/>
              </w:rPr>
              <w:t>(Registrant's telephone number, including area code)</w:t>
            </w:r>
          </w:p>
        </w:tc>
        <w:tc>
          <w:tcPr>
            <w:tcW w:w="3080" w:type="dxa"/>
            <w:vAlign w:val="bottom"/>
          </w:tcPr>
          <w:p>
            <w:pPr>
              <w:spacing w:after="0"/>
              <w:rPr>
                <w:sz w:val="20"/>
                <w:szCs w:val="20"/>
                <w:color w:val="auto"/>
              </w:rPr>
            </w:pPr>
          </w:p>
        </w:tc>
      </w:tr>
      <w:tr>
        <w:trPr>
          <w:trHeight w:val="418"/>
        </w:trPr>
        <w:tc>
          <w:tcPr>
            <w:tcW w:w="3260" w:type="dxa"/>
            <w:vAlign w:val="bottom"/>
          </w:tcPr>
          <w:p>
            <w:pPr>
              <w:spacing w:after="0"/>
              <w:rPr>
                <w:sz w:val="24"/>
                <w:szCs w:val="24"/>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Not Applicable</w:t>
            </w:r>
          </w:p>
        </w:tc>
        <w:tc>
          <w:tcPr>
            <w:tcW w:w="3080" w:type="dxa"/>
            <w:vAlign w:val="bottom"/>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3080" w:type="dxa"/>
            <w:vAlign w:val="bottom"/>
          </w:tcPr>
          <w:p>
            <w:pPr>
              <w:spacing w:after="0"/>
              <w:rPr>
                <w:sz w:val="20"/>
                <w:szCs w:val="20"/>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ind w:right="28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ectPr>
          <w:pgSz w:w="11900" w:h="16838" w:orient="portrait"/>
          <w:cols w:equalWidth="0" w:num="1">
            <w:col w:w="11420"/>
          </w:cols>
          <w:pgMar w:left="240" w:top="9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ind w:left="660" w:right="20" w:hanging="652"/>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September 6, 2018, the Compensation Committee of the Board of Directors of Daktronics, Inc. (the “Company”) recommended and the Board of Directors authorized grants of incentive stock options to purchase shares of the Company's common stock and grants of restricted stock units under the Company's 2015 Stock Incentive Plan (the “Plan”) to five of the Named Executive Officers as indicated below.</w:t>
      </w:r>
    </w:p>
    <w:p>
      <w:pPr>
        <w:spacing w:after="0" w:line="165" w:lineRule="exact"/>
        <w:rPr>
          <w:rFonts w:ascii="Arial" w:cs="Arial" w:eastAsia="Arial" w:hAnsi="Arial"/>
          <w:sz w:val="17"/>
          <w:szCs w:val="17"/>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Each of these new incentive stock options vests annually as to 20 percent of the shares subject to the option over five years beginning on the first anniversary of the date of grant, has a ten-year term, is subject to the terms and conditions of the Plan, and has an exercise price equal to the fair market value of the Company's common stock on the grant date, which was $7.83. Each of the new restricted stock units vest annually as to 20 percent of the shares subject to the restricted stock unit over five years beginning on the first anniversary of the date of grant and is subject to the terms and conditions of the Plan. Copies of the Plan and the forms of agreements under which these options and restricted stock units were granted are on file with the Securities and Exchange Commission as exhibits to the Company's reports.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describes the grants of the options and restricted stock units to the five Named Executive Officers effective on September 6, 2018:</w:t>
      </w:r>
    </w:p>
    <w:p>
      <w:pPr>
        <w:spacing w:after="0" w:line="354"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Incentive Stock Options</w:t>
            </w:r>
          </w:p>
        </w:tc>
        <w:tc>
          <w:tcPr>
            <w:tcW w:w="2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Restricted Stock Units</w:t>
            </w:r>
          </w:p>
        </w:tc>
      </w:tr>
      <w:tr>
        <w:trPr>
          <w:trHeight w:val="27"/>
        </w:trPr>
        <w:tc>
          <w:tcPr>
            <w:tcW w:w="2840" w:type="dxa"/>
            <w:vAlign w:val="bottom"/>
            <w:gridSpan w:val="2"/>
          </w:tcPr>
          <w:p>
            <w:pPr>
              <w:spacing w:after="0"/>
              <w:rPr>
                <w:sz w:val="2"/>
                <w:szCs w:val="2"/>
                <w:color w:val="auto"/>
              </w:rPr>
            </w:pPr>
          </w:p>
        </w:tc>
        <w:tc>
          <w:tcPr>
            <w:tcW w:w="2640" w:type="dxa"/>
            <w:vAlign w:val="bottom"/>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28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Name</w:t>
            </w:r>
          </w:p>
        </w:tc>
        <w:tc>
          <w:tcPr>
            <w:tcW w:w="2640" w:type="dxa"/>
            <w:vAlign w:val="bottom"/>
            <w:gridSpan w:val="2"/>
          </w:tcPr>
          <w:p>
            <w:pPr>
              <w:ind w:left="1020"/>
              <w:spacing w:after="0"/>
              <w:rPr>
                <w:sz w:val="20"/>
                <w:szCs w:val="20"/>
                <w:color w:val="auto"/>
              </w:rPr>
            </w:pPr>
            <w:r>
              <w:rPr>
                <w:rFonts w:ascii="Arial" w:cs="Arial" w:eastAsia="Arial" w:hAnsi="Arial"/>
                <w:sz w:val="18"/>
                <w:szCs w:val="18"/>
                <w:b w:val="1"/>
                <w:bCs w:val="1"/>
                <w:color w:val="auto"/>
              </w:rPr>
              <w:t>Title</w:t>
            </w: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Shares Underlying Options</w:t>
            </w:r>
          </w:p>
        </w:tc>
        <w:tc>
          <w:tcPr>
            <w:tcW w:w="23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 Underlying Units</w:t>
            </w:r>
          </w:p>
        </w:tc>
      </w:tr>
      <w:tr>
        <w:trPr>
          <w:trHeight w:val="27"/>
        </w:trPr>
        <w:tc>
          <w:tcPr>
            <w:tcW w:w="2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Reece A. Kurtenbach</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13,500</w:t>
            </w:r>
          </w:p>
        </w:tc>
        <w:tc>
          <w:tcPr>
            <w:tcW w:w="2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7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Sheila M. Anderson</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20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Bradley T. Wiemann</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20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Matthew J. Kurtenbach</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20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Carla S. Gatzke</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20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2,500</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185" w:lineRule="exact"/>
        <w:rPr>
          <w:sz w:val="20"/>
          <w:szCs w:val="20"/>
          <w:color w:val="auto"/>
        </w:rPr>
      </w:pPr>
    </w:p>
    <w:p>
      <w:pPr>
        <w:jc w:val="both"/>
        <w:ind w:left="66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September 5, 2018, the Company held its Annual Meeting of Shareholders for fiscal 2018 (“2018 Annual Meeting”). Of the 44,588,625 shares of the Company's common stock outstanding and entitled to vote at the 2018 Annual Meeting, 41,799,715 shares, or 93.74 percent, which constituted a quorum, were represented at the 2018 Annual Meeting.</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the votes on the proposals at the 2018 Annual Meeting were as follows.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Proposal 1. </w:t>
      </w:r>
      <w:r>
        <w:rPr>
          <w:rFonts w:ascii="Arial" w:cs="Arial" w:eastAsia="Arial" w:hAnsi="Arial"/>
          <w:sz w:val="18"/>
          <w:szCs w:val="18"/>
          <w:b w:val="1"/>
          <w:bCs w:val="1"/>
          <w:color w:val="auto"/>
        </w:rPr>
        <w:t>Election of Directors.</w:t>
      </w:r>
      <w:r>
        <w:rPr>
          <w:rFonts w:ascii="Arial" w:cs="Arial" w:eastAsia="Arial" w:hAnsi="Arial"/>
          <w:sz w:val="18"/>
          <w:szCs w:val="18"/>
          <w:color w:val="auto"/>
        </w:rPr>
        <w:t xml:space="preserve"> The following individuals were elected as directors by the following vote, each to serve a three-year term that expires on the date of the Annual Meeting of Shareholders in 2021 or until his or her successor is duly elected:</w:t>
      </w:r>
    </w:p>
    <w:p>
      <w:pPr>
        <w:spacing w:after="0" w:line="324"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gridSpan w:val="4"/>
          </w:tcPr>
          <w:p>
            <w:pPr>
              <w:ind w:left="1080"/>
              <w:spacing w:after="0"/>
              <w:rPr>
                <w:sz w:val="20"/>
                <w:szCs w:val="20"/>
                <w:color w:val="auto"/>
              </w:rPr>
            </w:pPr>
            <w:r>
              <w:rPr>
                <w:rFonts w:ascii="Arial" w:cs="Arial" w:eastAsia="Arial" w:hAnsi="Arial"/>
                <w:sz w:val="18"/>
                <w:szCs w:val="18"/>
                <w:b w:val="1"/>
                <w:bCs w:val="1"/>
                <w:color w:val="auto"/>
              </w:rPr>
              <w:t>Number of Shares Voted</w:t>
            </w:r>
          </w:p>
        </w:tc>
        <w:tc>
          <w:tcPr>
            <w:tcW w:w="1900" w:type="dxa"/>
            <w:vAlign w:val="bottom"/>
          </w:tcPr>
          <w:p>
            <w:pPr>
              <w:spacing w:after="0"/>
              <w:rPr>
                <w:sz w:val="20"/>
                <w:szCs w:val="20"/>
                <w:color w:val="auto"/>
              </w:rPr>
            </w:pPr>
          </w:p>
        </w:tc>
      </w:tr>
      <w:tr>
        <w:trPr>
          <w:trHeight w:val="27"/>
        </w:trPr>
        <w:tc>
          <w:tcPr>
            <w:tcW w:w="3020" w:type="dxa"/>
            <w:vAlign w:val="bottom"/>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30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 Nominee</w:t>
            </w:r>
          </w:p>
        </w:tc>
        <w:tc>
          <w:tcPr>
            <w:tcW w:w="2120" w:type="dxa"/>
            <w:vAlign w:val="bottom"/>
            <w:gridSpan w:val="2"/>
          </w:tcPr>
          <w:p>
            <w:pPr>
              <w:ind w:left="820"/>
              <w:spacing w:after="0"/>
              <w:rPr>
                <w:sz w:val="20"/>
                <w:szCs w:val="20"/>
                <w:color w:val="auto"/>
              </w:rPr>
            </w:pPr>
            <w:r>
              <w:rPr>
                <w:rFonts w:ascii="Arial" w:cs="Arial" w:eastAsia="Arial" w:hAnsi="Arial"/>
                <w:sz w:val="18"/>
                <w:szCs w:val="18"/>
                <w:b w:val="1"/>
                <w:bCs w:val="1"/>
                <w:color w:val="auto"/>
              </w:rPr>
              <w:t>For</w:t>
            </w:r>
          </w:p>
        </w:tc>
        <w:tc>
          <w:tcPr>
            <w:tcW w:w="2080" w:type="dxa"/>
            <w:vAlign w:val="bottom"/>
            <w:gridSpan w:val="2"/>
          </w:tcPr>
          <w:p>
            <w:pPr>
              <w:ind w:left="580"/>
              <w:spacing w:after="0"/>
              <w:rPr>
                <w:sz w:val="20"/>
                <w:szCs w:val="20"/>
                <w:color w:val="auto"/>
              </w:rPr>
            </w:pPr>
            <w:r>
              <w:rPr>
                <w:rFonts w:ascii="Arial" w:cs="Arial" w:eastAsia="Arial" w:hAnsi="Arial"/>
                <w:sz w:val="18"/>
                <w:szCs w:val="18"/>
                <w:b w:val="1"/>
                <w:bCs w:val="1"/>
                <w:color w:val="auto"/>
              </w:rPr>
              <w:t>Withheld</w:t>
            </w: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Byron J. Anderson</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20,010,083</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10,577,300</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11,212,332</w:t>
            </w:r>
          </w:p>
        </w:tc>
      </w:tr>
      <w:tr>
        <w:trPr>
          <w:trHeight w:val="27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John P. Friel</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20,696,786</w:t>
            </w:r>
          </w:p>
        </w:tc>
        <w:tc>
          <w:tcPr>
            <w:tcW w:w="18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9,890,597</w:t>
            </w:r>
          </w:p>
        </w:tc>
        <w:tc>
          <w:tcPr>
            <w:tcW w:w="18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11,212,332</w:t>
            </w:r>
          </w:p>
        </w:tc>
      </w:tr>
      <w:tr>
        <w:trPr>
          <w:trHeight w:val="27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Reece A. Kurtenbach</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21,086,083</w:t>
            </w:r>
          </w:p>
        </w:tc>
        <w:tc>
          <w:tcPr>
            <w:tcW w:w="18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9,501,300</w:t>
            </w:r>
          </w:p>
        </w:tc>
        <w:tc>
          <w:tcPr>
            <w:tcW w:w="18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11,212,332</w:t>
            </w:r>
          </w:p>
        </w:tc>
      </w:tr>
    </w:tbl>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Proposal 2. </w:t>
      </w:r>
      <w:r>
        <w:rPr>
          <w:rFonts w:ascii="Arial" w:cs="Arial" w:eastAsia="Arial" w:hAnsi="Arial"/>
          <w:sz w:val="18"/>
          <w:szCs w:val="18"/>
          <w:b w:val="1"/>
          <w:bCs w:val="1"/>
          <w:color w:val="auto"/>
        </w:rPr>
        <w:t>Advisory (non-binding) approval of the Company's executive compensation.</w:t>
      </w:r>
      <w:r>
        <w:rPr>
          <w:rFonts w:ascii="Arial" w:cs="Arial" w:eastAsia="Arial" w:hAnsi="Arial"/>
          <w:sz w:val="18"/>
          <w:szCs w:val="18"/>
          <w:color w:val="auto"/>
        </w:rPr>
        <w:t xml:space="preserve"> The shareholders approved the compensation of the Company's executive officers as described in its proxy statement for the 2018 Annual Meeting by the following advisory vote: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16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Number of Shares Voted</w:t>
            </w: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0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2080" w:type="dxa"/>
            <w:vAlign w:val="bottom"/>
            <w:gridSpan w:val="2"/>
          </w:tcPr>
          <w:p>
            <w:pPr>
              <w:ind w:left="780"/>
              <w:spacing w:after="0"/>
              <w:rPr>
                <w:sz w:val="20"/>
                <w:szCs w:val="20"/>
                <w:color w:val="auto"/>
              </w:rPr>
            </w:pPr>
            <w:r>
              <w:rPr>
                <w:rFonts w:ascii="Arial" w:cs="Arial" w:eastAsia="Arial" w:hAnsi="Arial"/>
                <w:sz w:val="18"/>
                <w:szCs w:val="18"/>
                <w:b w:val="1"/>
                <w:bCs w:val="1"/>
                <w:color w:val="auto"/>
              </w:rPr>
              <w:t>For</w:t>
            </w: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Against</w:t>
            </w:r>
          </w:p>
        </w:tc>
        <w:tc>
          <w:tcPr>
            <w:tcW w:w="2120" w:type="dxa"/>
            <w:vAlign w:val="bottom"/>
            <w:gridSpan w:val="2"/>
          </w:tcPr>
          <w:p>
            <w:pPr>
              <w:ind w:left="640"/>
              <w:spacing w:after="0"/>
              <w:rPr>
                <w:sz w:val="20"/>
                <w:szCs w:val="20"/>
                <w:color w:val="auto"/>
              </w:rPr>
            </w:pPr>
            <w:r>
              <w:rPr>
                <w:rFonts w:ascii="Arial" w:cs="Arial" w:eastAsia="Arial" w:hAnsi="Arial"/>
                <w:sz w:val="18"/>
                <w:szCs w:val="18"/>
                <w:b w:val="1"/>
                <w:bCs w:val="1"/>
                <w:color w:val="auto"/>
              </w:rPr>
              <w:t>Abstain</w:t>
            </w: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1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jc w:val="right"/>
              <w:ind w:right="10"/>
              <w:spacing w:after="0"/>
              <w:rPr>
                <w:sz w:val="20"/>
                <w:szCs w:val="20"/>
                <w:color w:val="auto"/>
              </w:rPr>
            </w:pPr>
            <w:r>
              <w:rPr>
                <w:rFonts w:ascii="Arial" w:cs="Arial" w:eastAsia="Arial" w:hAnsi="Arial"/>
                <w:sz w:val="18"/>
                <w:szCs w:val="18"/>
                <w:color w:val="auto"/>
              </w:rPr>
              <w:t>29,023,218</w:t>
            </w:r>
          </w:p>
        </w:tc>
        <w:tc>
          <w:tcPr>
            <w:tcW w:w="24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1,114,731</w:t>
            </w: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449,434</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11,212,332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Proposal 3. </w:t>
      </w:r>
      <w:r>
        <w:rPr>
          <w:rFonts w:ascii="Arial" w:cs="Arial" w:eastAsia="Arial" w:hAnsi="Arial"/>
          <w:sz w:val="17"/>
          <w:szCs w:val="17"/>
          <w:b w:val="1"/>
          <w:bCs w:val="1"/>
          <w:color w:val="auto"/>
        </w:rPr>
        <w:t>Ratification of Appointment of Independent Registered Public Accounting Firm.</w:t>
      </w:r>
      <w:r>
        <w:rPr>
          <w:rFonts w:ascii="Arial" w:cs="Arial" w:eastAsia="Arial" w:hAnsi="Arial"/>
          <w:sz w:val="17"/>
          <w:szCs w:val="17"/>
          <w:color w:val="auto"/>
        </w:rPr>
        <w:t xml:space="preserve"> The appointment of Deloitte &amp; Touche, LLP as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independent registered public accounting firm for fiscal 2019 was ratified by the following vote:</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Number of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34290</wp:posOffset>
            </wp:positionV>
            <wp:extent cx="3876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2080" w:type="dxa"/>
            <w:vAlign w:val="bottom"/>
            <w:gridSpan w:val="2"/>
          </w:tcPr>
          <w:p>
            <w:pPr>
              <w:ind w:left="780"/>
              <w:spacing w:after="0"/>
              <w:rPr>
                <w:sz w:val="20"/>
                <w:szCs w:val="20"/>
                <w:color w:val="auto"/>
              </w:rPr>
            </w:pPr>
            <w:r>
              <w:rPr>
                <w:rFonts w:ascii="Arial" w:cs="Arial" w:eastAsia="Arial" w:hAnsi="Arial"/>
                <w:sz w:val="18"/>
                <w:szCs w:val="18"/>
                <w:b w:val="1"/>
                <w:bCs w:val="1"/>
                <w:color w:val="auto"/>
              </w:rPr>
              <w:t>For</w:t>
            </w: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Against</w:t>
            </w:r>
          </w:p>
        </w:tc>
        <w:tc>
          <w:tcPr>
            <w:tcW w:w="1260" w:type="dxa"/>
            <w:vAlign w:val="bottom"/>
          </w:tcPr>
          <w:p>
            <w:pPr>
              <w:ind w:left="640"/>
              <w:spacing w:after="0"/>
              <w:rPr>
                <w:sz w:val="20"/>
                <w:szCs w:val="20"/>
                <w:color w:val="auto"/>
              </w:rPr>
            </w:pPr>
            <w:r>
              <w:rPr>
                <w:rFonts w:ascii="Arial" w:cs="Arial" w:eastAsia="Arial" w:hAnsi="Arial"/>
                <w:sz w:val="18"/>
                <w:szCs w:val="18"/>
                <w:b w:val="1"/>
                <w:bCs w:val="1"/>
                <w:color w:val="auto"/>
                <w:w w:val="90"/>
              </w:rPr>
              <w:t>Abstain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1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jc w:val="right"/>
              <w:ind w:right="10"/>
              <w:spacing w:after="0"/>
              <w:rPr>
                <w:sz w:val="20"/>
                <w:szCs w:val="20"/>
                <w:color w:val="auto"/>
              </w:rPr>
            </w:pPr>
            <w:r>
              <w:rPr>
                <w:rFonts w:ascii="Arial" w:cs="Arial" w:eastAsia="Arial" w:hAnsi="Arial"/>
                <w:sz w:val="18"/>
                <w:szCs w:val="18"/>
                <w:color w:val="auto"/>
              </w:rPr>
              <w:t>41,509,629</w:t>
            </w:r>
          </w:p>
        </w:tc>
        <w:tc>
          <w:tcPr>
            <w:tcW w:w="24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259,651</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30,435</w:t>
            </w: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Proposal 4. </w:t>
      </w:r>
      <w:r>
        <w:rPr>
          <w:rFonts w:ascii="Arial" w:cs="Arial" w:eastAsia="Arial" w:hAnsi="Arial"/>
          <w:sz w:val="18"/>
          <w:szCs w:val="18"/>
          <w:b w:val="1"/>
          <w:bCs w:val="1"/>
          <w:color w:val="auto"/>
        </w:rPr>
        <w:t>Approval of an Amendment to the Employee Stock Purchase Plan ("ESPP").</w:t>
      </w:r>
      <w:r>
        <w:rPr>
          <w:rFonts w:ascii="Arial" w:cs="Arial" w:eastAsia="Arial" w:hAnsi="Arial"/>
          <w:sz w:val="18"/>
          <w:szCs w:val="18"/>
          <w:color w:val="auto"/>
        </w:rPr>
        <w:t xml:space="preserve"> The approval of an amendment to the ESPP to increase the number of shares authorized under the ESPP to 4,000,000 (an increase of 1,500,000 shares) was approved by the following vote:</w:t>
      </w:r>
    </w:p>
    <w:p>
      <w:pPr>
        <w:spacing w:after="0" w:line="324"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Number of Shares Voted</w:t>
            </w: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0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2080" w:type="dxa"/>
            <w:vAlign w:val="bottom"/>
            <w:gridSpan w:val="2"/>
          </w:tcPr>
          <w:p>
            <w:pPr>
              <w:ind w:left="780"/>
              <w:spacing w:after="0"/>
              <w:rPr>
                <w:sz w:val="20"/>
                <w:szCs w:val="20"/>
                <w:color w:val="auto"/>
              </w:rPr>
            </w:pPr>
            <w:r>
              <w:rPr>
                <w:rFonts w:ascii="Arial" w:cs="Arial" w:eastAsia="Arial" w:hAnsi="Arial"/>
                <w:sz w:val="18"/>
                <w:szCs w:val="18"/>
                <w:b w:val="1"/>
                <w:bCs w:val="1"/>
                <w:color w:val="auto"/>
              </w:rPr>
              <w:t>For</w:t>
            </w: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Against</w:t>
            </w:r>
          </w:p>
        </w:tc>
        <w:tc>
          <w:tcPr>
            <w:tcW w:w="2120" w:type="dxa"/>
            <w:vAlign w:val="bottom"/>
            <w:gridSpan w:val="2"/>
          </w:tcPr>
          <w:p>
            <w:pPr>
              <w:ind w:left="640"/>
              <w:spacing w:after="0"/>
              <w:rPr>
                <w:sz w:val="20"/>
                <w:szCs w:val="20"/>
                <w:color w:val="auto"/>
              </w:rPr>
            </w:pPr>
            <w:r>
              <w:rPr>
                <w:rFonts w:ascii="Arial" w:cs="Arial" w:eastAsia="Arial" w:hAnsi="Arial"/>
                <w:sz w:val="18"/>
                <w:szCs w:val="18"/>
                <w:b w:val="1"/>
                <w:bCs w:val="1"/>
                <w:color w:val="auto"/>
              </w:rPr>
              <w:t>Abstain</w:t>
            </w: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1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jc w:val="right"/>
              <w:ind w:right="10"/>
              <w:spacing w:after="0"/>
              <w:rPr>
                <w:sz w:val="20"/>
                <w:szCs w:val="20"/>
                <w:color w:val="auto"/>
              </w:rPr>
            </w:pPr>
            <w:r>
              <w:rPr>
                <w:rFonts w:ascii="Arial" w:cs="Arial" w:eastAsia="Arial" w:hAnsi="Arial"/>
                <w:sz w:val="18"/>
                <w:szCs w:val="18"/>
                <w:color w:val="auto"/>
              </w:rPr>
              <w:t>30,132,267</w:t>
            </w:r>
          </w:p>
        </w:tc>
        <w:tc>
          <w:tcPr>
            <w:tcW w:w="24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358,483</w:t>
            </w: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96,633</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11,212,332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DAKTRONICS, INC.</w:t>
      </w:r>
    </w:p>
    <w:p>
      <w:pPr>
        <w:spacing w:after="0" w:line="39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Sheila M. Anderson, 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757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5"/>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2019-12-06T02:24:35Z</dcterms:created>
  <dcterms:modified xsi:type="dcterms:W3CDTF">2019-12-06T02:24:35Z</dcterms:modified>
</cp:coreProperties>
</file>