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07" w:lineRule="exact"/>
        <w:rPr>
          <w:sz w:val="24"/>
          <w:szCs w:val="24"/>
          <w:color w:val="auto"/>
        </w:rPr>
      </w:pPr>
    </w:p>
    <w:p>
      <w:pPr>
        <w:jc w:val="center"/>
        <w:ind w:right="2360"/>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ANNUAL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April 29, 2023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jc w:val="center"/>
        <w:ind w:right="196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74295</wp:posOffset>
            </wp:positionV>
            <wp:extent cx="109728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Daktronics,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241"/>
        </w:trPr>
        <w:tc>
          <w:tcPr>
            <w:tcW w:w="4840" w:type="dxa"/>
            <w:vAlign w:val="bottom"/>
            <w:tcBorders>
              <w:bottom w:val="single" w:sz="8" w:color="auto"/>
            </w:tcBorders>
            <w:gridSpan w:val="2"/>
          </w:tcPr>
          <w:p>
            <w:pPr>
              <w:jc w:val="center"/>
              <w:ind w:left="655"/>
              <w:spacing w:after="0"/>
              <w:rPr>
                <w:sz w:val="20"/>
                <w:szCs w:val="20"/>
                <w:color w:val="auto"/>
              </w:rPr>
            </w:pPr>
            <w:r>
              <w:rPr>
                <w:rFonts w:ascii="Arial" w:cs="Arial" w:eastAsia="Arial" w:hAnsi="Arial"/>
                <w:sz w:val="18"/>
                <w:szCs w:val="18"/>
                <w:b w:val="1"/>
                <w:bCs w:val="1"/>
                <w:color w:val="auto"/>
                <w:w w:val="91"/>
              </w:rPr>
              <w:t>South Dakota</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253"/>
              <w:spacing w:after="0"/>
              <w:rPr>
                <w:sz w:val="20"/>
                <w:szCs w:val="20"/>
                <w:color w:val="auto"/>
              </w:rPr>
            </w:pPr>
            <w:r>
              <w:rPr>
                <w:rFonts w:ascii="Arial" w:cs="Arial" w:eastAsia="Arial" w:hAnsi="Arial"/>
                <w:sz w:val="18"/>
                <w:szCs w:val="18"/>
                <w:b w:val="1"/>
                <w:bCs w:val="1"/>
                <w:color w:val="auto"/>
              </w:rPr>
              <w:t>46-0306862</w:t>
            </w:r>
          </w:p>
        </w:tc>
      </w:tr>
      <w:tr>
        <w:trPr>
          <w:trHeight w:val="210"/>
        </w:trPr>
        <w:tc>
          <w:tcPr>
            <w:tcW w:w="4840" w:type="dxa"/>
            <w:vAlign w:val="bottom"/>
            <w:gridSpan w:val="2"/>
          </w:tcPr>
          <w:p>
            <w:pPr>
              <w:jc w:val="center"/>
              <w:ind w:left="655"/>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80" w:type="dxa"/>
            <w:vAlign w:val="bottom"/>
            <w:gridSpan w:val="2"/>
          </w:tcPr>
          <w:p>
            <w:pPr>
              <w:jc w:val="center"/>
              <w:ind w:right="993"/>
              <w:spacing w:after="0"/>
              <w:rPr>
                <w:sz w:val="20"/>
                <w:szCs w:val="20"/>
                <w:color w:val="auto"/>
              </w:rPr>
            </w:pPr>
            <w:r>
              <w:rPr>
                <w:rFonts w:ascii="Arial" w:cs="Arial" w:eastAsia="Arial" w:hAnsi="Arial"/>
                <w:sz w:val="16"/>
                <w:szCs w:val="16"/>
                <w:color w:val="auto"/>
                <w:w w:val="95"/>
              </w:rPr>
              <w:t>(I.R.S. Employer Identification No.)</w:t>
            </w:r>
          </w:p>
        </w:tc>
      </w:tr>
      <w:tr>
        <w:trPr>
          <w:trHeight w:val="514"/>
        </w:trPr>
        <w:tc>
          <w:tcPr>
            <w:tcW w:w="4840" w:type="dxa"/>
            <w:vAlign w:val="bottom"/>
            <w:gridSpan w:val="2"/>
          </w:tcPr>
          <w:p>
            <w:pPr>
              <w:jc w:val="center"/>
              <w:ind w:left="655"/>
              <w:spacing w:after="0"/>
              <w:rPr>
                <w:sz w:val="20"/>
                <w:szCs w:val="20"/>
                <w:color w:val="auto"/>
              </w:rPr>
            </w:pPr>
            <w:r>
              <w:rPr>
                <w:rFonts w:ascii="Arial" w:cs="Arial" w:eastAsia="Arial" w:hAnsi="Arial"/>
                <w:sz w:val="18"/>
                <w:szCs w:val="18"/>
                <w:b w:val="1"/>
                <w:bCs w:val="1"/>
                <w:color w:val="auto"/>
                <w:w w:val="90"/>
              </w:rPr>
              <w:t>201 Daktronics Drive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1"/>
        </w:trPr>
        <w:tc>
          <w:tcPr>
            <w:tcW w:w="4840" w:type="dxa"/>
            <w:vAlign w:val="bottom"/>
            <w:tcBorders>
              <w:bottom w:val="single" w:sz="8" w:color="auto"/>
            </w:tcBorders>
            <w:gridSpan w:val="2"/>
          </w:tcPr>
          <w:p>
            <w:pPr>
              <w:jc w:val="center"/>
              <w:ind w:left="655"/>
              <w:spacing w:after="0"/>
              <w:rPr>
                <w:sz w:val="20"/>
                <w:szCs w:val="20"/>
                <w:color w:val="auto"/>
              </w:rPr>
            </w:pPr>
            <w:r>
              <w:rPr>
                <w:rFonts w:ascii="Arial" w:cs="Arial" w:eastAsia="Arial" w:hAnsi="Arial"/>
                <w:sz w:val="18"/>
                <w:szCs w:val="18"/>
                <w:b w:val="1"/>
                <w:bCs w:val="1"/>
                <w:color w:val="auto"/>
                <w:w w:val="88"/>
              </w:rPr>
              <w:t>Brookings, SD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473"/>
              <w:spacing w:after="0"/>
              <w:rPr>
                <w:sz w:val="20"/>
                <w:szCs w:val="20"/>
                <w:color w:val="auto"/>
              </w:rPr>
            </w:pPr>
            <w:r>
              <w:rPr>
                <w:rFonts w:ascii="Arial" w:cs="Arial" w:eastAsia="Arial" w:hAnsi="Arial"/>
                <w:sz w:val="18"/>
                <w:szCs w:val="18"/>
                <w:b w:val="1"/>
                <w:bCs w:val="1"/>
                <w:color w:val="auto"/>
              </w:rPr>
              <w:t>57006</w:t>
            </w:r>
          </w:p>
        </w:tc>
      </w:tr>
      <w:tr>
        <w:trPr>
          <w:trHeight w:val="210"/>
        </w:trPr>
        <w:tc>
          <w:tcPr>
            <w:tcW w:w="4840" w:type="dxa"/>
            <w:vAlign w:val="bottom"/>
            <w:gridSpan w:val="2"/>
          </w:tcPr>
          <w:p>
            <w:pPr>
              <w:jc w:val="center"/>
              <w:ind w:left="655"/>
              <w:spacing w:after="0"/>
              <w:rPr>
                <w:sz w:val="20"/>
                <w:szCs w:val="20"/>
                <w:color w:val="auto"/>
              </w:rPr>
            </w:pPr>
            <w:r>
              <w:rPr>
                <w:rFonts w:ascii="Arial" w:cs="Arial" w:eastAsia="Arial" w:hAnsi="Arial"/>
                <w:sz w:val="16"/>
                <w:szCs w:val="16"/>
                <w:color w:val="auto"/>
                <w:w w:val="94"/>
              </w:rPr>
              <w:t>(Address of Principal Executive Offices)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20" w:type="dxa"/>
            <w:vAlign w:val="bottom"/>
          </w:tcPr>
          <w:p>
            <w:pPr>
              <w:jc w:val="center"/>
              <w:ind w:right="2053"/>
              <w:spacing w:after="0"/>
              <w:rPr>
                <w:sz w:val="20"/>
                <w:szCs w:val="20"/>
                <w:color w:val="auto"/>
              </w:rPr>
            </w:pPr>
            <w:r>
              <w:rPr>
                <w:rFonts w:ascii="Arial" w:cs="Arial" w:eastAsia="Arial" w:hAnsi="Arial"/>
                <w:sz w:val="16"/>
                <w:szCs w:val="16"/>
                <w:color w:val="auto"/>
                <w:w w:val="95"/>
              </w:rPr>
              <w:t>(Zip Code)</w:t>
            </w:r>
          </w:p>
        </w:tc>
      </w:tr>
      <w:tr>
        <w:trPr>
          <w:trHeight w:val="334"/>
        </w:trPr>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(605) 692-0200</w:t>
            </w:r>
          </w:p>
        </w:tc>
        <w:tc>
          <w:tcPr>
            <w:tcW w:w="10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6"/>
        </w:trPr>
        <w:tc>
          <w:tcPr>
            <w:tcW w:w="7820" w:type="dxa"/>
            <w:vAlign w:val="bottom"/>
            <w:gridSpan w:val="6"/>
          </w:tcPr>
          <w:p>
            <w:pPr>
              <w:jc w:val="center"/>
              <w:ind w:left="3335"/>
              <w:spacing w:after="0"/>
              <w:rPr>
                <w:sz w:val="20"/>
                <w:szCs w:val="20"/>
                <w:color w:val="auto"/>
              </w:rPr>
            </w:pPr>
            <w:r>
              <w:rPr>
                <w:rFonts w:ascii="Arial" w:cs="Arial" w:eastAsia="Arial" w:hAnsi="Arial"/>
                <w:sz w:val="16"/>
                <w:szCs w:val="16"/>
                <w:color w:val="auto"/>
                <w:w w:val="91"/>
              </w:rPr>
              <w:t>(Registrant’s telephone number, including area code)</w:t>
            </w:r>
          </w:p>
        </w:tc>
        <w:tc>
          <w:tcPr>
            <w:tcW w:w="3420" w:type="dxa"/>
            <w:vAlign w:val="bottom"/>
          </w:tcPr>
          <w:p>
            <w:pPr>
              <w:spacing w:after="0"/>
              <w:rPr>
                <w:sz w:val="17"/>
                <w:szCs w:val="17"/>
                <w:color w:val="auto"/>
              </w:rPr>
            </w:pPr>
          </w:p>
        </w:tc>
      </w:tr>
      <w:tr>
        <w:trPr>
          <w:trHeight w:val="297"/>
        </w:trPr>
        <w:tc>
          <w:tcPr>
            <w:tcW w:w="7820" w:type="dxa"/>
            <w:vAlign w:val="bottom"/>
            <w:gridSpan w:val="6"/>
          </w:tcPr>
          <w:p>
            <w:pPr>
              <w:jc w:val="center"/>
              <w:ind w:left="3335"/>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420" w:type="dxa"/>
            <w:vAlign w:val="bottom"/>
          </w:tcPr>
          <w:p>
            <w:pPr>
              <w:spacing w:after="0"/>
              <w:rPr>
                <w:sz w:val="24"/>
                <w:szCs w:val="24"/>
                <w:color w:val="auto"/>
              </w:rPr>
            </w:pPr>
          </w:p>
        </w:tc>
      </w:tr>
      <w:tr>
        <w:trPr>
          <w:trHeight w:val="128"/>
        </w:trPr>
        <w:tc>
          <w:tcPr>
            <w:tcW w:w="4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r>
      <w:tr>
        <w:trPr>
          <w:trHeight w:val="237"/>
        </w:trPr>
        <w:tc>
          <w:tcPr>
            <w:tcW w:w="4500" w:type="dxa"/>
            <w:vAlign w:val="bottom"/>
            <w:tcBorders>
              <w:left w:val="single" w:sz="8" w:color="auto"/>
              <w:right w:val="single" w:sz="8" w:color="auto"/>
            </w:tcBorders>
          </w:tcPr>
          <w:p>
            <w:pPr>
              <w:ind w:left="1580"/>
              <w:spacing w:after="0"/>
              <w:rPr>
                <w:sz w:val="20"/>
                <w:szCs w:val="20"/>
                <w:color w:val="auto"/>
              </w:rPr>
            </w:pPr>
            <w:r>
              <w:rPr>
                <w:rFonts w:ascii="Arial" w:cs="Arial" w:eastAsia="Arial" w:hAnsi="Arial"/>
                <w:sz w:val="18"/>
                <w:szCs w:val="18"/>
                <w:b w:val="1"/>
                <w:bCs w:val="1"/>
                <w:color w:val="auto"/>
              </w:rPr>
              <w:t>Title of each class</w:t>
            </w:r>
          </w:p>
        </w:tc>
        <w:tc>
          <w:tcPr>
            <w:tcW w:w="340" w:type="dxa"/>
            <w:vAlign w:val="bottom"/>
          </w:tcPr>
          <w:p>
            <w:pPr>
              <w:spacing w:after="0"/>
              <w:rPr>
                <w:sz w:val="20"/>
                <w:szCs w:val="20"/>
                <w:color w:val="auto"/>
              </w:rPr>
            </w:pPr>
          </w:p>
        </w:tc>
        <w:tc>
          <w:tcPr>
            <w:tcW w:w="192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43"/>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No Par Value</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80"/>
              <w:spacing w:after="0"/>
              <w:rPr>
                <w:sz w:val="20"/>
                <w:szCs w:val="20"/>
                <w:color w:val="auto"/>
              </w:rPr>
            </w:pPr>
            <w:r>
              <w:rPr>
                <w:rFonts w:ascii="Arial" w:cs="Arial" w:eastAsia="Arial" w:hAnsi="Arial"/>
                <w:sz w:val="18"/>
                <w:szCs w:val="18"/>
                <w:color w:val="auto"/>
              </w:rPr>
              <w:t>DAKT</w:t>
            </w:r>
          </w:p>
        </w:tc>
        <w:tc>
          <w:tcPr>
            <w:tcW w:w="1060" w:type="dxa"/>
            <w:vAlign w:val="bottom"/>
            <w:tcBorders>
              <w:bottom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jc w:val="center"/>
              <w:ind w:right="973"/>
              <w:spacing w:after="0"/>
              <w:rPr>
                <w:sz w:val="20"/>
                <w:szCs w:val="20"/>
                <w:color w:val="auto"/>
              </w:rPr>
            </w:pPr>
            <w:r>
              <w:rPr>
                <w:rFonts w:ascii="Arial" w:cs="Arial" w:eastAsia="Arial" w:hAnsi="Arial"/>
                <w:sz w:val="18"/>
                <w:szCs w:val="18"/>
                <w:color w:val="auto"/>
                <w:w w:val="90"/>
              </w:rPr>
              <w:t>Nasdaq Global Select Market</w:t>
            </w:r>
          </w:p>
        </w:tc>
      </w:tr>
      <w:tr>
        <w:trPr>
          <w:trHeight w:val="25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Purchase Rights</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80"/>
              <w:spacing w:after="0"/>
              <w:rPr>
                <w:sz w:val="20"/>
                <w:szCs w:val="20"/>
                <w:color w:val="auto"/>
              </w:rPr>
            </w:pPr>
            <w:r>
              <w:rPr>
                <w:rFonts w:ascii="Arial" w:cs="Arial" w:eastAsia="Arial" w:hAnsi="Arial"/>
                <w:sz w:val="18"/>
                <w:szCs w:val="18"/>
                <w:color w:val="auto"/>
              </w:rPr>
              <w:t>DAKT</w:t>
            </w:r>
          </w:p>
        </w:tc>
        <w:tc>
          <w:tcPr>
            <w:tcW w:w="1060" w:type="dxa"/>
            <w:vAlign w:val="bottom"/>
            <w:tcBorders>
              <w:bottom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jc w:val="center"/>
              <w:ind w:right="973"/>
              <w:spacing w:after="0"/>
              <w:rPr>
                <w:sz w:val="20"/>
                <w:szCs w:val="20"/>
                <w:color w:val="auto"/>
              </w:rPr>
            </w:pPr>
            <w:r>
              <w:rPr>
                <w:rFonts w:ascii="Arial" w:cs="Arial" w:eastAsia="Arial" w:hAnsi="Arial"/>
                <w:sz w:val="18"/>
                <w:szCs w:val="18"/>
                <w:color w:val="auto"/>
                <w:w w:val="90"/>
              </w:rPr>
              <w:t>Nasdaq Global Select Market</w:t>
            </w:r>
          </w:p>
        </w:tc>
      </w:tr>
      <w:tr>
        <w:trPr>
          <w:trHeight w:val="399"/>
        </w:trPr>
        <w:tc>
          <w:tcPr>
            <w:tcW w:w="7820" w:type="dxa"/>
            <w:vAlign w:val="bottom"/>
            <w:gridSpan w:val="6"/>
          </w:tcPr>
          <w:p>
            <w:pPr>
              <w:jc w:val="center"/>
              <w:ind w:left="3335"/>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3420" w:type="dxa"/>
            <w:vAlign w:val="bottom"/>
          </w:tcPr>
          <w:p>
            <w:pPr>
              <w:spacing w:after="0"/>
              <w:rPr>
                <w:sz w:val="24"/>
                <w:szCs w:val="24"/>
                <w:color w:val="auto"/>
              </w:rPr>
            </w:pPr>
          </w:p>
        </w:tc>
      </w:tr>
      <w:tr>
        <w:trPr>
          <w:trHeight w:val="345"/>
        </w:trPr>
        <w:tc>
          <w:tcPr>
            <w:tcW w:w="11240" w:type="dxa"/>
            <w:vAlign w:val="bottom"/>
            <w:gridSpan w:val="7"/>
          </w:tcPr>
          <w:p>
            <w:pPr>
              <w:spacing w:after="0" w:line="19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r>
        <w:trPr>
          <w:trHeight w:val="324"/>
        </w:trPr>
        <w:tc>
          <w:tcPr>
            <w:tcW w:w="782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w:t>
            </w:r>
          </w:p>
        </w:tc>
        <w:tc>
          <w:tcPr>
            <w:tcW w:w="3420" w:type="dxa"/>
            <w:vAlign w:val="bottom"/>
          </w:tcPr>
          <w:p>
            <w:pPr>
              <w:ind w:left="6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bl>
    <w:p>
      <w:pPr>
        <w:spacing w:after="0" w:line="70"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0"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0" w:gutter="0" w:footer="0" w:header="0"/>
        </w:sectPr>
      </w:pPr>
    </w:p>
    <w:p>
      <w:pPr>
        <w:spacing w:after="0" w:line="97"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ind w:right="432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4920" w:space="720"/>
            <w:col w:w="5600"/>
          </w:cols>
          <w:pgMar w:left="320" w:top="233" w:right="339" w:bottom="0" w:gutter="0" w:footer="0" w:header="0"/>
          <w:type w:val="continuous"/>
        </w:sectPr>
      </w:pPr>
    </w:p>
    <w:p>
      <w:pPr>
        <w:ind w:left="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74" w:lineRule="exact"/>
        <w:rPr>
          <w:sz w:val="24"/>
          <w:szCs w:val="24"/>
          <w:color w:val="auto"/>
        </w:rPr>
      </w:pPr>
    </w:p>
    <w:p>
      <w:pPr>
        <w:sectPr>
          <w:pgSz w:w="11900" w:h="16838" w:orient="portrait"/>
          <w:cols w:equalWidth="0" w:num="2">
            <w:col w:w="4920" w:space="720"/>
            <w:col w:w="5600"/>
          </w:cols>
          <w:pgMar w:left="320" w:top="233" w:right="339" w:bottom="0" w:gutter="0" w:footer="0" w:header="0"/>
          <w:type w:val="continuous"/>
        </w:sect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233" w:right="339" w:bottom="0" w:gutter="0" w:footer="0" w:header="0"/>
          <w:type w:val="continuous"/>
        </w:sectPr>
      </w:pPr>
    </w:p>
    <w:p>
      <w:pPr>
        <w:spacing w:after="0" w:line="268" w:lineRule="exact"/>
        <w:rPr>
          <w:sz w:val="24"/>
          <w:szCs w:val="24"/>
          <w:color w:val="auto"/>
        </w:rPr>
      </w:pPr>
    </w:p>
    <w:p>
      <w:pPr>
        <w:jc w:val="both"/>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jc w:val="both"/>
        <w:spacing w:after="0" w:line="22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71"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87"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any of those errors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58" w:lineRule="auto"/>
        <w:rPr>
          <w:sz w:val="20"/>
          <w:szCs w:val="20"/>
          <w:color w:val="auto"/>
        </w:rPr>
      </w:pPr>
      <w:r>
        <w:rPr>
          <w:rFonts w:ascii="Arial" w:cs="Arial" w:eastAsia="Arial" w:hAnsi="Arial"/>
          <w:sz w:val="16"/>
          <w:szCs w:val="16"/>
          <w:color w:val="auto"/>
        </w:rPr>
        <w:t>The aggregate market value of the registrant's common stock held by non-affiliates at October 29, 2022 (which is the last business day of the Registrant’s most recently completed second quarter), computed by reference to the closing sales price of the Registrant’s common stock on The Nasdaq Global Select Market on such date, was approximately $159,867,118.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ectPr>
          <w:pgSz w:w="11900" w:h="16838" w:orient="portrait"/>
          <w:cols w:equalWidth="0" w:num="1">
            <w:col w:w="11240"/>
          </w:cols>
          <w:pgMar w:left="320" w:top="233"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June 30, 2023 was 45,703,283.</w:t>
      </w:r>
    </w:p>
    <w:p>
      <w:pPr>
        <w:spacing w:after="0" w:line="167" w:lineRule="exact"/>
        <w:rPr>
          <w:sz w:val="20"/>
          <w:szCs w:val="20"/>
          <w:color w:val="auto"/>
        </w:rPr>
      </w:pPr>
    </w:p>
    <w:p>
      <w:pPr>
        <w:ind w:left="20"/>
        <w:spacing w:after="0"/>
        <w:tabs>
          <w:tab w:leader="none" w:pos="4360" w:val="left"/>
          <w:tab w:leader="none" w:pos="8780" w:val="left"/>
        </w:tabs>
        <w:rPr>
          <w:sz w:val="20"/>
          <w:szCs w:val="20"/>
          <w:color w:val="auto"/>
        </w:rPr>
      </w:pPr>
      <w:r>
        <w:rPr>
          <w:rFonts w:ascii="Arial" w:cs="Arial" w:eastAsia="Arial" w:hAnsi="Arial"/>
          <w:sz w:val="18"/>
          <w:szCs w:val="18"/>
          <w:color w:val="auto"/>
        </w:rPr>
        <w:t>Auditor Name: Deloitte &amp; Touche LLP</w:t>
      </w:r>
      <w:r>
        <w:rPr>
          <w:sz w:val="20"/>
          <w:szCs w:val="20"/>
          <w:color w:val="auto"/>
        </w:rPr>
        <w:tab/>
      </w:r>
      <w:r>
        <w:rPr>
          <w:rFonts w:ascii="Arial" w:cs="Arial" w:eastAsia="Arial" w:hAnsi="Arial"/>
          <w:sz w:val="18"/>
          <w:szCs w:val="18"/>
          <w:color w:val="auto"/>
        </w:rPr>
        <w:t>Location: Minneapolis, Minnesota</w:t>
      </w:r>
      <w:r>
        <w:rPr>
          <w:sz w:val="20"/>
          <w:szCs w:val="20"/>
          <w:color w:val="auto"/>
        </w:rPr>
        <w:tab/>
      </w:r>
      <w:r>
        <w:rPr>
          <w:rFonts w:ascii="Arial" w:cs="Arial" w:eastAsia="Arial" w:hAnsi="Arial"/>
          <w:sz w:val="17"/>
          <w:szCs w:val="17"/>
          <w:color w:val="auto"/>
        </w:rPr>
        <w:t>Auditor Firm ID: PCAOB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April 29,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5"/>
          </w:tcPr>
          <w:p>
            <w:pPr>
              <w:ind w:left="340"/>
              <w:spacing w:after="0"/>
              <w:rPr>
                <w:sz w:val="20"/>
                <w:szCs w:val="20"/>
                <w:color w:val="auto"/>
              </w:rPr>
            </w:pPr>
            <w:r>
              <w:rPr>
                <w:rFonts w:ascii="Arial" w:cs="Arial" w:eastAsia="Arial" w:hAnsi="Arial"/>
                <w:sz w:val="18"/>
                <w:szCs w:val="18"/>
                <w:b w:val="1"/>
                <w:bCs w:val="1"/>
                <w:color w:val="auto"/>
                <w:w w:val="83"/>
              </w:rPr>
              <w:t>Page</w:t>
            </w:r>
          </w:p>
        </w:tc>
      </w:tr>
      <w:tr>
        <w:trPr>
          <w:trHeight w:val="230"/>
        </w:trPr>
        <w:tc>
          <w:tcPr>
            <w:tcW w:w="20" w:type="dxa"/>
            <w:vAlign w:val="bottom"/>
          </w:tcPr>
          <w:p>
            <w:pPr>
              <w:spacing w:after="0"/>
              <w:rPr>
                <w:sz w:val="19"/>
                <w:szCs w:val="19"/>
                <w:color w:val="auto"/>
              </w:rPr>
            </w:pPr>
          </w:p>
        </w:tc>
        <w:tc>
          <w:tcPr>
            <w:tcW w:w="5340" w:type="dxa"/>
            <w:vAlign w:val="bottom"/>
            <w:gridSpan w:val="18"/>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5160" w:type="dxa"/>
            <w:vAlign w:val="bottom"/>
            <w:gridSpan w:val="10"/>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Arial" w:cs="Arial" w:eastAsia="Arial" w:hAnsi="Arial"/>
                <w:sz w:val="18"/>
                <w:szCs w:val="18"/>
                <w:b w:val="1"/>
                <w:bCs w:val="1"/>
                <w:color w:val="0000FF"/>
              </w:rPr>
              <w:t>PART I</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rPr>
              <w:t>ITEM 1.</w:t>
            </w:r>
          </w:p>
        </w:tc>
        <w:tc>
          <w:tcPr>
            <w:tcW w:w="934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5"/>
          </w:tcPr>
          <w:p>
            <w:pPr>
              <w:spacing w:after="0"/>
              <w:rPr>
                <w:sz w:val="20"/>
                <w:szCs w:val="20"/>
                <w:color w:val="auto"/>
              </w:rPr>
            </w:pPr>
            <w:r>
              <w:rPr>
                <w:rFonts w:ascii="Arial" w:cs="Arial" w:eastAsia="Arial" w:hAnsi="Arial"/>
                <w:sz w:val="18"/>
                <w:szCs w:val="18"/>
                <w:color w:val="0000FF"/>
                <w:w w:val="98"/>
              </w:rPr>
              <w:t>ITEM 1A.</w:t>
            </w:r>
          </w:p>
        </w:tc>
        <w:tc>
          <w:tcPr>
            <w:tcW w:w="380" w:type="dxa"/>
            <w:vAlign w:val="bottom"/>
            <w:gridSpan w:val="2"/>
          </w:tcPr>
          <w:p>
            <w:pPr>
              <w:spacing w:after="0"/>
              <w:rPr>
                <w:sz w:val="21"/>
                <w:szCs w:val="21"/>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ITEM 1B.</w:t>
            </w:r>
          </w:p>
        </w:tc>
        <w:tc>
          <w:tcPr>
            <w:tcW w:w="380" w:type="dxa"/>
            <w:vAlign w:val="bottom"/>
            <w:gridSpan w:val="2"/>
          </w:tcPr>
          <w:p>
            <w:pPr>
              <w:spacing w:after="0"/>
              <w:rPr>
                <w:sz w:val="21"/>
                <w:szCs w:val="21"/>
                <w:color w:val="auto"/>
              </w:rPr>
            </w:pPr>
          </w:p>
        </w:tc>
        <w:tc>
          <w:tcPr>
            <w:tcW w:w="28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4"/>
              </w:rPr>
              <w:t>UNRESOLVED STAFF COMMENTS</w:t>
            </w:r>
          </w:p>
        </w:tc>
        <w:tc>
          <w:tcPr>
            <w:tcW w:w="6520" w:type="dxa"/>
            <w:vAlign w:val="bottom"/>
            <w:gridSpan w:val="12"/>
          </w:tcPr>
          <w:p>
            <w:pPr>
              <w:spacing w:after="0"/>
              <w:rPr>
                <w:sz w:val="21"/>
                <w:szCs w:val="21"/>
                <w:color w:val="auto"/>
              </w:rPr>
            </w:pPr>
          </w:p>
        </w:tc>
        <w:tc>
          <w:tcPr>
            <w:tcW w:w="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rPr>
              <w:t>ITEM 2.</w:t>
            </w:r>
          </w:p>
        </w:tc>
        <w:tc>
          <w:tcPr>
            <w:tcW w:w="934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rPr>
              <w:t>ITEM 3.</w:t>
            </w:r>
          </w:p>
        </w:tc>
        <w:tc>
          <w:tcPr>
            <w:tcW w:w="934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rPr>
              <w:t>ITEM 4.</w:t>
            </w:r>
          </w:p>
        </w:tc>
        <w:tc>
          <w:tcPr>
            <w:tcW w:w="934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Arial" w:cs="Arial" w:eastAsia="Arial" w:hAnsi="Arial"/>
                <w:sz w:val="18"/>
                <w:szCs w:val="18"/>
                <w:b w:val="1"/>
                <w:bCs w:val="1"/>
                <w:color w:val="0000FF"/>
              </w:rPr>
              <w:t>PART II</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5"/>
              </w:rPr>
              <w:t>MARKET FOR REGISTRANT’S COMMON EQUITY, RELATED STOCKHOLDER MATTERS AND ISSUER PURCHASES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Arial" w:cs="Arial" w:eastAsia="Arial" w:hAnsi="Arial"/>
                <w:sz w:val="18"/>
                <w:szCs w:val="18"/>
                <w:color w:val="0000FF"/>
              </w:rPr>
              <w:t>ITEM 5.</w:t>
            </w:r>
          </w:p>
        </w:tc>
        <w:tc>
          <w:tcPr>
            <w:tcW w:w="480" w:type="dxa"/>
            <w:vAlign w:val="bottom"/>
            <w:gridSpan w:val="3"/>
          </w:tcPr>
          <w:p>
            <w:pPr>
              <w:spacing w:after="0"/>
              <w:rPr>
                <w:sz w:val="17"/>
                <w:szCs w:val="17"/>
                <w:color w:val="auto"/>
              </w:rPr>
            </w:pPr>
          </w:p>
        </w:tc>
        <w:tc>
          <w:tcPr>
            <w:tcW w:w="9340" w:type="dxa"/>
            <w:vAlign w:val="bottom"/>
            <w:gridSpan w:val="21"/>
          </w:tcPr>
          <w:p>
            <w:pPr>
              <w:spacing w:after="0" w:line="196" w:lineRule="exact"/>
              <w:rPr>
                <w:sz w:val="20"/>
                <w:szCs w:val="20"/>
                <w:color w:val="auto"/>
              </w:rPr>
            </w:pPr>
            <w:r>
              <w:rPr>
                <w:rFonts w:ascii="Arial" w:cs="Arial" w:eastAsia="Arial" w:hAnsi="Arial"/>
                <w:sz w:val="18"/>
                <w:szCs w:val="18"/>
                <w:color w:val="0000FF"/>
              </w:rPr>
              <w:t>OF EQUITY SECURITIES</w:t>
            </w:r>
          </w:p>
        </w:tc>
        <w:tc>
          <w:tcPr>
            <w:tcW w:w="700" w:type="dxa"/>
            <w:vAlign w:val="bottom"/>
            <w:gridSpan w:val="4"/>
          </w:tcPr>
          <w:p>
            <w:pPr>
              <w:jc w:val="right"/>
              <w:spacing w:after="0" w:line="196"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6.</w:t>
            </w:r>
          </w:p>
        </w:tc>
        <w:tc>
          <w:tcPr>
            <w:tcW w:w="480" w:type="dxa"/>
            <w:vAlign w:val="bottom"/>
            <w:gridSpan w:val="3"/>
          </w:tcPr>
          <w:p>
            <w:pPr>
              <w:spacing w:after="0"/>
              <w:rPr>
                <w:sz w:val="21"/>
                <w:szCs w:val="21"/>
                <w:color w:val="auto"/>
              </w:rPr>
            </w:pPr>
          </w:p>
        </w:tc>
        <w:tc>
          <w:tcPr>
            <w:tcW w:w="2000" w:type="dxa"/>
            <w:vAlign w:val="bottom"/>
            <w:tcBorders>
              <w:top w:val="single" w:sz="8" w:color="0000FF"/>
            </w:tcBorders>
            <w:gridSpan w:val="6"/>
          </w:tcPr>
          <w:p>
            <w:pPr>
              <w:spacing w:after="0"/>
              <w:rPr>
                <w:sz w:val="20"/>
                <w:szCs w:val="20"/>
                <w:color w:val="auto"/>
              </w:rPr>
            </w:pPr>
            <w:r>
              <w:rPr>
                <w:rFonts w:ascii="Arial" w:cs="Arial" w:eastAsia="Arial" w:hAnsi="Arial"/>
                <w:sz w:val="18"/>
                <w:szCs w:val="18"/>
                <w:i w:val="1"/>
                <w:iCs w:val="1"/>
                <w:color w:val="0000FF"/>
              </w:rPr>
              <w:t>[Reserved.]</w:t>
            </w:r>
          </w:p>
        </w:tc>
        <w:tc>
          <w:tcPr>
            <w:tcW w:w="7340" w:type="dxa"/>
            <w:vAlign w:val="bottom"/>
            <w:gridSpan w:val="15"/>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ITEM 7.</w:t>
            </w:r>
          </w:p>
        </w:tc>
        <w:tc>
          <w:tcPr>
            <w:tcW w:w="480" w:type="dxa"/>
            <w:vAlign w:val="bottom"/>
            <w:gridSpan w:val="3"/>
          </w:tcPr>
          <w:p>
            <w:pPr>
              <w:spacing w:after="0"/>
              <w:rPr>
                <w:sz w:val="21"/>
                <w:szCs w:val="21"/>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ITEM 7A.</w:t>
            </w:r>
          </w:p>
        </w:tc>
        <w:tc>
          <w:tcPr>
            <w:tcW w:w="380" w:type="dxa"/>
            <w:vAlign w:val="bottom"/>
            <w:gridSpan w:val="2"/>
          </w:tcPr>
          <w:p>
            <w:pPr>
              <w:spacing w:after="0"/>
              <w:rPr>
                <w:sz w:val="21"/>
                <w:szCs w:val="21"/>
                <w:color w:val="auto"/>
              </w:rPr>
            </w:pPr>
          </w:p>
        </w:tc>
        <w:tc>
          <w:tcPr>
            <w:tcW w:w="61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QUANTITATIVE AND QUALITATIVE DISCLOSURES ABOUT MARKET RISK</w:t>
            </w:r>
          </w:p>
        </w:tc>
        <w:tc>
          <w:tcPr>
            <w:tcW w:w="3220" w:type="dxa"/>
            <w:vAlign w:val="bottom"/>
            <w:gridSpan w:val="6"/>
          </w:tcPr>
          <w:p>
            <w:pPr>
              <w:spacing w:after="0"/>
              <w:rPr>
                <w:sz w:val="21"/>
                <w:szCs w:val="21"/>
                <w:color w:val="auto"/>
              </w:rPr>
            </w:pPr>
          </w:p>
        </w:tc>
        <w:tc>
          <w:tcPr>
            <w:tcW w:w="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rPr>
              <w:t>ITEM 8.</w:t>
            </w:r>
          </w:p>
        </w:tc>
        <w:tc>
          <w:tcPr>
            <w:tcW w:w="934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35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rPr>
              <w:t>ITEM 9.</w:t>
            </w:r>
          </w:p>
        </w:tc>
        <w:tc>
          <w:tcPr>
            <w:tcW w:w="934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71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ITEM 9A.</w:t>
            </w:r>
          </w:p>
        </w:tc>
        <w:tc>
          <w:tcPr>
            <w:tcW w:w="380" w:type="dxa"/>
            <w:vAlign w:val="bottom"/>
            <w:gridSpan w:val="2"/>
          </w:tcPr>
          <w:p>
            <w:pPr>
              <w:spacing w:after="0"/>
              <w:rPr>
                <w:sz w:val="21"/>
                <w:szCs w:val="21"/>
                <w:color w:val="auto"/>
              </w:rPr>
            </w:pPr>
          </w:p>
        </w:tc>
        <w:tc>
          <w:tcPr>
            <w:tcW w:w="26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CONTROLS AND PROCEDURES</w:t>
            </w:r>
          </w:p>
        </w:tc>
        <w:tc>
          <w:tcPr>
            <w:tcW w:w="6740" w:type="dxa"/>
            <w:vAlign w:val="bottom"/>
            <w:gridSpan w:val="13"/>
          </w:tcPr>
          <w:p>
            <w:pPr>
              <w:spacing w:after="0"/>
              <w:rPr>
                <w:sz w:val="21"/>
                <w:szCs w:val="21"/>
                <w:color w:val="auto"/>
              </w:rPr>
            </w:pPr>
          </w:p>
        </w:tc>
        <w:tc>
          <w:tcPr>
            <w:tcW w:w="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80" w:type="dxa"/>
            <w:vAlign w:val="bottom"/>
            <w:gridSpan w:val="5"/>
          </w:tcPr>
          <w:p>
            <w:pPr>
              <w:spacing w:after="0"/>
              <w:rPr>
                <w:sz w:val="20"/>
                <w:szCs w:val="20"/>
                <w:color w:val="auto"/>
              </w:rPr>
            </w:pPr>
            <w:r>
              <w:rPr>
                <w:rFonts w:ascii="Arial" w:cs="Arial" w:eastAsia="Arial" w:hAnsi="Arial"/>
                <w:sz w:val="18"/>
                <w:szCs w:val="18"/>
                <w:color w:val="0000FF"/>
                <w:w w:val="98"/>
              </w:rPr>
              <w:t>ITEM 9B.</w:t>
            </w:r>
          </w:p>
        </w:tc>
        <w:tc>
          <w:tcPr>
            <w:tcW w:w="380" w:type="dxa"/>
            <w:vAlign w:val="bottom"/>
            <w:gridSpan w:val="2"/>
          </w:tcPr>
          <w:p>
            <w:pPr>
              <w:spacing w:after="0"/>
              <w:rPr>
                <w:sz w:val="21"/>
                <w:szCs w:val="21"/>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74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5"/>
          </w:tcPr>
          <w:p>
            <w:pPr>
              <w:spacing w:after="0"/>
              <w:rPr>
                <w:sz w:val="20"/>
                <w:szCs w:val="20"/>
                <w:color w:val="auto"/>
              </w:rPr>
            </w:pPr>
            <w:r>
              <w:rPr>
                <w:rFonts w:ascii="Arial" w:cs="Arial" w:eastAsia="Arial" w:hAnsi="Arial"/>
                <w:sz w:val="18"/>
                <w:szCs w:val="18"/>
                <w:color w:val="0000FF"/>
                <w:w w:val="97"/>
              </w:rPr>
              <w:t>ITEM 9C.</w:t>
            </w:r>
          </w:p>
        </w:tc>
        <w:tc>
          <w:tcPr>
            <w:tcW w:w="380" w:type="dxa"/>
            <w:vAlign w:val="bottom"/>
            <w:gridSpan w:val="2"/>
          </w:tcPr>
          <w:p>
            <w:pPr>
              <w:spacing w:after="0"/>
              <w:rPr>
                <w:sz w:val="21"/>
                <w:szCs w:val="21"/>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74</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III</w:t>
            </w:r>
          </w:p>
        </w:tc>
        <w:tc>
          <w:tcPr>
            <w:tcW w:w="380" w:type="dxa"/>
            <w:vAlign w:val="bottom"/>
            <w:gridSpan w:val="2"/>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75</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87"/>
              </w:rPr>
              <w:t>ITEM 10.</w:t>
            </w:r>
          </w:p>
        </w:tc>
        <w:tc>
          <w:tcPr>
            <w:tcW w:w="480" w:type="dxa"/>
            <w:vAlign w:val="bottom"/>
            <w:gridSpan w:val="3"/>
          </w:tcPr>
          <w:p>
            <w:pPr>
              <w:spacing w:after="0"/>
              <w:rPr>
                <w:sz w:val="21"/>
                <w:szCs w:val="21"/>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75</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87"/>
              </w:rPr>
              <w:t>ITEM 11.</w:t>
            </w:r>
          </w:p>
        </w:tc>
        <w:tc>
          <w:tcPr>
            <w:tcW w:w="480" w:type="dxa"/>
            <w:vAlign w:val="bottom"/>
            <w:gridSpan w:val="3"/>
          </w:tcPr>
          <w:p>
            <w:pPr>
              <w:spacing w:after="0"/>
              <w:rPr>
                <w:sz w:val="21"/>
                <w:szCs w:val="21"/>
                <w:color w:val="auto"/>
              </w:rPr>
            </w:pPr>
          </w:p>
        </w:tc>
        <w:tc>
          <w:tcPr>
            <w:tcW w:w="57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EXECUTIVE COMPENSATION</w:t>
            </w:r>
          </w:p>
        </w:tc>
        <w:tc>
          <w:tcPr>
            <w:tcW w:w="3560" w:type="dxa"/>
            <w:vAlign w:val="bottom"/>
            <w:gridSpan w:val="7"/>
          </w:tcPr>
          <w:p>
            <w:pPr>
              <w:spacing w:after="0"/>
              <w:rPr>
                <w:sz w:val="21"/>
                <w:szCs w:val="21"/>
                <w:color w:val="auto"/>
              </w:rPr>
            </w:pPr>
          </w:p>
        </w:tc>
        <w:tc>
          <w:tcPr>
            <w:tcW w:w="52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w w:val="96"/>
              </w:rPr>
              <w:t>SECURITY OWNERSHIP OF CERTAIN BENEFICIAL OWNERS AND MANAGEMENT AND RELATED STOCKHOLDER</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Arial" w:cs="Arial" w:eastAsia="Arial" w:hAnsi="Arial"/>
                <w:sz w:val="18"/>
                <w:szCs w:val="18"/>
                <w:color w:val="0000FF"/>
                <w:w w:val="87"/>
              </w:rPr>
              <w:t>ITEM 12.</w:t>
            </w:r>
          </w:p>
        </w:tc>
        <w:tc>
          <w:tcPr>
            <w:tcW w:w="480" w:type="dxa"/>
            <w:vAlign w:val="bottom"/>
            <w:gridSpan w:val="3"/>
          </w:tcPr>
          <w:p>
            <w:pPr>
              <w:spacing w:after="0"/>
              <w:rPr>
                <w:sz w:val="17"/>
                <w:szCs w:val="17"/>
                <w:color w:val="auto"/>
              </w:rPr>
            </w:pPr>
          </w:p>
        </w:tc>
        <w:tc>
          <w:tcPr>
            <w:tcW w:w="932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18"/>
                <w:szCs w:val="18"/>
                <w:color w:val="0000FF"/>
              </w:rPr>
              <w:t>MATTERS</w:t>
            </w:r>
          </w:p>
        </w:tc>
        <w:tc>
          <w:tcPr>
            <w:tcW w:w="20" w:type="dxa"/>
            <w:vAlign w:val="bottom"/>
          </w:tcPr>
          <w:p>
            <w:pPr>
              <w:spacing w:after="0"/>
              <w:rPr>
                <w:sz w:val="17"/>
                <w:szCs w:val="17"/>
                <w:color w:val="auto"/>
              </w:rPr>
            </w:pPr>
          </w:p>
        </w:tc>
        <w:tc>
          <w:tcPr>
            <w:tcW w:w="700" w:type="dxa"/>
            <w:vAlign w:val="bottom"/>
            <w:gridSpan w:val="4"/>
          </w:tcPr>
          <w:p>
            <w:pPr>
              <w:jc w:val="right"/>
              <w:spacing w:after="0" w:line="196" w:lineRule="exact"/>
              <w:rPr>
                <w:sz w:val="20"/>
                <w:szCs w:val="20"/>
                <w:color w:val="auto"/>
              </w:rPr>
            </w:pPr>
            <w:r>
              <w:rPr>
                <w:rFonts w:ascii="Arial" w:cs="Arial" w:eastAsia="Arial" w:hAnsi="Arial"/>
                <w:sz w:val="18"/>
                <w:szCs w:val="18"/>
                <w:color w:val="0000FF"/>
              </w:rPr>
              <w:t>95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ITEM 13.</w:t>
            </w:r>
          </w:p>
        </w:tc>
        <w:tc>
          <w:tcPr>
            <w:tcW w:w="480" w:type="dxa"/>
            <w:vAlign w:val="bottom"/>
            <w:gridSpan w:val="3"/>
          </w:tcPr>
          <w:p>
            <w:pPr>
              <w:spacing w:after="0"/>
              <w:rPr>
                <w:sz w:val="21"/>
                <w:szCs w:val="21"/>
                <w:color w:val="auto"/>
              </w:rPr>
            </w:pPr>
          </w:p>
        </w:tc>
        <w:tc>
          <w:tcPr>
            <w:tcW w:w="76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5"/>
              </w:rPr>
              <w:t>CERTAIN RELATIONSHIPS AND RELATED TRANSACTIONS, AND DIRECTOR INDEPENDENCE</w:t>
            </w:r>
          </w:p>
        </w:tc>
        <w:tc>
          <w:tcPr>
            <w:tcW w:w="1660" w:type="dxa"/>
            <w:vAlign w:val="bottom"/>
            <w:gridSpan w:val="4"/>
          </w:tcPr>
          <w:p>
            <w:pPr>
              <w:spacing w:after="0"/>
              <w:rPr>
                <w:sz w:val="21"/>
                <w:szCs w:val="21"/>
                <w:color w:val="auto"/>
              </w:rPr>
            </w:pPr>
          </w:p>
        </w:tc>
        <w:tc>
          <w:tcPr>
            <w:tcW w:w="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ITEM 14.</w:t>
            </w:r>
          </w:p>
        </w:tc>
        <w:tc>
          <w:tcPr>
            <w:tcW w:w="480" w:type="dxa"/>
            <w:vAlign w:val="bottom"/>
            <w:gridSpan w:val="3"/>
          </w:tcPr>
          <w:p>
            <w:pPr>
              <w:spacing w:after="0"/>
              <w:rPr>
                <w:sz w:val="21"/>
                <w:szCs w:val="21"/>
                <w:color w:val="auto"/>
              </w:rPr>
            </w:pPr>
          </w:p>
        </w:tc>
        <w:tc>
          <w:tcPr>
            <w:tcW w:w="3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4"/>
              </w:rPr>
              <w:t>PRINCIPAL ACCOUNTANT FEES AND SERVICES</w:t>
            </w:r>
          </w:p>
        </w:tc>
        <w:tc>
          <w:tcPr>
            <w:tcW w:w="5400" w:type="dxa"/>
            <w:vAlign w:val="bottom"/>
            <w:gridSpan w:val="11"/>
          </w:tcPr>
          <w:p>
            <w:pPr>
              <w:spacing w:after="0"/>
              <w:rPr>
                <w:sz w:val="21"/>
                <w:szCs w:val="21"/>
                <w:color w:val="auto"/>
              </w:rPr>
            </w:pPr>
          </w:p>
        </w:tc>
        <w:tc>
          <w:tcPr>
            <w:tcW w:w="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99</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8"/>
                <w:szCs w:val="18"/>
                <w:b w:val="1"/>
                <w:bCs w:val="1"/>
                <w:color w:val="0000FF"/>
                <w:w w:val="90"/>
              </w:rPr>
              <w:t>PART IV</w:t>
            </w:r>
          </w:p>
        </w:tc>
        <w:tc>
          <w:tcPr>
            <w:tcW w:w="48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87"/>
              </w:rPr>
              <w:t>ITEM 15.</w:t>
            </w:r>
          </w:p>
        </w:tc>
        <w:tc>
          <w:tcPr>
            <w:tcW w:w="480" w:type="dxa"/>
            <w:vAlign w:val="bottom"/>
            <w:gridSpan w:val="3"/>
          </w:tcPr>
          <w:p>
            <w:pPr>
              <w:spacing w:after="0"/>
              <w:rPr>
                <w:sz w:val="21"/>
                <w:szCs w:val="21"/>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0000FF"/>
                <w:w w:val="97"/>
              </w:rPr>
              <w:t>EXHIBITS AND FINANCIAL STATEMENT SCHEDULES</w:t>
            </w:r>
          </w:p>
        </w:tc>
        <w:tc>
          <w:tcPr>
            <w:tcW w:w="4920" w:type="dxa"/>
            <w:vAlign w:val="bottom"/>
            <w:gridSpan w:val="9"/>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540" w:type="dxa"/>
            <w:vAlign w:val="bottom"/>
            <w:tcBorders>
              <w:left w:val="single" w:sz="8" w:color="0000FF"/>
            </w:tcBorders>
            <w:gridSpan w:val="7"/>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4"/>
              </w:rPr>
              <w:t>ITEM 16</w:t>
            </w:r>
          </w:p>
        </w:tc>
        <w:tc>
          <w:tcPr>
            <w:tcW w:w="480" w:type="dxa"/>
            <w:vAlign w:val="bottom"/>
            <w:gridSpan w:val="3"/>
          </w:tcPr>
          <w:p>
            <w:pPr>
              <w:spacing w:after="0"/>
              <w:rPr>
                <w:sz w:val="21"/>
                <w:szCs w:val="21"/>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0000FF"/>
                <w:w w:val="95"/>
              </w:rPr>
              <w:t>FORM 10-K SUMMARY</w:t>
            </w:r>
          </w:p>
        </w:tc>
        <w:tc>
          <w:tcPr>
            <w:tcW w:w="2540" w:type="dxa"/>
            <w:vAlign w:val="bottom"/>
            <w:gridSpan w:val="7"/>
          </w:tcPr>
          <w:p>
            <w:pPr>
              <w:spacing w:after="0"/>
              <w:rPr>
                <w:sz w:val="21"/>
                <w:szCs w:val="21"/>
                <w:color w:val="auto"/>
              </w:rPr>
            </w:pPr>
          </w:p>
        </w:tc>
        <w:tc>
          <w:tcPr>
            <w:tcW w:w="4920" w:type="dxa"/>
            <w:vAlign w:val="bottom"/>
            <w:gridSpan w:val="9"/>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w w:val="97"/>
              </w:rPr>
              <w:t>SIGNATURES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104</w:t>
            </w:r>
          </w:p>
        </w:tc>
        <w:tc>
          <w:tcPr>
            <w:tcW w:w="20" w:type="dxa"/>
            <w:vAlign w:val="bottom"/>
          </w:tcPr>
          <w:p>
            <w:pPr>
              <w:spacing w:after="0"/>
              <w:rPr>
                <w:sz w:val="24"/>
                <w:szCs w:val="24"/>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and supply chain disruptions; (viii.) fluctuations in margins;</w:t>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(xvi) disruptions to our business caused by geopolitical events, military actions, work stoppages, natural disasters, or international health emergencies, such as the COVID-19 pandemic;</w:t>
      </w:r>
    </w:p>
    <w:p>
      <w:pPr>
        <w:jc w:val="both"/>
        <w:ind w:firstLine="8"/>
        <w:spacing w:after="0" w:line="256" w:lineRule="auto"/>
        <w:tabs>
          <w:tab w:leader="none" w:pos="444"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uncertainties related to market conditions and entry into financing transactions; (xviii) the Company’s potential need to seek additional strategic alternatives, including seeking additional debt or equity capital or other strategic transactions and/or measures; (xix) our financing plans and ability to maintain adequate liquidity; (xx) the Company’s ability to increase cash flow to support the Company’s operating activities and fund its obligations and working capital needs; (xxi) our ability to obtain additional financing on terms favorable to us, or at all; and (xxii) any future goodwill impairment charges.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publicly-traded company and invested in display technologies and new markets. We have continued these investments and have supported our long-term customer relationships to grow from a small company operating out of a garage to a world leader in the display industry. We currently employ 2,734 people globally. We are headquartered at 201 Daktronics Dr., Brookings, SD 57006 telephone 605-692-4200. Our Internet address is https://</w:t>
      </w:r>
      <w:r>
        <w:rPr>
          <w:rFonts w:ascii="Arial" w:cs="Arial" w:eastAsia="Arial" w:hAnsi="Arial"/>
          <w:sz w:val="16"/>
          <w:szCs w:val="16"/>
          <w:i w:val="1"/>
          <w:iCs w:val="1"/>
          <w:color w:val="auto"/>
        </w:rPr>
        <w:t>www.daktronics.com.</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annual, quarterly and current reports and any amendments to those reports are freely available in the "Investor Relations" section of our website. We post each of these documents on our website as soon as reasonably practicable after it is electronically filed with the Securities and Exchange Commission (the "SEC"). These reports and other reports, proxy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statements, and electronic filings are also found on the SEC’s website at www.sec.gov. Information contained on our website is not deemed to be incorporated by reference into this Report or filed with the SEC.</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 meet all our customers' large format display needs in a complete, integrated system. This has proven to be a key factor in Daktronics becoming a leader in large electronic displays. LED technologies continue to evolve and advance, creating new high-resolution and micro-LED display options of all shapes and sizes. Today, the industry continues development in both the construct of the micro-LED and production methods of micro-LED display panels using mass-transfer technology.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Integrated visual display systems are increasingly used across a variety of vertical markets including: media/advertising, stadiums/venues, hospitality/leisure, transportation, military and government, broadcast, control room, corporate and education, and retail. Generally, these vertical markets use systems to collaboratively communicate, inform, entertain, and advertise to various sized audiences. Advances in technologies and the decrease in costs of systems have opened up and increased the market's size.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Our sales force is comprised of direct sales staff and resellers located throughout the world supporting all customer types in both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 We primarily use a direct sales force for large integrated display system sales in professional sports, colleges and universities, and commercial spectacular projects. We also use our direct sales force to sell third-party advertising and transportation applications. We utilize resellers outside North America for large integrated system sales where we do not have a direct sales presence. The majority of our products sold by resellers in North America are standard catalog products. We support our resellers through direct mail/email advertising, social media campaigns, trade journal advertising, product and installation training, trade show exhibitions and accessibility to our regional sales or service teams and demonstration equipment.</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Engineering and Product Design and Development. </w:t>
      </w:r>
      <w:r>
        <w:rPr>
          <w:rFonts w:ascii="Arial" w:cs="Arial" w:eastAsia="Arial" w:hAnsi="Arial"/>
          <w:sz w:val="17"/>
          <w:szCs w:val="17"/>
          <w:color w:val="auto"/>
        </w:rPr>
        <w:t>The large format electronic display industry is characterized by ongoing product innovations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developments in technology and complementary services. To remain competitive, we have a tradition of applying engineering resources throughout our business to anticipate and respond rapidly to the system needs in the marketplace. We employ and contract with engineers and technicians in the areas of mechanical and electrical design; applications engineering; software design; quality design; and customer and product support. Product managers assigned to each product family assist our sales staff in training and implementing product improvements which ensures each product is designed for maximum reliability and serviceability. We employ and contract with process engineers to assist in quality and reliability processing in our product design testing and manufacturing areas. We also make selected investments in and contract with affiliated companies to support and advance technologies and capabilities for our product lines and solutions.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The majority of our products are manufactured in the United States, specifically in South Dakota and Minnesota. We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facilities in China and Ireland. We perform component manufacturing, system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manufacturing (metal fabrication, electronic assembly, sub-assembly and final assembly) and testing in-house for most of our products to control quality, improve response time and maximize cost-effectiveness. Given the cyclical nature of some parts of our business and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through the use of product platforms to increase efficiencies. Other strategies include supplier management programs and lean manufacturing techniques. For more details on our facilities, see "Part II, Item 2. Properties".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Technical Contracting. </w:t>
      </w:r>
      <w:r>
        <w:rPr>
          <w:rFonts w:ascii="Arial" w:cs="Arial" w:eastAsia="Arial" w:hAnsi="Arial"/>
          <w:sz w:val="17"/>
          <w:szCs w:val="17"/>
          <w:color w:val="auto"/>
        </w:rPr>
        <w:t>We serve as a technical contractor for larger display system installations requiring custom designs and innovative product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many jurisdictions.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To assist our clients' ability to engage, inform and entertain their audiences, we provide professional services including event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content creation, product maintenance, marketing assistance, training on hardware and software, control room design, and continuing technical support training for operators.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We offer limited warranties on our products, ranging from one to 10 years, against failure due to defective parts or</w:t>
      </w:r>
      <w:r>
        <w:rPr>
          <w:rFonts w:ascii="Arial" w:cs="Arial" w:eastAsia="Arial" w:hAnsi="Arial"/>
          <w:sz w:val="18"/>
          <w:szCs w:val="18"/>
          <w:i w:val="1"/>
          <w:iCs w:val="1"/>
          <w:color w:val="auto"/>
        </w:rPr>
        <w:t xml:space="preserve"> </w:t>
      </w:r>
      <w:r>
        <w:rPr>
          <w:rFonts w:ascii="Arial" w:cs="Arial" w:eastAsia="Arial" w:hAnsi="Arial"/>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the changes in volume of service requests during our seasonal peaks.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two principal components of our systems are the display and the control system,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 system is comprised of various combinations of computer hardware, video processing hardware and software products designed to compile information provided by the operator and other integrated sources to display information, graphics, video or animation on the displays. We customize our products according to the design specifications of the customer and the conditions of the environment in which our products function.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product families: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Video displays/video walls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Scoreboards and timing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Message displays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(intelligent transportation systems) dynamic message 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Mass Transit displays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Sound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 billboards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 street furniture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 and price displays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Indoor dynamic messaging systems and indoor liquid crystal display ("LCD") 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and controllers including Venus® Control Suite, Show Control Studio and Show Control Live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Video Displays/Video Walls. </w:t>
      </w:r>
      <w:r>
        <w:rPr>
          <w:rFonts w:ascii="Arial" w:cs="Arial" w:eastAsia="Arial" w:hAnsi="Arial"/>
          <w:sz w:val="18"/>
          <w:szCs w:val="18"/>
          <w:color w:val="auto"/>
        </w:rPr>
        <w:t>These displays are comprised of a large number of full-color pixels capable of showing various levels of video feeds, pre-rendered graphics and animated content with Real Time Data capabilities. These displays include red, green and blue LEDs arranged in various combinations to form pixels. The electronic circuitry, which controls the pixels, allows for variances in the relative brightness of each LED to provide a full color spectrum, thereby displaying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technology.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a broad range of indoor and outdoor LED video displays with these varying features. Examples of offerings include centerhung displays, landmark displays, video walls, ribbon board displays, hanging banners, roadside displays, digital billboards, corporate office entrance displays, conference room displays, control room displays, and video displays designed for arenas, stadiums, retail stores, restaurants, malls, transportation hubs and other similar indoor facilities.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Video displays provide content to serve as a revenue generation source through advertising or as an information and communication medium (such as scoring, statistics, wayfinding, advertising, and control center information), or to provide interior design elements to create luxurious space to feature digital art.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 on our displays. The Show Control Software Suite can operate an entire network of displays within a venue from a single, intuitive control interface. Its features allow users to instantly deliver media clips, camera feeds, and streaming information to any display in a venue.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Scoreboards and Timing Systems. </w:t>
      </w:r>
      <w:r>
        <w:rPr>
          <w:rFonts w:ascii="Arial" w:cs="Arial" w:eastAsia="Arial" w:hAnsi="Arial"/>
          <w:sz w:val="17"/>
          <w:szCs w:val="17"/>
          <w:color w:val="auto"/>
        </w:rPr>
        <w:t>Our line of scoreboards and timing products include indoor and outdoor scoreboards for many different sports, digit</w:t>
      </w:r>
      <w:r>
        <w:rPr>
          <w:rFonts w:ascii="Arial" w:cs="Arial" w:eastAsia="Arial" w:hAnsi="Arial"/>
          <w:sz w:val="17"/>
          <w:szCs w:val="17"/>
          <w:i w:val="1"/>
          <w:iCs w:val="1"/>
          <w:color w:val="auto"/>
        </w:rPr>
        <w:t xml:space="preserve"> </w:t>
      </w:r>
      <w:r>
        <w:rPr>
          <w:rFonts w:ascii="Arial" w:cs="Arial" w:eastAsia="Arial" w:hAnsi="Arial"/>
          <w:sz w:val="17"/>
          <w:szCs w:val="17"/>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offer a variety of controllers complementing our scoreboards and displays. These controllers vary in complexity from the All Sport® 100, a handheld controller for portable scoreboards, to the All Sport® Pro, designed for more sophisticated scoring systems and allowing for more user-defined options.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Message Displays. </w:t>
      </w:r>
      <w:r>
        <w:rPr>
          <w:rFonts w:ascii="Arial" w:cs="Arial" w:eastAsia="Arial" w:hAnsi="Arial"/>
          <w:sz w:val="18"/>
          <w:szCs w:val="18"/>
          <w:color w:val="auto"/>
        </w:rPr>
        <w:t>The Galaxy® product line is a family of full-matrix displays, available in both indoor and outdoor models and controlled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Venus® Control Suite. Galaxy® displays are full color or monochrome with varying pixel spacing depending on color, size and viewing distance. Galaxy® displays can display text, graphics and animation, as well as prerecorded video clips. They are used primarily to convey information and on-premises advertising to consumers.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Venus® Control Suite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ITS Dynamic Message Signs ("DMS"). </w:t>
      </w:r>
      <w:r>
        <w:rPr>
          <w:rFonts w:ascii="Arial" w:cs="Arial" w:eastAsia="Arial" w:hAnsi="Arial"/>
          <w:sz w:val="18"/>
          <w:szCs w:val="18"/>
          <w:color w:val="auto"/>
        </w:rPr>
        <w:t>DMS products include a wide range of LED displays for road management applications. The Vanguard® family of</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message displays is typically used to direct traffic and inform motorists. These displays are used over freeways, on arterial roads, near bridges, at toll booths and in other locations. We have also developed a Vanguard® control system for these displays to help transportation agencies manage large networks of displays.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Mass Transit Displays. </w:t>
      </w:r>
      <w:r>
        <w:rPr>
          <w:rFonts w:ascii="Arial" w:cs="Arial" w:eastAsia="Arial" w:hAnsi="Arial"/>
          <w:sz w:val="18"/>
          <w:szCs w:val="18"/>
          <w:color w:val="auto"/>
        </w:rPr>
        <w:t>Our Mass Transit products include a wide range of LCD and LED display solutions for public transportation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Installations often involve a network of displays located on railway platforms, at bus stations, or on concourses within a transportation hub to guide travelers to their intended destination.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Sound Systems. </w:t>
      </w:r>
      <w:r>
        <w:rPr>
          <w:rFonts w:ascii="Arial" w:cs="Arial" w:eastAsia="Arial" w:hAnsi="Arial"/>
          <w:sz w:val="16"/>
          <w:szCs w:val="16"/>
          <w:color w:val="auto"/>
        </w:rPr>
        <w:t>Our sound systems include both standard and custom options. Standard systems are designed to meet the needs of a variety of indoor and</w:t>
      </w:r>
      <w:r>
        <w:rPr>
          <w:rFonts w:ascii="Arial" w:cs="Arial" w:eastAsia="Arial" w:hAnsi="Arial"/>
          <w:sz w:val="16"/>
          <w:szCs w:val="16"/>
          <w:i w:val="1"/>
          <w:iCs w:val="1"/>
          <w:color w:val="auto"/>
        </w:rPr>
        <w:t xml:space="preserve"> </w:t>
      </w:r>
      <w:r>
        <w:rPr>
          <w:rFonts w:ascii="Arial" w:cs="Arial" w:eastAsia="Arial" w:hAnsi="Arial"/>
          <w:sz w:val="16"/>
          <w:szCs w:val="16"/>
          <w:color w:val="auto"/>
        </w:rPr>
        <w:t>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Digital Billboards. </w:t>
      </w:r>
      <w:r>
        <w:rPr>
          <w:rFonts w:ascii="Arial" w:cs="Arial" w:eastAsia="Arial" w:hAnsi="Arial"/>
          <w:sz w:val="18"/>
          <w:szCs w:val="18"/>
          <w:color w:val="auto"/>
        </w:rPr>
        <w:t>Our line of digital billboards offers a unique display solution for the Out-of-Home (“OOH”) advertising industry. The products 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display images which change at regular intervals. These systems include many features unique to the outdoor advertising market, such as our patented mounting system, self-adjusting brightness, optimized energy consumption, and enhanced network security.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Digital street furniture. </w:t>
      </w:r>
      <w:r>
        <w:rPr>
          <w:rFonts w:ascii="Arial" w:cs="Arial" w:eastAsia="Arial" w:hAnsi="Arial"/>
          <w:sz w:val="16"/>
          <w:szCs w:val="16"/>
          <w:color w:val="auto"/>
        </w:rPr>
        <w:t>Our LED street furniture features some of the brightest imagery in the industry and is built to withstand full-sun conditions. Our</w:t>
      </w:r>
      <w:r>
        <w:rPr>
          <w:rFonts w:ascii="Arial" w:cs="Arial" w:eastAsia="Arial" w:hAnsi="Arial"/>
          <w:sz w:val="16"/>
          <w:szCs w:val="16"/>
          <w:i w:val="1"/>
          <w:iCs w:val="1"/>
          <w:color w:val="auto"/>
        </w:rPr>
        <w:t xml:space="preserve"> </w:t>
      </w:r>
      <w:r>
        <w:rPr>
          <w:rFonts w:ascii="Arial" w:cs="Arial" w:eastAsia="Arial" w:hAnsi="Arial"/>
          <w:sz w:val="16"/>
          <w:szCs w:val="16"/>
          <w:color w:val="auto"/>
        </w:rPr>
        <w:t>line of digital street furniture engages people with advertising content at eye level as they walk through campuses, cityscapes, and malls. This design enhances the message and complements surrounding architecture. These street furniture displays are our most flexible solution for digital OOH campaigns.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This product line includes our DataTime® and Fuelight™ displays. The DataTime® product line consists of outdoor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Indoor Dynamic Messaging Systems and LCD screens. </w:t>
      </w:r>
      <w:r>
        <w:rPr>
          <w:rFonts w:ascii="Arial" w:cs="Arial" w:eastAsia="Arial" w:hAnsi="Arial"/>
          <w:sz w:val="18"/>
          <w:szCs w:val="18"/>
          <w:color w:val="auto"/>
        </w:rPr>
        <w:t>Our ADFLOW DMS™ systems include indoor networked solutions for retailers, convenience stores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businesses. These solutions, using either LED or LCD technologies, allow customers to broadcast advertising campaigns and other information through the software, media players and visual hardware.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Software and Controllers including Venus</w:t>
      </w:r>
      <w:r>
        <w:rPr>
          <w:rFonts w:ascii="Arial" w:cs="Arial" w:eastAsia="Arial" w:hAnsi="Arial"/>
          <w:sz w:val="17"/>
          <w:szCs w:val="17"/>
          <w:color w:val="auto"/>
        </w:rPr>
        <w:t>®</w:t>
      </w:r>
      <w:r>
        <w:rPr>
          <w:rFonts w:ascii="Arial" w:cs="Arial" w:eastAsia="Arial" w:hAnsi="Arial"/>
          <w:sz w:val="17"/>
          <w:szCs w:val="17"/>
          <w:i w:val="1"/>
          <w:iCs w:val="1"/>
          <w:color w:val="auto"/>
        </w:rPr>
        <w:t xml:space="preserve"> Control Suite. </w:t>
      </w:r>
      <w:r>
        <w:rPr>
          <w:rFonts w:ascii="Arial" w:cs="Arial" w:eastAsia="Arial" w:hAnsi="Arial"/>
          <w:sz w:val="17"/>
          <w:szCs w:val="17"/>
          <w:color w:val="auto"/>
        </w:rPr>
        <w:t>The Venus® Control Suite is our platform for scheduled control capability. It can be used in any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where the intended message is created in advance and scheduled to play at a predetermined time. It is available in an on-premise or hosted cloud-based configuration and is capable of supporting a single display or scaling to support many displays. For applications that require both scheduled content and live video or real time content, a control solution can combine the capabilities of Venus® Control Suite with the capabilities of the Show Control Software Suite to create a powerful solution that enables customers to easily manage content on their displays. Content includes media, scoring, timing, statistics, advertising, way-finding information, playback loops and entertainment type visualizations.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Show Control Suite is an easy-to-use and powerful integrated solution to achieve a dynamic, seamless and fully immersive game-day production.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Show Control Studio offers products designed for display control, while Show Control Live is designed for video production.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Materials used in the production of our video display and control systems are sourced from around the world. Examples of the materials we use in production include LEDs, integrated circuits, printed circuit boards, power supplies, plastics, aluminum, and steel. We source some of our materials from a single-source or a limited number of suppliers due to the proprietary nature of the materials. The loss of a key supplier, part unavailability, tariff changes, price changes, war or other geopolitical impacts to trade or transport, or defects in the supplied material or component could have an adverse impact on our business and operations. Our sourcing group is responsible to maintain and implement strategies to mitigate these evolving risks. Periodically, we enter into pricing agreements or purchasing contracts under which we agree to purchase a minimum amount of product in exchange for guaranteed price terms over the length of the contract, which generally does not exceed one year. We sometimes prepay for future supply.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late fiscal 2021, we have been affected by supply chain disruptions and inflationary pressures stemming from the coronavirus pandemic ("COVID-19"), shipping container shortages, weather events, and the changes in global demand. Specifically, we are impacted by the global inflation and shortage of semiconductors and related electronic components, other materials needed for production, and freight. While supply chain disruptions from these factors have subsided over the last half of fiscal 2023 and we expect infrequent disruptions going forward from these factors, it is reasonably possible that future disruptions could occur that would have a material impact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or hold licenses to use numerous patents, copyrights, and trademarks on a global basis. Our policy is to protect our competitive position by filing United States and international patent applications to protect technology and improvements that we consider important to the development of our business. This will allow us to pursue infringement claims against competitors for protection due to patent violations. Although we own a number of patents and possess rights under others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which we attach importance, we do not believe that our business as a whole is materially dependent upon any such patents or rights. We also own a number of trademarks that we believe are important in connection with the identification of our products and associated goodwill with customers, but no part of our business materially depends on such trademarks.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 quarter sales and profit levels are lighter than other quarters due to the seasonality of our sports business, construction cycles, and the reduced number of production days due to holidays in the quarter.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seasonality and volatility in business demand and variety of product types, 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working capital items, see “Part II, Item 7. Management’s Discussion and Analysis of Financial Condition and Results of Operations-Liquidity and Capital Resources”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large and diverse worldwide customer base, ranging from local main street business owners, out-of-home companies, and schools to the owners and operators of premier professional sports arenas. Our customers are important to us, and we strive to serve them over the long-term to earn their future business. The loss of one or more customers could have an adverse effect on us. See "Note 3. Segment Reporting" of the Notes to our Consolidated Financial Statements included in this Form 10-K for our primary markets and customers of each business unit.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We believe order information is useful to investors because it provides an indication of our market share and future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product order backlog as of April 29, 2023 was $400.7 million as compared to $471.6 million as of April 30, 2022. This decrease in backlog is driven by fulfilling orders from our April 30, 2022 backlog. During fiscal 2022 we had record order volume and muted conversion to sales due to supply chain challenges. Our customers had also placed orders for future deliveries to secure our manufacturing capacity during fiscal 2022.</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fulfill the backlog as of April 29, 2023 within the next 24 months. The timing of backlog may be impacted by project delays resulting from parts availability and other constraints stemming from the supply chain disruptions.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these regulations; however, these factors may prevent or inhibit us from selling products to some prospective customers in certain geographies.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production processes require the storage, use and disposal of a variety of hazardous chemicals under applicable laws.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import/export regulations; and payment of certain import or export tariffs, duties, or taxes.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operations subject us to various laws and regulations, including laws and regulations relating to tax compliance, anti-corruption, data privacy, cybersecurity, governance, and disclosure reporting. These requirements vary and can involve matters and processes such as using resources for related expertise and information systems, records management, policy creation and maintenance, data protection programs, compliance filings, control design and testing, and continued training of employees.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regulations restricting the movement and interaction of people and business operations. Countries and states and/or localities in the United States can issue lock down orders impacting the availability of employees, third parties, suppliers, customers, and other services we need to operate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government and other regulatory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encounter a wide variety of competitors that vary by product, geographic area, and business unit. Our competitors include both domestic and foreign companies which range in size and product offerings. Our competitors may develop lower-cost or lower-featured products, may be willing to charge lower prices to increase their market share, or include different service and controller offerings. Some competitors have more capital, governmental funding, supply chain access,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ability to compete depends upon customer centric product and service quality and features, technical expertise, service breadth, and cost-effective solutions.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experience in engineering, process design, and product and service design and development capabilities and investments made in affiliates are very important factors in continuing to develop, produce, and offer the most up-to-date digital displays and control system solutions desired by the market.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invest in our development and our affiliates to increase differentiated product platforms, advance our software architecture and offerings, support customer requirements, advance new competitive narrow pixel and micro-electronic technologies, and advance sustainable technologies and related products.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half of fiscal 2023, our design teams focused on adjusting designs to utilize available components as a strategy to gain stability in our production levels.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2024, we will continue to invest in product design and development to improve our video technology over a wide range of pixel pitches and sustainable technologies for both indoor and outdoor applications and to advance micro-LED devices and placement processes. These new or improved technologies are focused on varied pixel density for image quality and use, expanded product line offerings for our various markets and geographies, improved quality and reliability, and improved cost points.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 Management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core values of </w:t>
      </w:r>
      <w:r>
        <w:rPr>
          <w:rFonts w:ascii="Arial" w:cs="Arial" w:eastAsia="Arial" w:hAnsi="Arial"/>
          <w:sz w:val="16"/>
          <w:szCs w:val="16"/>
          <w:i w:val="1"/>
          <w:iCs w:val="1"/>
          <w:color w:val="auto"/>
        </w:rPr>
        <w:t>Honest, Helpful and Humble</w:t>
      </w:r>
      <w:r>
        <w:rPr>
          <w:rFonts w:ascii="Arial" w:cs="Arial" w:eastAsia="Arial" w:hAnsi="Arial"/>
          <w:sz w:val="16"/>
          <w:szCs w:val="16"/>
          <w:color w:val="auto"/>
        </w:rPr>
        <w:t xml:space="preserve"> support our commitment to diversity, equity and inclusion, which leads to our vision of every person at Daktronics being able to contribute their best every day. We seek to recruit, retain, and develop our existing and future workforce for decades-long engagements to build long-term mutual prosperity. We facilitate company-wide teams to inspire a more inclusive culture and achieve company goals through teamwork. We encourage each employee to proactively and continuously build self-awareness, understanding of aspects of diversity, and openness to others’ experiences and perspectives. We also foster and encourage self development and a continuous learning environment to build talent.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safety and well-being of our team are a top priority, and we believe each and every team member plays an essential role in creating a safe and healthy workplace. We provide training for safety measures on the job site and in our facilities. We provide our employees and their families with access to a variety of health programs, including benefits that support their physical and mental health.</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April 29, 2023, we employed approximately 2,441 full-time employees and 293 part-time and temporary employees. Of these employees, approximately 1,121 were in manufacturing, 451 were in sales and marketing, 561 were in customer service, 378 were in engineering and 223 were in general and administrative. None of our employees are represented by a collective bargaining agreement. We believe employee relations are good.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sensitive to global economic conditions, including recessions, inflation, and interest rate fluctuations. Weakened global economic or recessionary conditions may adversely affect our industry, business and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overall performance depends in part on worldwide economic conditions. The United States and other key international economies have experienced downturns and recessions from time to time during which economic activity was impacted by falling demand for a variety of goods and services; restricted credit; poor liquidity; reduced corporate profitability; volatility in credit, equity and foreign exchange markets; increased unemployment; bankruptcies; and overall uncertainty with respect to the economy. These conditions affect consumer and entertainment spending and could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These demand fluctuations and various factors may reduce our ability to effectively utilize our capacity and impact our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global supply chains, and inflationary pressures can increase our input costs faster than our ability to raise prices. These could eliminate our ability to sell our products or receive parts and components through our global supply chains.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rate of interest we pay on our asset-based lending facility with JPMorgan Chase Bank, N.A. is correlated to the Standard Overnight Fund Rate (SOFR), which is determined by governmental policy decisions. Increases in SOFR will increase the rate of any extended borrowing on this facility.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Geopolitical issues, conflicts, governmental actions and other global events could adversely affect our results of operations and financial condition.</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subject to global political issues and conflicts and governmental actions. Such factors can create trade restrictions, increase tariff costs, increase prices for raw materials and components used in our products, increase the cost of sales, decrease demand for our products, or cause other implications to our business operations. These impacts could reduce profitability and could have a material adverse effect on our results of operations and financial condition if they escalate into geographies in which we do business, manufacture our products, or obtain raw materials and components for production.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continuing conflict arising from the invasion of Ukraine by Russia, or tensions between Taiwan, China, the United States or other countries, could adversely impact macroeconomic conditions, give rise to regional instability and result in heightened economic tariffs, sanctions and import-export restrictions from the United States and the international community in a manner that adversely affects our Company, including to the extent that any such actions cause material business interruptions or restrict our ability in these regions to conduct business with certain suppliers or vendors. Additionally, such conflict or sanctions may significantly devalue various global currencies and have a negative impact on economies in geographies in which we do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face risks related to actual or threatened health epidemics and other outbreaks, which have had and could have a material adverse effect on our operations, liquidity, financial conditions, and financial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serious global pandemic can adversely impact, shock and weaken the global economy. These impacts can amplify other risk factors and could have a material impact on our operations, liquidity, financial conditions, and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operations, and financial results have been, and may continue to be, impacted by the COVID-19 pandemic. Impacts on our business include, but are not limited to:</w:t>
      </w:r>
    </w:p>
    <w:p>
      <w:pPr>
        <w:spacing w:after="0" w:line="170" w:lineRule="exact"/>
        <w:rPr>
          <w:sz w:val="20"/>
          <w:szCs w:val="20"/>
          <w:color w:val="auto"/>
        </w:rPr>
      </w:pPr>
    </w:p>
    <w:p>
      <w:pPr>
        <w:ind w:left="66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meet our customers' demand due to disruptions in our manufacturing caused by delays and disruptions in obtaining certain raw material and other manufacturing components and because of restrictions affecting our ability to conduct work at sites during shutdowns;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 increases in raw material, components, and personnel related costs and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 declines and increases in demand for our products.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Unexpected events, including natural disasters, weather events, war, terrorist acts, and pandemics, may increase our cost of doing business or disrupt our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manufacturing operations in three locations in the United States - Brookings, South Dakota, Sioux Falls, South Dakota, and Redwood Falls, Minnesota, and we have production facilities in Ireland and China. Unexpected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occurrence of one or more unexpected events in the United States or in other countries in which we operate may disrupt our operations and the operations of our customers and suppliers. Such events could create additional uncertainties, forcing customers to reduce, delay, or cancel already planned projects or cause our suppliers not to perform, resulting in parts and component shortages.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operate in highly competitive markets and face significant competition and pricing pressures. If we are unable to keep up with the rapidly changing product developments and new technologies or if we cannot compete effectively, we could lose market share and orders, which would negatively impact our results of operations.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electronic display industry is characterized by ongoing product improvement, innovations and development. We compete against products produced in foreign countries and the United States. Our competitors may develop lower-cost or lower-featured products, may be willing to charge lower prices to increase their market share, or market new and unique product,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 To remain competitive, we must anticipate and respond quickly to provide products and services that meet our customers’ needs, enhance our existing products, introduce new products and features, and continue to price our products competitively.</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unable to protect our intellectual property rights effectively, or we may infringe upon the intellectual property rights of others, either of which may have a material adverse effect on our operating results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intellectual property rights of others also have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timely and effectively obtain shipments of raw materials and components from our suppliers or to send shipments of our manufactured product to our customers, our business and operating results could be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control all of the various factors that might affect our suppliers' timely and effective delivery of raw materials and components to our manufacturing facilities or the availability of freight capacity for us to deliver products to our customers.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utilization of a complex supply chain for raw material and component imports and the global distribution of our products makes us vulnerable to many risks, including, among other things, shortages or delays because of work restrictions for various reasons like COVID-19 restrictions, supply chain implications due to war or other geopolitical impacts on supply chains, risks of damage, destruction or confiscation of products while in transit to and from our manufacturing facilities; organized labor strikes and work stoppages, such as labor disputes or related employee worker unavailability, that could disrupt operations at ports-of-entry; transportation and other delays in shipments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and, therefore, may not be able to timely receive shipments of raw materials and components or deliver products to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created constraints on supply chain operations and resulted in component part shortages due to global capacity constraints, such as the current global capacity constraint we have been facing in the supply of component parts, particularly of semiconductor components. In addition, transportation availability has disrupted the timeliness of raw material and component shipments and customer shipments. Such a constraint could cause and has caused lead times for our products to increase.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Cost inflation in, and shortages of, raw materials, components, and related transportation and tariff costs have had and may continue to have a significant impact on our price competitiveness and/or ability to produce our products, which have caused and could continue to cause harm to our sales, financial condition and results of operations.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inflation and shortages of any raw materials and components used to manufacture our products have and may continue to occur due to various factors, such as worldwide demand, natural disasters, logistic disruptions, war and other conflicts, and trade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Electronic and other components and materials used in our products are sometimes in short supply, which may impact our ability to meet customer demand.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costs and availability can fluctuate due to fluctuations in oil prices and other social, economic, and geopolitical factors.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experience shortages or increases in the prices we pay for raw materials and components and are unable to pass on those increases to our customers or are unable to manufacture our products at all or on a timely basis, it could negatively affect our business, financial condition or results of operations as such conditions have in the past. In addition to increased costs, these factors could delay delivery of products, which may result in the assessment of liquidated damages or other contractual damages that could negatively impact our profits.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late fiscal 2021, supply chain disruptions began to emerge because of COVID-19, shipping container shortages, winter weather, and changes in global demand. Specifically, we are impacted by the global inflation and shortage of semiconductors and related electronic components, other materials needed for production, and freight. While supply chain disruptions from these factors have subsided over the last half of fiscal 2023 and we expect infrequent disruptions going forward from these factors, it is reasonably possible that future disruptions could occur that would have a material impact on our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 disruptions between countries could make us subject to additional regulatory costs and challenges, affect global economic and market conditions, and contribute to volatility in foreign exchange markets, which we may be unable to effectively manage through our foreign exchange risk management program. We monitor for these types of situations and evaluate ways to minimize these impacts through vendor negotiations, alternative sources, and potential price adjustments.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We depend on a single-source or a limited number of suppliers for our raw materials and components from countries around the world. The loss, an interruption, or a material change in our business relationships with our suppliers or in global supply chain conditions has had and could continue to cause a disruption in our supply chains and a substantial increase in the costs of such raw materials and components. Such changes have and could continue to result in extended lead times or supply changes, which could disrupt or delay our scheduled product deliveries to our end user customers and may result in the loss of sales and end user customers and cause harm to our sales, financial condition, and results of operations.</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performance and financial condition of a supplier may cause us to alter our business terms, cease doing business with a particular supplier, or change our sourcing practices. Our suppliers are subject to the fluctuations in global economic cycles and conditions and other business risk factors which may impact their ability to operate their businesses. Our supply chain includes materials that are sourced or packaged directly or indirectly through Taiwan or China suppliers. Geopolitical tensions and shipping disruptions can impact our suppliers ability to deliver components and raw materials.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interruption from our suppliers of raw materials or components could affect our ability to manufacture our products until a new source of supply is located and, therefore, could have a material adverse effect on our business, financial condition or results of operations. Our suppliers may need to allocate available supply, and we may not be able to obtain parts needed for production. Qualifying new suppliers to compensate for such shortages may be time-consuming and costly and may increase the likelihood of errors in design or production.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reduce manufacturing lead times and plan for adequate component supply, from time to time we may issue purchase orders or prepay for components and products that are non-cancelable and non-returnable. In addition, we may purchase components and products that have extended lead teams to ensure adequate supply to support long-term customer demand and mitigate the impact of supply disruptions. If we are unable to use all of the components we have purchased, we may have excess inventory or obsolescence, or increased inventory or carrying costs, which could have an adverse impact on our results of operation or financial condition.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fail to continue to attract, develop and retain personnel throughout our business areas, which could negatively impact our operating results.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depend on qualified employees, including experienced and skilled technical personnel, to design, market, fulfill, and serve our customers. Qualified employees can be in high demand and limited in availability. Our future success and operating results will also depend upon our ability to attract, train, motivate and retain qualified personnel to maintain and grow capacity. Although we intend to continue to provide competitive compensation packages to attract and retain qualified personnel, market conditions for pay levels and availability may negatively impact our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third parties to complete some of our contracts.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Depending on a contract's scope of work, we may hire third-party subcontractors to perform on-site installation and service-related activities, hire manufacturers of structures or elements of structures related to on-site installations, hire contract manufacturers for certain product lines, or purchase specialty non-display related system elements from other companies. If we are unable to hire qualified subcontractors, find qualified manufacturers for on-site elements, find qualified contract manufacturers, or purchase specialty non-display system elements, our ability to successfully complete a project could be impaired. If we are not able to locate qualified third party subcontractors or manufacturers, the amount we are required to pay may exceed what we have estimated, and we may suffer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third parties are subject to fluctuations in global economic cycles and conditions and other business risk factors which may adversely impact their ability to operate their businesses. The performance and financial condition of the third parties may cause us to alter our business terms or to cease doing business with a particular third party or change our sourcing practices.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increase and decrease our production and services capacity and the overhead supporting order fulfillment based on anticipated market demand. Market demand, however, has not always developed as expected or remained at a consistent level. These underutilization and overbooking capacity risks can potentially decrease our profitability and result in the impairment of certain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demand for and mix of products that our customers buy;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scale down or to add and train our manufacturing and services staff in advance of demand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variability in our manufacturing or services productivity;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 lead times for and availability of raw materials and components used in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qualified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geography of the order and related shipping methods;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 lead times for our plant and equipment expenditures.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on a quarterly and annual basis have and are likely to continue to fluctuate and be substantially affected by the size and timing of large contract order awards.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Customer demand and the timing and size of large contracts create volatility in supply chain planning and capacity requirements to fulfill orders. Awards of large contracts and their timing and amounts are difficult to predict, may not be repeatable, and are outside of our control. Market demand has not always developed as expected or remained at a consistent level. Adjusting supply chain material planning and production and services capacity to meet this varied demand can increase costs. Large contracts or customer awards include projects for college and professional sports facilities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markets, the OOH niche, the transportation market, and the large spectacular niche. These projects can have short delivery time frames. Some factors that may cause our operating results to vary due to timing and size of the awards include:</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orders and related deliveries, including delays or cancellations of orders;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raw materials and components timely and at reasonable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adjust and utilize production and services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engage third parties to support production and fulfillment;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product introductions;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product mix;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financial wherewithal and the related economic conditions impacting their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in one or more quarters of a fiscal year may not be indicative of future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enter into fixed-price contracts, which could reduce our profits if actual costs exceed estimated costs.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 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 We evaluate changes in estimates on a contract-by-contract basis and disclose significant changes, if material, in the Notes to Consolidated Financial Statements. The cumulative catch-up method is used to account for revisions in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can occur over longer periods of time, and projects may remain in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events resulting in credit losses to us could have a material adverse impact on our financial results.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payment bonds and letters of credit. However, because some of our exposure to credit losses is outside of our control, unanticipated events resulting in credit losses could have a material adverse impact on our operating results.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results could differ from the estimates and assumptions we make to prepare our financial statements, which could have a material impact on our financial condition and results of operations.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estimates and assumptions affect the timing and amount of net sales, costs, and profits or losses in applying the principles to contracts with customers under over time method of recording revenue using the cost-to-cost input method; credit losses for accounts receivables and contract assets; the valuation of inventory; estimated amounts for warranty and product maintenance agreement costs; the calculation and valuation of our investments and deferred tax assets; the valuation of our investment in affiliates or unconsolidated subsidiaries; fair value estimates used in goodwill and long-term assets testing; estimating the impact of uncertainties in the application of complex tax laws; and calculating share-based compensation expense. Although we believe these estimates and assumptions are reasonable under the circumstances, they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subject to significant uncertainties, some of which are beyond our control. If management's estimates and assumptions change or are not correct, our financial condition or results of operations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Unanticipated warranty and other costs for defective products could adversely affect our financial condition, results of operations and reputation.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have a material adverse impact on our financial condition and operating results.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terms and conditions of our credit facilities impose restrictions on our operations, and if we default on our credit facilities, it could have a material adverse effect on our results of operations and financial condition and make us vulnerable to adverse economic or industry conditions and cause liquidity issues.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terms and conditions of our credit facilities impose restrictions limiting our ability to incur debt, contingent liabilities, lease obligations or liens; to merge or consolidate with another company; to dispose substantially all our assets ; to acquire or purchase a business or its assets; or to sell our assets. Our credit facilities also impose certain financial covenants on us which restrict the level of cash dividends and capital expenditures. A breach of any of these covenants could result in an event of default under our credit facilities. Upon the occurrence of an event of default, the lender could elect to declare any and all amounts outstanding under such facilities to be immediately due and payable and terminate all commitments to extend further credit. For additional information on financing agreements, see "Note 7. Financing Agreements" and "Note 17. Subsequent Events" of the Notes to our Consolidated Financial Statements included in this Form 10-K.</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foreseeable future, it is anticipated that our cash on hand, marketable securities, cash provided by operating activities, and borrowings under our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at all or on a timely basis, there can be no assurance we will be able to obtain such capital when needed or on satisfactory terms.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Volatility in our business driven by global economic conditions and supply chain disruptions can have a negative effect on our liquidity and could cause us to express substantial doubt about our ability to continue as a going concern.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economic conditions and supply chain disruptions have and will continue to cause volatility in our cash flow, pricing, order volumes lead times, competitiveness, revenue cycles, and production costs. Our ability to fund inventory levels, operations and capital expenditures in the future will be dependent on our ability to generate cash flow from operations in these conditions, to maintain or improve margins, and to use funds from our credit facility. Also, market conditions can negatively impact our customers' ability to fund their projects and can impact our vendors, suppliers, and subcontractors and may not allow them to meet their obligations to us and impact our liquidity.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determination that there is a substantial doubt about our ability to continue as a going concern can cause our existing and prospective suppliers, customers, and financing sources to not do business with us.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previously disclosed that liquidity constraints conditions raised substantial doubt about the Company’s ability to continue in our second and third quarter of fiscal 2023 financial statements. On May 11, 2023, we secured long-term financing. During fiscal 2023, we recognized operating income of $21.4 million and generated $15.0 million in cash flows provided by operating activities, and we project we will have sufficient cash on hand and availability under the financing agreements to fund future operations. Therefore, the events and conditions that gave rise to substantial doubt about our ability to continue as a going concern were resolved.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investments, and divestitures pose financial, management and other risks and challenges.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routinely invest in and explore investing in or acquiring other businesses and related assets to complement or enhance our business strategies. These investments are often made to increase customer relations and market base, expand geographically, or obtain technological advances to support our solution portfolio. Periodically, we may also consider disposing of these businesses, partial investments, assets, or other lines of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management and other risks and challenges associated with these activities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with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impact on overall profitability if the expanded operations or investments in affiliates do not achieve the strategic benefits forecasted;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or adverse relationship with or a change of key employees, customers, or suppliers of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with the integration of different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 of unknown liabilities and indemnification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disputes with the buyers or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time involved in evaluating or modifying the financial systems of an acquired business and the establishment of appropriate internal controls;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estimates made in the accounting for the transaction that cause misstatements of acquisition assets and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assumptions and estimates made in accounting for the value of such asset.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engage in any acquisitions or divestitures or that we will be able to do so on terms that will result in any expected benefits.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$20.7 million, net invested in affiliates as of April 29, 2023. Our financial results are impacted negatively or positively from our proportionate share of our affiliates' financial performance. Any reduction or impairment of the value of an investment and related acquired assets, goodwill, or investments in affiliates would result in charges against earnings, which would adversely affect our results of operations in future periods. We recorded an impairment to the value of one of these investments by $4.5 million during fiscal year 2023.</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goodwill or other intangible assets in connection with our acquisitions become impaired, we could take significant non-cash charges against earnings.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 consolidated balance sheets as described in "Note 4. Goodwill and Intangible Assets" of the Notes to our Consolidated Financial Statements included in this Form 10-K.</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purchase price paid in excess of the fair value of net tangible and intangible assets 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performed our annual impairment test on October 30, 2022 and concluded that the carrying value of the Live Events and International reporting units exceeded their respective fair values and consequently recorded a $4.6 million impairment charge. We determined the fair value of the reporting units based on an income approach, using the present value of future discounted cash flows. Significant estimates used to determine fair value include the weighted average cost of capital and financial forecasts. The recognized impairment was primarily a result of our weighted average cost of capital being notably higher, which was driven by strains on our liquidity caused by disrupted supply chains and geopolitical conditions. As a result, the present value of our future cash flows was lower, which caused the impairment charge. Based on our annual impairment test, we concluded that the fair value of the Commercial and Transportation reporting units exceeded their respective carrying values and concluded no goodwill impairment existed for those reporting units. The annual impairment test for fiscal years 2022 and 2021 concluded no goodwill impairment existed.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continue to attract, develop and retain key management personnel, which could negatively impact our operating results.</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 possible shortages of key personnel, including engineers, could require us to pay more to hire and retain key personnel, thereby increasing our costs.</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outcome of pending and future claims, investigations or litigation can have a material adverse impact on our business, financial condition, and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involved from time to time in a variety of litigation, investigations, inquires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16. Commitments and Contingencies" of the Notes to our Consolidated Financial Statements included in this Form 10-K for further information on litigation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 Legal, and Regulatory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numerous complex information systems. Any failure to maintain these systems, a network disruption, or breaches in data security that could cause a material adverse effect on our business.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heavily on complex information systems for the successful operation of our business, for the support of our controller offerings,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ransomware attacks,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data protection or lack of required reporting. Any disruption in our digital technologies could affect our business and operations, causing potentially significant expenses to recover and modify the data systems, to reimburse customers' losses, and to investigate and remediate any vulnerabilities, which could severely damage our reputation with customers, suppliers, employees and investors and expose us to risk of litigation and liability.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domestic and foreign operations, sales, earnings, and strategies for profitable growth can be adversely affected by global conditions and compliance with global regulations and governmental orders. Global conditions include political developments; economic changes; unfavorable trading policies; difficulties in staffing and managing global operations; changes in foreign and domestic governmental regulations or requirements, treaty and trade relationships; the imposition of government orders that differ among jurisdictions, including mandatory closures, work-from-home and lock-down orders and social distancing protocols;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that exist include changing social conditions and attitudes, terrorism, or political hostilities and war. Other difficulties of global operations include staffing and managing our various locations, including logistical and communication challenges. The likelihood of such occurrences and their overall effect on us vary greatly from country to country and are not predictable.</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Doing business on a worldwide basis requires us to comply with the laws and regulations of the United States government and various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laws and regulations place restrictions on our operations, trade practices, partners, customers, and investments.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particular, we and our operations are subject to United States and foreign anti-corruption and trade control laws and regulations, such as the United States Foreign Corrupt Practices Act (the “FCPA”); the United Kingdom Bribery Act (the “Bribery Act”); and export controls and economic sanctions programs, including those administered by the United States Treasury Department’s Office of Foreign Assets Control (“OFAC”), the State Department’s Directorate of Defense Trade Controls (the “DDTC”), and the Bureau of Industry and Security of the United States Department of Commerce.</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 prohibited payments to foreign officials for the purpose of obtaining or retaining business, and other similar regulations in other areas of the world. In addition, the provisions of the Bribery Act apply to the bribery of foreign officials and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 exporter, we must comply with various laws and regulations relating to the export of products and technology from the United States and other countries having jurisdiction over our operations and trade sanctions against embargoed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Repeat failures could carry more significant penalties.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Anti-bribery,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the denial of export privileges; injunctions; asset seizures; debarment from government contracts and revocations or restrictions of license; as well as criminal fines and imprisonment, and could harm our reputation, create negative shareholder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partners take inside or outside of the United States even though we are not aware of such actions or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privacy, data protection and information security laws, including data localization laws, are interpreted and applied, compliance costs may increase, particularly in the context of ensuring that adequate data protection and data transfer mechanisms are in place. In recent years, there have been increasing regulatory enforcement and litigation activities in the areas of privacy, data protection and information security in the United States and in various countries in which we operate.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state and federal legislators and/or regulators in the United States and other countries in which we operate are increasingly adopting or revising privacy, data protection and information security laws that potentially could have a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Compliance with current or future privacy, data protection and information security laws relating to consumer and/or employee data, including the General Data Protection Regulation in the European Union and similar laws in other regions of the world, including the United States,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amongst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United States Tax Cuts and Jobs Act of 2017 is one such example of legislation that has impacted our effective tax rate.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changes in the tax laws of the United States and foreign jurisdictions could arise, including additional tax reform in the United States and the base erosion and profit shifting project undertaken by the Organization for Economic Co-operation and Development (“OECD”). Both the United States tax reform and the OECD proposed recommendations which,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Ineffective internal control over financial reporting could result in errors in our financial statements, reduce investor confidence, and adversely impact our stock price.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Section 404 of the Sarbanes-Oxley Act of 2002, we are required to evaluate and determine the effectiveness of our internal controls over financial reporting. Ineffective internal control over financial reporting could result in errors in our financial statements, reduce investor confidence, and adversely affect our stock price. As discussed in Part II, Item 9A “Controls and Procedures” in this Form 10-K, during the year-end closing processes for fiscal 2023, we identified a material weakness in our internal control related to the ineffective operation of certain transactional level controls over revenue recognition, specifically related to revenue contracts recognized over time, which resulted from insufficient precision of processes and insufficient training of the relevant control operators. These internal controls are important to accurately reflect our financial position and results of operations in our financial reports. We performed additional procedures over contracts for which revenue is recognized over time, including leveraging the expertise of a third-party specialist, and we did not identify any material errors in our reported revenue balance. However, due to the material weakness described above, there is a reasonable possibility that our existing controls would not have detected a material misstatement in a timely manner if it were to be material. We are in the process of remediating the material weakness, but our efforts may not be successful. If we are unable to remediate the material weakness in an appropriate and timely manner, or if we identify additional control deficiencies that individually or together constitute significant deficiencies or material weaknesses, our ability to accurately record, process, and report financial information and, consequently, our ability to prepare financial statements within required time periods, could be adversely affected. Our failure to maintain effective internal control over financial reporting could result in violations of applicable securities laws and stock exchange listing requirements; subject us to litigation and investigations; negatively affect investor confidence in our financial statements; and adversely impact our stock price and ability to access capital markets.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Insurance coverage can be difficult or expensive to obtain, and our failure to obtain adequate insurance coverage could adversely affect our financial condition or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insurance both as a corporate risk management strategy and to satisfy the requirements of many of our contracts with customers. As the costs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insurances will be available, cover every type of loss incurred, or be able to be economically secured. For example, some insurers limit or refuse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at reasonable costs could adversely affect our financial condition or results of operations.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with the SEC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 that many shareholders may find attractive. These provisions make it more difficult for our shareholders to take some corporate actions and include provisions relating to:</w:t>
      </w:r>
    </w:p>
    <w:p>
      <w:pPr>
        <w:spacing w:after="0" w:line="165"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Board of Directors, without shareholder approval, to authorize and issue shares of stock with voting, liquidation, dividend and other rights and preferences that are superior to our common stock;</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shareholders from electing a majority of the directors at any one meeting of shareholders;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adoption of a shareholder rights agreement providing for the exercise of junior participating preferred stock purchase rights when a person becomes the beneficial owner of 20 percent or more of our outstanding common stock and upon the occurrence of certain similar events (subject to certain exceptions);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the SD Act, limitations on the voting rights of shares acquired in specified types of acquisitions and restrictions on specified types of business combinations; and</w:t>
      </w:r>
    </w:p>
    <w:p>
      <w:pPr>
        <w:ind w:left="660"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may deny shareholders the receipt of a premium on their common stock, which in turn may have a depressive effect on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daily trading volume of our common stock has at times been relatively low. If this were to occur in the future, the liquidity and appreciation of our common stock may not meet our shareholders’ expectations, and the price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market price of our common stock has fluctuated and will likely continue to fluctuate.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pay dividends on our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approved regular dividends from fiscal 2006 until March 2020. The declaration, amount and timing of such dividends are determined by our Board of Directors at its discretion. Such determinations are subject to capital availability, compliance with all respective laws and agreements applicable to the declaration and payment of cash dividends, our strategic investment cash needs, our business outlook, and other factors the board uses to balance long-term business needs, credit availability, and the interests of our shareholders.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pay dividends will depend upon, among other factors, our cash balances and potential future capital requirements for strategic transactions, including acquisitions, results of operations, financial condition and other factors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our Board of Directors may deem relevant. A reduction in or elimination of our dividend payments and/or our dividend program could have a material negative effect on our stock price.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could be negatively affected as a result of actions of activist shareholders, and such activism could impact the trading value of our securities.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Responding to actions by activist shareholders can be costly and time-consuming, and impact our brand, disrupting our operations and diverting the attention of management and our employees. Such activities could interfere with our ability to execute our strategic plan. In addition, a proxy contest for the election of directors would require us to incur significant legal fees and proxy solicitation expenses and require significant time and attention by management and our board of directors. The perceived uncertainties as to our future direction also could affect the market price and volatility of our securities.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and principal shareholders have the ability to significantly influence all matters submitted to our shareholders for approval.</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Co-founder Dr. Aelred Kurtenbach served as our Chairman of the Board until September 3, 2014. Dr. Aelred Kurtenbach's family members currently serve as executive officers of the Company. His son, Mr. Reece Kurtenbach, serves as our Chairman of the Board and Chief Executive Officer, and two other children serve as our Vice President of Human Resources and as our Vice President of Manufacturing. Together, these individuals, in the aggregate, beneficially owned 10.2 percent of our outstanding common stock as of June 30, 2023, assuming the exercise by them of all of their options that were currently exercisable or that vest within 60 days of June 30, 2023. Our other executive officers and directors, in the aggregate, beneficially owned an additional 4.2 percent of our outstanding common stock as of June 30, 2023, assuming the exercise by them of all of their options currently exercisable or that vest within 60 days of June 30, 2023. Although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the approval of any merger, consolidation, sale of all or substantially all of our assets or other business combination or reorganization requiring shareholder approval.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that might affect the prevailing market price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properties include space for manufacturing products, designing and testing new developments or processes, and employee collaboration space. Our properties are generally aligned with our business segments; however, we manufacture the same products across our manufacturing facilities to efficiently utilize capacity and reduce costs. We consider all our properties to be both suitable and adequate to meet our requirements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Facilities</w:t>
            </w:r>
          </w:p>
        </w:tc>
        <w:tc>
          <w:tcPr>
            <w:tcW w:w="248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Owned or Leased</w:t>
            </w: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Square Footage</w:t>
            </w:r>
          </w:p>
        </w:tc>
        <w:tc>
          <w:tcPr>
            <w:tcW w:w="4040" w:type="dxa"/>
            <w:vAlign w:val="bottom"/>
          </w:tcPr>
          <w:p>
            <w:pPr>
              <w:ind w:left="240"/>
              <w:spacing w:after="0"/>
              <w:rPr>
                <w:sz w:val="20"/>
                <w:szCs w:val="20"/>
                <w:color w:val="auto"/>
              </w:rPr>
            </w:pPr>
            <w:r>
              <w:rPr>
                <w:rFonts w:ascii="Arial" w:cs="Arial" w:eastAsia="Arial" w:hAnsi="Arial"/>
                <w:sz w:val="18"/>
                <w:szCs w:val="18"/>
                <w:b w:val="1"/>
                <w:bCs w:val="1"/>
                <w:color w:val="auto"/>
              </w:rPr>
              <w:t>Facility Activities</w:t>
            </w:r>
          </w:p>
        </w:tc>
      </w:tr>
      <w:tr>
        <w:trPr>
          <w:trHeight w:val="27"/>
        </w:trPr>
        <w:tc>
          <w:tcPr>
            <w:tcW w:w="28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4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Brookings, SD, USA</w:t>
            </w:r>
          </w:p>
        </w:tc>
        <w:tc>
          <w:tcPr>
            <w:tcW w:w="24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1"/>
              </w:rPr>
              <w:t>Owned</w:t>
            </w:r>
          </w:p>
        </w:tc>
        <w:tc>
          <w:tcPr>
            <w:tcW w:w="19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2"/>
              </w:rPr>
              <w:t>771,000</w:t>
            </w:r>
          </w:p>
        </w:tc>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Corporate Office, Manufacturing, Sales, Service</w:t>
            </w: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Redwood Falls, MN, USA</w:t>
            </w:r>
          </w:p>
        </w:tc>
        <w:tc>
          <w:tcPr>
            <w:tcW w:w="2480" w:type="dxa"/>
            <w:vAlign w:val="bottom"/>
          </w:tcPr>
          <w:p>
            <w:pPr>
              <w:jc w:val="center"/>
              <w:ind w:left="510"/>
              <w:spacing w:after="0"/>
              <w:rPr>
                <w:sz w:val="20"/>
                <w:szCs w:val="20"/>
                <w:color w:val="auto"/>
              </w:rPr>
            </w:pPr>
            <w:r>
              <w:rPr>
                <w:rFonts w:ascii="Arial" w:cs="Arial" w:eastAsia="Arial" w:hAnsi="Arial"/>
                <w:sz w:val="18"/>
                <w:szCs w:val="18"/>
                <w:color w:val="auto"/>
                <w:w w:val="91"/>
              </w:rPr>
              <w:t>Owned</w:t>
            </w: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2"/>
              </w:rPr>
              <w:t>151,000</w:t>
            </w:r>
          </w:p>
        </w:tc>
        <w:tc>
          <w:tcPr>
            <w:tcW w:w="4040" w:type="dxa"/>
            <w:vAlign w:val="bottom"/>
          </w:tcPr>
          <w:p>
            <w:pPr>
              <w:ind w:left="240"/>
              <w:spacing w:after="0"/>
              <w:rPr>
                <w:sz w:val="20"/>
                <w:szCs w:val="20"/>
                <w:color w:val="auto"/>
              </w:rPr>
            </w:pPr>
            <w:r>
              <w:rPr>
                <w:rFonts w:ascii="Arial" w:cs="Arial" w:eastAsia="Arial" w:hAnsi="Arial"/>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Ennistymon, Ireland</w:t>
            </w:r>
          </w:p>
        </w:tc>
        <w:tc>
          <w:tcPr>
            <w:tcW w:w="24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1"/>
              </w:rPr>
              <w:t>Owned</w:t>
            </w:r>
          </w:p>
        </w:tc>
        <w:tc>
          <w:tcPr>
            <w:tcW w:w="19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87"/>
              </w:rPr>
              <w:t>62,000</w:t>
            </w:r>
          </w:p>
        </w:tc>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Manufacturing, Sales, Service, Office</w:t>
            </w: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Sioux Falls, SD, USA</w:t>
            </w:r>
          </w:p>
        </w:tc>
        <w:tc>
          <w:tcPr>
            <w:tcW w:w="2480" w:type="dxa"/>
            <w:vAlign w:val="bottom"/>
          </w:tcPr>
          <w:p>
            <w:pPr>
              <w:jc w:val="center"/>
              <w:ind w:left="530"/>
              <w:spacing w:after="0"/>
              <w:rPr>
                <w:sz w:val="20"/>
                <w:szCs w:val="20"/>
                <w:color w:val="auto"/>
              </w:rPr>
            </w:pPr>
            <w:r>
              <w:rPr>
                <w:rFonts w:ascii="Arial" w:cs="Arial" w:eastAsia="Arial" w:hAnsi="Arial"/>
                <w:sz w:val="18"/>
                <w:szCs w:val="18"/>
                <w:color w:val="auto"/>
                <w:w w:val="84"/>
              </w:rPr>
              <w:t>Leased</w:t>
            </w: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2"/>
              </w:rPr>
              <w:t>296,000</w:t>
            </w:r>
          </w:p>
        </w:tc>
        <w:tc>
          <w:tcPr>
            <w:tcW w:w="4040" w:type="dxa"/>
            <w:vAlign w:val="bottom"/>
          </w:tcPr>
          <w:p>
            <w:pPr>
              <w:ind w:left="240"/>
              <w:spacing w:after="0"/>
              <w:rPr>
                <w:sz w:val="20"/>
                <w:szCs w:val="20"/>
                <w:color w:val="auto"/>
              </w:rPr>
            </w:pPr>
            <w:r>
              <w:rPr>
                <w:rFonts w:ascii="Arial" w:cs="Arial" w:eastAsia="Arial" w:hAnsi="Arial"/>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Shanghai, China</w:t>
            </w:r>
          </w:p>
        </w:tc>
        <w:tc>
          <w:tcPr>
            <w:tcW w:w="24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4"/>
              </w:rPr>
              <w:t>Leased</w:t>
            </w:r>
          </w:p>
        </w:tc>
        <w:tc>
          <w:tcPr>
            <w:tcW w:w="19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2"/>
              </w:rPr>
              <w:t>152,000</w:t>
            </w:r>
          </w:p>
        </w:tc>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Manufacturing, Sales, Service, Office</w:t>
            </w:r>
          </w:p>
        </w:tc>
      </w:tr>
      <w:tr>
        <w:trPr>
          <w:trHeight w:val="904"/>
        </w:trPr>
        <w:tc>
          <w:tcPr>
            <w:tcW w:w="2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20" w:type="dxa"/>
            <w:vAlign w:val="bottom"/>
          </w:tcPr>
          <w:p>
            <w:pPr>
              <w:jc w:val="right"/>
              <w:ind w:right="1390"/>
              <w:spacing w:after="0"/>
              <w:rPr>
                <w:sz w:val="20"/>
                <w:szCs w:val="20"/>
                <w:color w:val="auto"/>
              </w:rPr>
            </w:pPr>
            <w:r>
              <w:rPr>
                <w:rFonts w:ascii="Arial" w:cs="Arial" w:eastAsia="Arial" w:hAnsi="Arial"/>
                <w:sz w:val="18"/>
                <w:szCs w:val="18"/>
                <w:color w:val="auto"/>
              </w:rPr>
              <w:t>21</w:t>
            </w:r>
          </w:p>
        </w:tc>
        <w:tc>
          <w:tcPr>
            <w:tcW w:w="4040" w:type="dxa"/>
            <w:vAlign w:val="bottom"/>
          </w:tcPr>
          <w:p>
            <w:pPr>
              <w:spacing w:after="0"/>
              <w:rPr>
                <w:sz w:val="24"/>
                <w:szCs w:val="24"/>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utilize sales and service offices located throughout the United States, Canada, Europe, and the Asia-Pacific region. These spaces are generally small leased offices used for sales related activities. See "Note 9. Leases" of the Notes to our Consolidated Financial Statements included in this Form 10-K for further information on lease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16. Commitments and Contingencies" of the Notes to our Consolidated Financial Statements included in this Form 10-K for further information on any legal proceedings and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quoted on The Nasdaq Global Select Market under the ticker symbol DAKT. Daily market activity, along with quoted prices and other trading information, are readily available for our common stock on numerous websites including www.nasdaq.com. As of June 30, 2023, we had 930 shareholders of record.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17, 2016, our Board of Directors approved a stock repurchase program under which Daktronics may purchase up to $40.0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In April 2020, the Board suspended the program. On December 2, 2021, the Board of Directors of Daktronics voted to reauthorize the stock repurchase program. During fiscal 2023 and 2021, we had no repurchases of shares of our outstanding common stock. During fiscal 2022, we repurchased 0.6 million shares of common stock at a total cost of $3.2 million. As of April 29, 2023, we had $29.4 million of remaining capacity under our current share repurchase program.</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Repurchases of shares are treated as dividends under the South Dakota Business Corporation Act (which is codified as Chapter 47-1A to the South Dakota statutes), so our repurchases of shares could be affected by the limitations imposed on dividends in our credit facility, as further described in "Note 7. Financing Agreements" of the Notes to our Consolidated Financial Statements included in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should be read in conjunction with the accompanying Consolidated Financial Statements and Notes to the Consolidated Financial Statements included in this Form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 Fiscal 2022 compared to Fiscal 2021</w:t>
      </w:r>
    </w:p>
    <w:p>
      <w:pPr>
        <w:spacing w:after="0" w:line="225"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comparison of fiscal 2022 with fiscal 2021, including the results of operations and liquidity, can be found in the "Management's Discussion and Analysis" section of our Annual Report on </w:t>
      </w:r>
      <w:hyperlink r:id="rId39">
        <w:r>
          <w:rPr>
            <w:rFonts w:ascii="Arial" w:cs="Arial" w:eastAsia="Arial" w:hAnsi="Arial"/>
            <w:sz w:val="18"/>
            <w:szCs w:val="18"/>
            <w:u w:val="single" w:color="auto"/>
            <w:color w:val="auto"/>
          </w:rPr>
          <w:t xml:space="preserve">Form 10-K </w:t>
        </w:r>
      </w:hyperlink>
      <w:r>
        <w:rPr>
          <w:rFonts w:ascii="Arial" w:cs="Arial" w:eastAsia="Arial" w:hAnsi="Arial"/>
          <w:sz w:val="18"/>
          <w:szCs w:val="18"/>
          <w:color w:val="auto"/>
        </w:rPr>
        <w:t>for fiscal 2022 filed with the SEC on June 16, 2022, which comparison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mission is to be a world leader at informing and entertaining audiences through dynamic audio-visual communication systems. We organize into business units to focus on customer loyalty over time and earn new and replacement business, as our products have a finite lifetime. See "Note 3. Segment Reporting" of the Notes to our Consolidated Financial Statements included in this Form 10-K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measure our success using a variety of measures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percentage of market share by comparing our estimated revenue to the total estimated global digital display revenue;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order growth compared to the overall digital market order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metrics such as annual order volume and profit change as compared to our previous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retention and expansion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profits over the long-term to provide a shareholder return.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factors impact our ability to succeed in these strategies and impact our business units to varying degrees. For example, due to volatility in our supply chain and labor conditions through the last two years, our lead times and manufacturing and fulfillment costs increased. We deployed various pricing strategies and redesigned products to utilize available raw materials and components. However, not all of our competitors were impacted to the same degree in accessibility to parts and components or reacted similarly with pricing. As a result, in some instances, competitors were awarded more business.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to produce digital solutions has declined, which has caused a decline of digital solution pricing over the years. We must sell more products to generate the same or a greater level of net sales as in previous fiscal years. However, the increased user adoption and number of applications available have increased the size of the global market.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Competitors' offerings, actions and reactions also can vary and change over time or in certain customer situations. Projects with multimillion-dollar revenue potential attract competition, and competitors can use marketing or other tactics to win business.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with social changes causing decreases in sporting event revenues, the sports business can also be seriously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endured a dynamic operating environment through the pandemic years. At the beginning of the pandemic, orders pulled back swiftly and abruptly, and we lowered capacity. Then order volumes recovered sharply while supply chain disruptions coupled with a tight labor market constrained our ability to deliver efficiently at traditional lead times and service levels. Inflation in parts, components, and labor increased our operating costs and decreased gross margins. To adapt to these conditions, our teams came together to take decisive and deliberate actions to improve our customers' experience while implementing strategies to improve our profitability and working capital levels.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Supply chains have gradually been stabilizing, which should allow reduced inventory levels in the coming months as our production levels continue to increase and we are able to purchase less safety stock. Although the post-pandemic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geopolitical situation and global trade patterns continue to evolve, we believe that the levels of uncertainty and volatility will not be as great in the coming months and will continue to stabilize in the coming fiscal year.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audiovisual industry fundamentals and the development of new technologies and services will drive long-term growth for our business; however, our customers may reduce their spend on audiovisual systems and related services because of the impacts of global economic conditions, war and geopolitical situations, or other factors outside of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outlook and unique key growth drivers and challenges by our business units include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National accounts standard display market opportunities due to customers' desire to communicate their message, advertising and content consistently across the country. Increased demand is possible from national retailers, quick-serve restaurants, petroleum retailers, and other nationwide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standard display offerings using micro-LED designs.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use of LED technologies replacing signage previously using LCD technology by existing and new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and marketing alternative low-power and sustainable solutions for installations in power constrained areas or for customers desiring these types of products.</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market adoption and expansion for use of LED in government and military and corporate campuses.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expanded use of this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continued deployment of digital billboards as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Live Events Business Unit: </w:t>
      </w:r>
      <w:r>
        <w:rPr>
          <w:rFonts w:ascii="Arial" w:cs="Arial" w:eastAsia="Arial" w:hAnsi="Arial"/>
          <w:sz w:val="18"/>
          <w:szCs w:val="18"/>
          <w:color w:val="auto"/>
        </w:rPr>
        <w:t>We believe growth in the Live Events business unit will result from a number of factors,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 larger displays or higher resolution displays, both of which increase the average transaction size.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Dynamic messaging system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use of LED technologies replacing signage previously using LCD technology in and surrounding live events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Lower system costs driving the use of more sophisticated displays in school athletic facilities, such as large integrated video systems.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control system options tailored for the markets'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display requirements for sporting events.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Daktronics has experienced governmental agencies placing orders as a way to spend their allocated budgets for their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years. In addition, the </w:t>
      </w:r>
      <w:r>
        <w:rPr>
          <w:rFonts w:ascii="Arial" w:cs="Arial" w:eastAsia="Arial" w:hAnsi="Arial"/>
          <w:sz w:val="18"/>
          <w:szCs w:val="18"/>
          <w:i w:val="1"/>
          <w:iCs w:val="1"/>
          <w:color w:val="auto"/>
        </w:rPr>
        <w:t>Infrastructure Investment and Jobs Act</w:t>
      </w:r>
      <w:r>
        <w:rPr>
          <w:rFonts w:ascii="Arial" w:cs="Arial" w:eastAsia="Arial" w:hAnsi="Arial"/>
          <w:sz w:val="18"/>
          <w:szCs w:val="18"/>
          <w:color w:val="auto"/>
        </w:rPr>
        <w:t xml:space="preserve"> signed into law in November 2021 is expected to have a positive impact on all segments of United States transportation terminals and public transit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Over the long-term, we believe growth in the Transportation business unit will result from a number of factors, including:</w:t>
      </w:r>
    </w:p>
    <w:p>
      <w:pPr>
        <w:spacing w:after="0" w:line="252"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applications and acceptance of electronic displays to manage transportation systems, including roadway, airport, parking, transit and other applications.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and marketing alternative low-power and sustainable solutions for installations in power constrained areas or for customers desiring these types of products.</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Expanded use of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International Business Unit: </w:t>
      </w:r>
      <w:r>
        <w:rPr>
          <w:rFonts w:ascii="Arial" w:cs="Arial" w:eastAsia="Arial" w:hAnsi="Arial"/>
          <w:sz w:val="17"/>
          <w:szCs w:val="17"/>
          <w:color w:val="auto"/>
        </w:rPr>
        <w:t>Over the long-term, we believe growth in the International business unit will result from a number of factors, including:</w:t>
      </w:r>
    </w:p>
    <w:p>
      <w:pPr>
        <w:spacing w:after="0" w:line="237"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greater penetration in various geographies and building products more suited to individual markets. We continue to broaden our product offerings into the transportation segment in Europe and the Middle East.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focus on sports facility, spectacular-type, OOH advertising products, and architectural lighting market opportunities and the factors listed in each of the other business units to the extent they apply outside of the United States and Canada.</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city-center locations.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market adoption and expansion of use of LED in government and military and corporate campuses.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opportunities exist with expanded market usage of LED technology due to price considerations, usage of LED technology replacing prior LCD installations and additional display offerings using micro-LEDs.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marketing alternative low-power and sustainable solutions for installations in power constrained areas or for customers desiring these types of products.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Growing our reseller channels to promote our products and gain market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are based upon, and should be read in conjunction with, our Consolidated Financial Statements and Notes to the Consolidated Financial Statements included in this Form 10-K, which have been prepared in accordance with accounting principles generally accepted in the United States of America ("GAAP").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of the Notes to our Consolidated Financial Statements included in this Form 10-K, the following discussion is intended to highlight and describe those accounting policies that are especially critical to the preparation of our consolidated financial statements.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critical accounting policy is defined as a policy that is both very important to the portrayal of a company's financial condition and results and requires management's most difficult, subjective or complex judgments. We regularly review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accounting policies and evaluate them based on these factors. We believe the estimation process for uniquely configured contracts and warranties are most material and critical. These areas contain estimates with a reasonable likelihood to change, and those changes could have a material impact on our financial condition and reported results of operations. The estimation processes for these areas are also difficult, subjective and use complex judgments. Our critical accounting estimates are based on historical experience; on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Revenue recognition on uniquely configured contracts. </w:t>
      </w:r>
      <w:r>
        <w:rPr>
          <w:rFonts w:ascii="Arial" w:cs="Arial" w:eastAsia="Arial" w:hAnsi="Arial"/>
          <w:sz w:val="16"/>
          <w:szCs w:val="16"/>
          <w:color w:val="auto"/>
        </w:rPr>
        <w:t>Revenue for uniquely configured (custom) or integrated systems is recognized over time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cost-to-cost input method by comparing cumulative costs incurred to the total estimated costs and applying that percentage of completion to the transaction price to recognize revenue. Over time revenue recognition is appropriate because we have no alternative use for the uniquely configured system and have an enforceable right to payment for work performed, including a reasonable profit margin. The cost-to-cost input method measures cost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our customer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recognized an accrued liability for warranty obligations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April 29, 2023 and April 30, 2022, we had approximately $32.5 million and $28.9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16. Commitments and Contingencies" of the Notes to our Consolidated Financial Statements included in this Form 10-K for further information on warranties.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elsewhere in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60" w:type="dxa"/>
            <w:vAlign w:val="bottom"/>
            <w:gridSpan w:val="9"/>
          </w:tcPr>
          <w:p>
            <w:pPr>
              <w:spacing w:after="0"/>
              <w:rPr>
                <w:sz w:val="20"/>
                <w:szCs w:val="20"/>
                <w:color w:val="auto"/>
              </w:rPr>
            </w:pPr>
            <w:r>
              <w:rPr>
                <w:rFonts w:ascii="Arial" w:cs="Arial" w:eastAsia="Arial" w:hAnsi="Arial"/>
                <w:sz w:val="18"/>
                <w:szCs w:val="18"/>
                <w:color w:val="auto"/>
              </w:rPr>
              <w:t>The following table shows information regarding net sales for the fiscal years ended April 29, 2023 and April 30, 2022:</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April 29, 2023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Dollar Change</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170,590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154,211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85,794</w:t>
            </w:r>
          </w:p>
        </w:tc>
        <w:tc>
          <w:tcPr>
            <w:tcW w:w="16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111,816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29,932</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6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84,652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1,522</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143,226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313,940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(54,287)</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6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(11,242)</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16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680,954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(165,117)</w:t>
            </w:r>
          </w:p>
        </w:tc>
        <w:tc>
          <w:tcPr>
            <w:tcW w:w="8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2023 as compared to Fiscal Year </w:t>
      </w:r>
      <w:r>
        <w:rPr>
          <w:rFonts w:ascii="Arial" w:cs="Arial" w:eastAsia="Arial" w:hAnsi="Arial"/>
          <w:sz w:val="18"/>
          <w:szCs w:val="18"/>
          <w:color w:val="auto"/>
        </w:rPr>
        <w:t>2022</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fiscal year 2023, net sales were $754.2 million, an increase of $143.2 million from fiscal year 2022. The year-over-year growth was driven by fulfilling orders in backlog and continued order bookings. Sales growth was driven by strong market demand, increased capacity, and realization of price increases implemented beginning in late fiscal year 2022. We have seen stabilizing and improving supply chain conditions and have invested in automated machinery and equipment and in labor capacity to increase the rate of conversion of orders into sales, creating more throughput in our factories.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Order volume decreased in fiscal year 2023 from fiscal year 2022. Fiscal 2022 saw a record number of orders from pent-up demand after COVID, though orders for fiscal 2023 continued to be strong. Macroeconomic and geopolitical conditions caused the decline in orders in the International business unit.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a number of factors, such as the discretionary nature of customers committing to a system, long replacement cycles, the limited number of large custom projects and competitive factors, advertising revenues during macroeconomic changes, economic dependencies, regulatory environments, and competitive factors, it is difficult to predict orders and net sales for fiscal 2024.</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increase in net sales for fiscal 2023 compared to fiscal 2022 was driven by fulfilling orders in backlog and continued order bookings.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continued to see increased adoption of video solutions in our Commercial business unit marketplace. Depending on the duration of the current economic conditions, we see opportunities for orders and sales over the coming years in our OOH, on-premise, and spectacular focused niches due to replacement cycles, expansion of dynamic messaging systems usage, releases of new solutions, additional distribution methods, and increased market size due to the decline of digital pricing over the years as well as the desire for higher resolution technology. We expect growth in the Commercial business unit over the long-term, assuming favorable economic conditions and our success in counteracting competitive pressures.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increase in net sales for fiscal 2023 compared to fiscal 2022 was driven by fulfilling orders in backlog and continued order bookings.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Sales growth was driven by strong market demand, increased capacity, and realization of price increases implemented beginning in late fiscal year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see ongoing interest from venues at all levels in increasing the size and capabilities of their display systems and in the usage of dynamic messaging systems throughout their facilities in our Live Events business unit marketplace.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this business unit's size to remain stable over the long-term, assuming favorable economic conditions, and success in maintaining market share by counteracting competitive pressures.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2023 compared to fiscal 2022 was driven by fulfilling orders in backlog and strong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demand, increased capacity, and realization of price increases implemented beginning in late fiscal year 2022.</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sales to continue to grow in fiscal year 2024 because of the adoption of video displays for sporting and educational use. Trends towards deploying professional grade technology, especially in high schools, has expanded the market size. These facilities benefit from our sports marketing services that generate advertising revenue to fund the display systems, from our curriculum program designed to increase educational use, and because of schools' desire to communicate with students and parents using these systems. Some growth is also expected because of regulatory requirements for certain display types for sports events. We expect growth in this business unit over the long-term, assuming favorable economic conditions.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fiscal 2023 compared to fiscal 2022 was driven by fulfilling orders in backlog and continued order bookings.</w:t>
      </w:r>
      <w:r>
        <w:rPr>
          <w:rFonts w:ascii="Arial" w:cs="Arial" w:eastAsia="Arial" w:hAnsi="Arial"/>
          <w:sz w:val="18"/>
          <w:szCs w:val="18"/>
          <w:i w:val="1"/>
          <w:iCs w:val="1"/>
          <w:color w:val="auto"/>
        </w:rPr>
        <w:t xml:space="preserve"> </w:t>
      </w:r>
      <w:r>
        <w:rPr>
          <w:rFonts w:ascii="Arial" w:cs="Arial" w:eastAsia="Arial" w:hAnsi="Arial"/>
          <w:sz w:val="18"/>
          <w:szCs w:val="18"/>
          <w:color w:val="auto"/>
        </w:rPr>
        <w:t>Sales growth was driven by strong market demand, increased capacity, and realization of price increases implemented in late fiscal year 2022 and the beginning of fiscal year 2023.</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 factors, such as transportation funding, the competitive environment, and customer delivery changes, make forecasting orders and net sales difficult for fiscal 2024. However, the stability of long-term federal transportation funding and the number of capital projects for highways and public transit that include dynamic message signs and for advertising and wayfinding use in public transport and airport terminals continue to rise. We expect continued growth in this business unit over the long-term, assuming favorable economic conditions and continued transportation funding.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were relatively flat for fiscal 2023 compared to fiscal 2022.</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demand for larger video systems for commercial and sports applications, indoor and outdoor OOH applications, and transportation applications to remain strong over the long-term. Macroeconomic factors, the discretionary nature of customers committing to new systems or replacements, and the pace of market growth, have impacted order bookings and timing, making it difficult to predict order and sales levels for fiscal 2024. For the long-term, we believe the International business unit has the potential for sales growth as we penetrate markets with our established sales networks to increase our International market share, continue to enhance our tailored portfolio of product and control solution offerings, invest in additional distribution methods, and expect the trend of increased use and adoption of our technology globally to continue.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Gross Profit and Contribution Margin</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86"/>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3"/>
          </w:tcPr>
          <w:p>
            <w:pPr>
              <w:ind w:left="760"/>
              <w:spacing w:after="0"/>
              <w:rPr>
                <w:sz w:val="20"/>
                <w:szCs w:val="20"/>
                <w:color w:val="auto"/>
              </w:rPr>
            </w:pPr>
            <w:r>
              <w:rPr>
                <w:rFonts w:ascii="Arial" w:cs="Arial" w:eastAsia="Arial" w:hAnsi="Arial"/>
                <w:sz w:val="18"/>
                <w:szCs w:val="18"/>
                <w:b w:val="1"/>
                <w:bCs w:val="1"/>
                <w:color w:val="auto"/>
              </w:rPr>
              <w:t>April 29, 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3"/>
          </w:tcPr>
          <w:p>
            <w:pPr>
              <w:ind w:left="760"/>
              <w:spacing w:after="0"/>
              <w:rPr>
                <w:sz w:val="20"/>
                <w:szCs w:val="20"/>
                <w:color w:val="auto"/>
              </w:rPr>
            </w:pPr>
            <w:r>
              <w:rPr>
                <w:rFonts w:ascii="Arial" w:cs="Arial" w:eastAsia="Arial" w:hAnsi="Arial"/>
                <w:sz w:val="18"/>
                <w:szCs w:val="18"/>
                <w:b w:val="1"/>
                <w:bCs w:val="1"/>
                <w:color w:val="auto"/>
              </w:rPr>
              <w:t>April 30, 2022</w:t>
            </w:r>
          </w:p>
        </w:tc>
      </w:tr>
      <w:tr>
        <w:trPr>
          <w:trHeight w:val="27"/>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As a Percent of Net</w:t>
            </w: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31,155</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w w:val="89"/>
              </w:rPr>
              <w:t>18.3 %</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31,851</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w w:val="89"/>
              </w:rPr>
              <w:t>20.7 %</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Live Events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49,255</w:t>
            </w:r>
          </w:p>
        </w:tc>
        <w:tc>
          <w:tcPr>
            <w:tcW w:w="16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21,787</w:t>
            </w:r>
          </w:p>
        </w:tc>
        <w:tc>
          <w:tcPr>
            <w:tcW w:w="16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10.9</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41,145</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35,477</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31.7</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16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18,172</w:t>
            </w:r>
          </w:p>
        </w:tc>
        <w:tc>
          <w:tcPr>
            <w:tcW w:w="16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29.0</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9,975</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9,410</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11.3</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4"/>
        </w:trPr>
        <w:tc>
          <w:tcPr>
            <w:tcW w:w="48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151,355</w:t>
            </w:r>
          </w:p>
        </w:tc>
        <w:tc>
          <w:tcPr>
            <w:tcW w:w="16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20.1 %</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116,697</w:t>
            </w:r>
          </w:p>
        </w:tc>
        <w:tc>
          <w:tcPr>
            <w:tcW w:w="16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19.1 %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 as compared to Fiscal Year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gross profit percentage in fiscal 2023 was primarily due to strategic pricing actions implemented in late fiscal year 2022 and the beginning of fiscal year 2023 and increased productivity starting late in the second quarter of fiscal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2023 because of fewer supply chain and operational disruptions and investments in capacity. These improvements were offset by higher material, component, freight and labor costs throughout fiscal 2023. Factors impacting gross profit in fiscal 2022 included ongoing supply chain disruptions and inflationary challenges in materials, freight and personnel related costs, the difference in sales mix between periods, and increases in warranty reserves for inflation. Total warranty expense as a percent of sales increased to 2.1 percent for fiscal 2023 as compared to 1.9 percent during fiscal 2022.</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difficult to project gross profit levels for fiscal 2024 because of the uncertainty regarding the level of sales, the sales mix, price strategy and timing of sales generation, potential inflation, the availability of materials, labor, and freight, and the competitive factors in our business. We are focused on improving our gross profit margins as we execute our strategies for improved profitability, which include selectively increasing pricing, releasing new product designs to lower overall costs of the product; improving reliability to reduce warranty expenses; expanding our global capacity and planning; meeting customer solution expectations; and continued improvements in operational effectiveness in manufacturing, installation, and service delivery areas.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April 29, 2023</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April 30, 2022</w:t>
            </w:r>
          </w:p>
        </w:tc>
      </w:tr>
      <w:tr>
        <w:trPr>
          <w:trHeight w:val="27"/>
        </w:trPr>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 of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90"/>
              </w:rPr>
              <w:t>As a Percent of Net</w:t>
            </w:r>
          </w:p>
        </w:tc>
      </w:tr>
      <w:tr>
        <w:trPr>
          <w:trHeight w:val="255"/>
        </w:trPr>
        <w:tc>
          <w:tcPr>
            <w:tcW w:w="1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Sales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Dollar Change</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Percent Change</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Sales</w:t>
            </w: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 Margin: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600"/>
              <w:spacing w:after="0"/>
              <w:rPr>
                <w:sz w:val="20"/>
                <w:szCs w:val="20"/>
                <w:color w:val="auto"/>
              </w:rPr>
            </w:pPr>
            <w:r>
              <w:rPr>
                <w:rFonts w:ascii="Arial" w:cs="Arial" w:eastAsia="Arial" w:hAnsi="Arial"/>
                <w:sz w:val="18"/>
                <w:szCs w:val="18"/>
                <w:color w:val="auto"/>
                <w:w w:val="98"/>
              </w:rPr>
              <w:t>14,025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16,073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7"/>
        </w:trPr>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Live Events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8"/>
              </w:rPr>
              <w:t>39,015</w:t>
            </w: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27,112</w:t>
            </w:r>
          </w:p>
        </w:tc>
        <w:tc>
          <w:tcPr>
            <w:tcW w:w="1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11,903</w:t>
            </w: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High School Park and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Recreation</w:t>
            </w:r>
          </w:p>
        </w:tc>
        <w:tc>
          <w:tcPr>
            <w:tcW w:w="240" w:type="dxa"/>
            <w:vAlign w:val="bottom"/>
          </w:tcPr>
          <w:p>
            <w:pPr>
              <w:spacing w:after="0"/>
              <w:rPr>
                <w:sz w:val="20"/>
                <w:szCs w:val="20"/>
                <w:color w:val="auto"/>
              </w:rPr>
            </w:pPr>
          </w:p>
        </w:tc>
        <w:tc>
          <w:tcPr>
            <w:tcW w:w="1160" w:type="dxa"/>
            <w:vAlign w:val="bottom"/>
          </w:tcPr>
          <w:p>
            <w:pPr>
              <w:ind w:left="600"/>
              <w:spacing w:after="0"/>
              <w:rPr>
                <w:sz w:val="20"/>
                <w:szCs w:val="20"/>
                <w:color w:val="auto"/>
              </w:rPr>
            </w:pPr>
            <w:r>
              <w:rPr>
                <w:rFonts w:ascii="Arial" w:cs="Arial" w:eastAsia="Arial" w:hAnsi="Arial"/>
                <w:sz w:val="18"/>
                <w:szCs w:val="18"/>
                <w:color w:val="auto"/>
                <w:w w:val="98"/>
              </w:rPr>
              <w:t>27,621</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4,034</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23,587</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21.1</w:t>
            </w:r>
          </w:p>
        </w:tc>
      </w:tr>
      <w:tr>
        <w:trPr>
          <w:trHeight w:val="27"/>
        </w:trPr>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8"/>
              </w:rPr>
              <w:t>15,901</w:t>
            </w: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23.2</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w w:val="91"/>
              </w:rPr>
              <w:t>(1,862)</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(1,368)</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84"/>
        </w:trPr>
        <w:tc>
          <w:tcPr>
            <w:tcW w:w="19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94,700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44.3 %</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Fiscal Year 2023 as compared to Fiscal Year 2022</w:t>
      </w:r>
    </w:p>
    <w:p>
      <w:pPr>
        <w:spacing w:after="0" w:line="225" w:lineRule="exact"/>
        <w:rPr>
          <w:sz w:val="20"/>
          <w:szCs w:val="20"/>
          <w:color w:val="auto"/>
        </w:rPr>
      </w:pPr>
    </w:p>
    <w:p>
      <w:pPr>
        <w:jc w:val="both"/>
        <w:ind w:left="140"/>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a non-GAAP measure and consists of gross profit less selling expenses. Selling expenses consist primarily of personnel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87" w:lineRule="exact"/>
        <w:rPr>
          <w:sz w:val="20"/>
          <w:szCs w:val="20"/>
          <w:color w:val="auto"/>
        </w:rPr>
      </w:pPr>
    </w:p>
    <w:p>
      <w:pPr>
        <w:jc w:val="both"/>
        <w:ind w:left="140"/>
        <w:spacing w:after="0" w:line="277" w:lineRule="auto"/>
        <w:rPr>
          <w:sz w:val="20"/>
          <w:szCs w:val="20"/>
          <w:color w:val="auto"/>
        </w:rPr>
      </w:pPr>
      <w:r>
        <w:rPr>
          <w:rFonts w:ascii="Arial" w:cs="Arial" w:eastAsia="Arial" w:hAnsi="Arial"/>
          <w:sz w:val="18"/>
          <w:szCs w:val="18"/>
          <w:color w:val="auto"/>
        </w:rPr>
        <w:t>Contribution margin in fiscal 2023 was positively impacted by the previously discussed sales levels and impacts on gross profit. We have adjusted our sales and marketing activities and staffing levels to achieve current and expected future sales levels.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Reconciliation from non-GAAP contribution margin to operating income GAAP measure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April 29, 2023</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April 30, 2022</w:t>
            </w:r>
          </w:p>
        </w:tc>
      </w:tr>
      <w:tr>
        <w:trPr>
          <w:trHeight w:val="27"/>
        </w:trPr>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 of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90"/>
              </w:rPr>
              <w:t>As a Percent of Net</w:t>
            </w:r>
          </w:p>
        </w:tc>
      </w:tr>
      <w:tr>
        <w:trPr>
          <w:trHeight w:val="255"/>
        </w:trPr>
        <w:tc>
          <w:tcPr>
            <w:tcW w:w="1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Sales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Dollar Change</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Percent Change</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Sales</w:t>
            </w:r>
          </w:p>
        </w:tc>
      </w:tr>
      <w:tr>
        <w:trPr>
          <w:trHeight w:val="27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margin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General and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38,747</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6,184</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32,563</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5.3</w:t>
            </w:r>
          </w:p>
        </w:tc>
      </w:tr>
      <w:tr>
        <w:trPr>
          <w:trHeight w:val="27"/>
        </w:trPr>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design and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29,013</w:t>
            </w: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64"/>
        </w:trPr>
        <w:tc>
          <w:tcPr>
            <w:tcW w:w="194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9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428.6 %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 as compared to Fiscal Year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for fiscal 2023 increased as compared to the same period one year ago due to compensation and staffing, marketing expenses, other expense growth, and approximately $4.5 million of discrete professional fees related to the going concern and internal control consultation and shareholder engagement fees.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Product design and development expenses in fiscal 2023 increased as compared to fiscal 2022 primarily due to an increase in personnel related expenses.</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general and administrative and product design and development expenses to increase for fiscal 2024 as compared to fiscal 2023 due to continued increases in labor costs and for planned investments in digital transformation initiatives and to enhance and develop existing and new product technologies.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Year Ended</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43"/>
        </w:trPr>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4"/>
          </w:tcPr>
          <w:p>
            <w:pPr>
              <w:ind w:left="1200"/>
              <w:spacing w:after="0"/>
              <w:rPr>
                <w:sz w:val="20"/>
                <w:szCs w:val="20"/>
                <w:color w:val="auto"/>
              </w:rPr>
            </w:pPr>
            <w:r>
              <w:rPr>
                <w:rFonts w:ascii="Arial" w:cs="Arial" w:eastAsia="Arial" w:hAnsi="Arial"/>
                <w:sz w:val="18"/>
                <w:szCs w:val="18"/>
                <w:b w:val="1"/>
                <w:bCs w:val="1"/>
                <w:color w:val="auto"/>
              </w:rPr>
              <w:t>April 29, 2023</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2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April 30, 2022</w:t>
            </w:r>
          </w:p>
        </w:tc>
      </w:tr>
      <w:tr>
        <w:trPr>
          <w:trHeight w:val="27"/>
        </w:trPr>
        <w:tc>
          <w:tcPr>
            <w:tcW w:w="1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5"/>
        </w:trPr>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As a Percent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w w:val="95"/>
              </w:rPr>
              <w:t>As a Percent of Net</w:t>
            </w:r>
          </w:p>
        </w:tc>
      </w:tr>
      <w:tr>
        <w:trPr>
          <w:trHeight w:val="248"/>
        </w:trPr>
        <w:tc>
          <w:tcPr>
            <w:tcW w:w="1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Dollar Change</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Percent Change</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Sales</w:t>
            </w:r>
          </w:p>
        </w:tc>
      </w:tr>
      <w:tr>
        <w:trPr>
          <w:trHeight w:val="209"/>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44"/>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4"/>
              </w:rPr>
              <w:t>(0.1)%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(7,211)</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w w:val="94"/>
              </w:rPr>
              <w:t>(1.0)%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(4,102)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131.9 %</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(3,109)</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 as compared to Fiscal Year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and expense, net for fiscal 2023 as compared to fiscal 2022 was primarily due to utilizing our previous bank line of credit during fiscal 2023 for our strategic investments in inventory.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The change in other expense, net for fiscal 2023 as compared to fiscal 2022 was primarily due to losses and impairments recorded for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method affiliates and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effective tax rate for fiscal 2023 was 48.7 percent. The effective income tax rate for fiscal 2023 was impacted due to valuation allowances on equity investments and on foreign net operating losses in Ireland, goodwill impairment, state taxes, a mix of taxes in foreign countries where the tax rate is higher than the United States, as well as prior year provision to return adjustments reduced in part by tax benefits from permanent tax credits.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for fiscal 2022 was 46.6 percent resulting from the tax benefit of permanent tax credits reduced by valuation allowances, various permanent tax adjustments and state taxes and prior year provision to return adjustments.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effective tax rate is impacted by the statutory income tax rates applicable to each of the jurisdictions in which we operate. Due to various factors, and because we operate in multiple state and foreign jurisdictions, our effective tax rate is subject to fluctuation. See "Note 12. Income Taxes" of the Notes to our Consolidated Financial Statements included in this Form 10-K for further information.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April 29, 2023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Dollar Change</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42,059</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5,996</w:t>
            </w: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21,144</w:t>
            </w: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in) provided by operating activities: </w:t>
      </w:r>
      <w:r>
        <w:rPr>
          <w:rFonts w:ascii="Arial" w:cs="Arial" w:eastAsia="Arial" w:hAnsi="Arial"/>
          <w:sz w:val="17"/>
          <w:szCs w:val="17"/>
          <w:color w:val="auto"/>
        </w:rPr>
        <w:t>Net cash provided by operating activities was $15.0 million for fiscal 2023 compared to $27.0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used in operating activities in fiscal 2022. The $42.0 million increase in cash provided by operating activities was primarily the result of changes in net operating assets and liabilities and an increase of $6.2 million in net income. For specific quantitative changes in operating assets and liabilities, see "Note 13. Cash Flow Information" of the Notes to our Consolidated Financial Statements included in this Form 10-K.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totaled $25.4 million for fiscal 2023 compared to $31.4 million in fiscal 2022.</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totaled $25.4 million in fiscal 2023 compared to $20.4 million in fiscal 2022. Proceeds from the sales of property and equipment totaled $0.8 million in fiscal 2023 compared to $0.9 million in fiscal 2022. Purchases of marketable securities totaled $4.0 million in fiscal 2022 compared to the sale of $3.5 million of marketable securities in fiscal 2023.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in) provided by financing activities: </w:t>
      </w:r>
      <w:r>
        <w:rPr>
          <w:rFonts w:ascii="Arial" w:cs="Arial" w:eastAsia="Arial" w:hAnsi="Arial"/>
          <w:sz w:val="18"/>
          <w:szCs w:val="18"/>
          <w:color w:val="auto"/>
        </w:rPr>
        <w:t>Net cash provided by financing activities was $17.6 million for fiscal 2023 due to draws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 bank line of credit compared to $3.6 million of net cash used by financing activities for other investing activities in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and Capital Resources Discussion: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April 29, 2023, we had $17.8 million borrowed under a previous bank line of credit. Subsequent to the end of the 2023 fiscal year, we paid off and terminated that credit line on May 11, 2023 after closing on a $75.0 million senior credit facility (the "Credit Facility") and the sale of a $25.0 million senior secured convertible note (the "Convertible Note"). The Credit Facility consists of a $60.0 million asset-based revolving credit facility (the "ABL") maturing on May 11. 2026, secured by first priority lien on the Company's assets and which is subject to certain factors which can impact our borrowing capacity, and a $15.0 million delayed draw loan (the "Mortgage") secured by our Brookings, South Dakota real estate. The ABL and Mortgage are evidenced by a Credit Agreement dated as of May 11, 2023 (the "Credit Agreement") between the Company and JPMorgan Chase Bank, N.A., as the lender.</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ABL, certain factors can impact our borrowing capacity. As of May 11, 2023, our borrowing capacity was $47.5 million and there were no borrowings outstanding. The interest rate on the ABL is set on a sliding scale based on the trailing twelve month fixed charge coverage and ranges from 2.5 percent to 3.5 percent over the standard overnight financing rate (SOFR). The ABL is secured by a first priority lien on the Company's assets described in the Credit Agreement and the Pledge and Security Agreement dated as of May 11, 2023 by and among the Company, Daktronics Installation, Inc. and the JPMorgan Chase Bank, N.A.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$15.0 million delayed draw on the Mortgage closed on July 7, 2023, is secured by a mortgage on the Company's Brookings, South Dakota real estate, amortizes over 10 years and is payable monthly. The Mortgage is subject to the terms of the Credit Agreement and matures on May 11, 2026. The Mortgage interest rate is set on a sliding scale based on the trailing twelve month fixed charge coverage ratio and ranges between 3.5 percent to 4.5 percent..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11, 2023, the Company entered into a Securities Purchase Agreement (the "Securities Purchase Agreement") with Alta Fox Opportunities Fund, LP (the “Investor”) under which the Company agreed to sell and issue to the Investor its senior secured Convertible Note in exchange for the payment by the Investor to the Company of $25.0 million. The Convertible Note allows the Investor and any of the Investor’s permitted transferees, donees, pledgees, assignees or successors-in-interest (collectively, the “Selling Shareholders”) to convert all or any portion of the principal amount of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Price”).The Company also has a forced conversion right, which is exercisable on the occurrence of certain conditions set forth in the Convertible Note, pursuant to which it can cause all or any portion of the outstanding and unpaid Conversion Amount to be converted into shares of common stock at the Conversion Price. The Convertible Note incurs interest at an annual rate of 9.0 percent when interest is paid in cash or an annual rate of 10.0 percent if interest is capitalized. Upon an event of default under the Convertible Note, the annual interest rate will increase to 12.0 percent. Under the Pledge and Security Agreement dated as of May 11, 2023 between the Company and the Investor, the Convertible Note is secured by a second priority lien on assets securing the ABL facility and a first priority lien on substantially all of the other assets of the Company, excluding all real property, subject to the Intercreditor Agreement dated as of May 11, 2023 by and among the Company, JPMorgan Chase Bank, N.A., and the Investor. The Convertible Note has a maturity date of May 11, 2027 (the “Maturity Date”). On the Maturity Date, the Company must pay to the Investor and any Selling Shareholders an amount in cash representing all outstanding principal, any accrued and unpaid interest, and any accrued and unpaid late charges on such principal and interest. We expect annual cash usage for interest of up to $2.3 million.</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on May 11, 2023, in connection with the Company’s entry into the Securities Purchase Agreement, the Company also entered into a Registration Rights Agreement with the Investor (the “Registration Rights Agreement”). Pursuant to the Registration Rights Agreement, the Company agreed to file with the SEC by the dates set forth in the Registration Rights Agreement a registration statement covering the resale of the shares of common stock issuable upon conversion of the Convertible Note. Pursuant to the Registration Rights Agreement, the Company is required to use reasonable best efforts to have such registration statement declared effective by the SEC by the dates set forth in the Registration Rights Agreement. If the registration statement is not filed with the SEC or declared effective by the SEC on a timely basis, certain penalties would be applicable to the Company.</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and the Convertible Note require a fixed charged coverage ratio of greater than 1.1 and include other customary non-financial covenants. We expect to be in compliance with these covenants for the foreseeable future. Refer to "Note 17. Subsequent Events" of the Notes to our Consolidated Financial Statements included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 balances consist of high-quality, short-term money market instruments.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Working capital was $132.5 million and $103.9 million as of April 29, 2023 and April 30, 2022, respectively. The changes in working capital, particularly changes in inventory, accounts payable, accounts receivable, contract assets and liabilities, are impacted by the sports market and construction seasonality. These changes can have a significant impact on the amount of net cash provided by or used in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 flows.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growth and profitability improvement strategies depend on investments in capital expenditures and strategic investments. We are projecting total capital expenditures to be approximately $19.0 million for fiscal 2024.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We also evaluated and may make strategic investments in new technologies or in our affiliates or acquire companies aligned with our business strategy.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$10.4 million of retainage on long-term contracts included in receivables and contract assets as of April 29, 2023, which has an impact on our liquidity. We expect to collect these amounts within one year.</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sometimes required to obtain performance bonds for display installations, and we have bonding capacity available through surety companies for an aggregate of $165.0 million in bonded work outstanding. If we were unable to complete the installation work, and our customer would call upon the bond for payment, the surety company would subrogate its loss to Daktronics. As of April 29, 2023, we had $56.4 million of bonded work outstanding.</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and compliant capital structure in light of the cyclicality of business,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 return excess cash over time to shareholders through dividends and share repurchases. During fiscal year 2023, we did not repurchase shares of common stock, and we did not pay a dividend.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cash on hand, funds generated from operations, and the borrowing capacity available under our Credit Facility and other debt instruments will be sufficient to support our expected change in working capital, capital expenditures, strategic investments, and financing payments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could be affected by factors such as changes in foreign currency rates or weak economic conditions in foreign markets. We derive net sales in United States dollars and other currencies including Canadian dollars, Euros, Chinese renminbi, British pounds, Australian dollars, or other currencies. For fiscal 2023, 12.3 percent of net sales were derived in currencies other than United States dollars. We incur expenses in currencies other than United States dollars relating to specific contracts with customers and for our operations outside the United States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believe currency risk in any foreign location or with respect to specific sales or purchase transaction is significant, we utilize foreign exchange hedging contracts to manage our exposure to the currency fluctuations. The notional amount of the foreign currency agreements as of April 29, 2023 was $7.8 million, and all contracts mature within six months. These contracts are marked to market each balance sheet date and are not designated as hedges. See "Note 15. Derivative Financial Instruments" of the Notes to our Consolidated Financial Statements included in this Form 10-K for further details. We estimate that a 10 percent change in all foreign exchange rates would impact our reported income before taxes by approximately $0.4 million. This sensitivity analysis disregards the possibilities that rates can move in opposite directions and that losses from one geographic area may be offset by gains from another geographic area.</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United States dollar. To the extent we engage in international sales denominated in United States dollars, an increase in the value of the United States dollar relative to foreign currencies could make our products less competitive in international markets. This effect is also impacted by sources of raw materials from international sources and costs of our sales, service, and manufacturing locations outside the United States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cash accounts to operate our global business. These accounts are impacted by changes in foreign currency rates. Of our $24.0 million in cash balances as of April 29, 2023, $15.9 million were denominated in United States dollars, of which $1.3 million were held by our foreign subsidiaries. As of April 29, 2023, we had an additional $8.1 million in cash balances denominated in foreign currencies, of which $7.7 million were maintained in accounts of our foreign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risks relate primarily to changes in interest rates on our financing agreements, cash, and marketable securities. We do not expect our income or cash flows to be significantly impacted by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dependent on basic raw materials, sub-assemblies, components, and other supplies used in our production operations. Our financial results have been and could continue to be affected by changes in the availability, prices, and global tariff regulation of these materials. Some of these materials are sourced from one or a limited number of suppliers in countries around the world.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unavailable supplies. As a result, we may not be able to acquire key production materials on a timely basis, which could adversely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Daktronics, Inc. and subsidiaries (the "Company") as of April 29, 2023 and April 30, 2022, the related consolidated statements of operations, comprehensive income/ (loss), shareholders' equity, and cash flows, for each of the three years in the period ended April 29, 2023, and the related notes (collectively referred to as the "financial statements"). In our opinion, the financial statements present fairly, in all material respects, the financial position of the Company as of April 29, 2023 and April 30, 2022, and the results of its operations and its cash flows for each of the three years in the period ended April 29, 2023, in conformity with accounting principles generally accepted in the United States of America.</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April 29, 2023, based on criteria established in Internal Control — Integrated Framework (2013) issued by the Committee of Sponsoring Organizations of the Treadway Commission and our report dated July 12, 2023, expressed an adverse opinion on the Company's internal control over financial reporting because of a material weakness.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r>
        <w:rPr>
          <w:rFonts w:ascii="Arial" w:cs="Arial" w:eastAsia="Arial" w:hAnsi="Arial"/>
          <w:sz w:val="19"/>
          <w:szCs w:val="19"/>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Uniquely Configured Contracts — Refer to Notes 1 and 2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recognizes revenue as its contractual performance obligations are satisfied, which may be at a point in time or over time. Certain of the Company’s contracts are for the delivery, installation, and integration of uniquely configured audio-visual communication systems. Revenue for these uniquely configured systems is recognized over time using the cost incurred input method. This input method requires management to make estimates of the costs that will ultimately be incurred at the completion of each contract. Revenue is recognized based on the transaction price and the percentage of cost incurred as of the balance sheet date in relation to the total estimated inputs at completion.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revenue associated with uniquely configured contracts as a critical audit matter because of the significant judgments necessary for management to estimate total costs to be incurred to recognize revenue under these contracts. Changes in estimated costs could have a significant impact on the timing and amount of revenue recognized. This required an increased level of auditor judgment due to the complexity of uniquely configured contracts and extent of effort when performing audit procedures to audit management’s estimate of total costs and evaluating the reasonableness of the underlying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estimates of total cost used to recognize revenue for uniquely configured contracts included the following, among others:</w:t>
      </w:r>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tested the effectiveness of controls over uniquely configured contracts, including management’s controls over the estimates of total costs.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selected a sample of uniquely configured contracts and performed the following: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Compared costs incurred to date to the costs management estimated to be incurred to date.</w:t>
      </w:r>
    </w:p>
    <w:p>
      <w:pPr>
        <w:spacing w:after="0" w:line="225"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management’s ability to achieve the estimates of total cost by performing corroborating inquiries with the Company’s project managers and engineers, and compared the estimates to management’s work plans, engineering specifications, and supplier contracts.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Confirmed contractual terms with third parties.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Tested the mathematical accuracy of management’s estimate of total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total costs by comparing actual costs to management’s historical estimates for uniquely configured contracts that have been fulfilled.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9" w:lineRule="auto"/>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July 12,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April 29,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April 30, 2022</w:t>
            </w:r>
          </w:p>
        </w:tc>
      </w:tr>
      <w:tr>
        <w:trPr>
          <w:trHeight w:val="26"/>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23,982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17,143</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Marketable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4,020</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109,979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101,099</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149,448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134,392</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Contract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46,789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41,687</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receivables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2,798</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14,963</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1"/>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 receivables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184"/>
        </w:trPr>
        <w:tc>
          <w:tcPr>
            <w:tcW w:w="8160" w:type="dxa"/>
            <w:vAlign w:val="bottom"/>
            <w:tcBorders>
              <w:top w:val="single" w:sz="8" w:color="CCEEFF"/>
            </w:tcBorders>
          </w:tcPr>
          <w:p>
            <w:pPr>
              <w:ind w:left="680"/>
              <w:spacing w:after="0"/>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342,657</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317,570</w:t>
            </w:r>
          </w:p>
        </w:tc>
      </w:tr>
      <w:tr>
        <w:trPr>
          <w:trHeight w:val="26"/>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72,147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66,765</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Long-term receivables, less current maturities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1,490</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7,927</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Intangibles,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1,472</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Debt issuance costs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Investment in affiliates and other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32,321</w:t>
            </w: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13,331</w:t>
            </w:r>
          </w:p>
        </w:tc>
      </w:tr>
      <w:tr>
        <w:trPr>
          <w:trHeight w:val="39"/>
        </w:trPr>
        <w:tc>
          <w:tcPr>
            <w:tcW w:w="8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468,104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440,876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67,522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76,313</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Contract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91,549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90,393</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34,959</w:t>
            </w:r>
          </w:p>
        </w:tc>
      </w:tr>
      <w:tr>
        <w:trPr>
          <w:trHeight w:val="190"/>
        </w:trPr>
        <w:tc>
          <w:tcPr>
            <w:tcW w:w="8160" w:type="dxa"/>
            <w:vAlign w:val="bottom"/>
          </w:tcPr>
          <w:p>
            <w:pPr>
              <w:ind w:left="360"/>
              <w:spacing w:after="0"/>
              <w:rPr>
                <w:sz w:val="20"/>
                <w:szCs w:val="20"/>
                <w:color w:val="auto"/>
              </w:rPr>
            </w:pPr>
            <w:r>
              <w:rPr>
                <w:rFonts w:ascii="Arial" w:cs="Arial" w:eastAsia="Arial" w:hAnsi="Arial"/>
                <w:sz w:val="14"/>
                <w:szCs w:val="14"/>
                <w:color w:val="auto"/>
              </w:rPr>
              <w:t>Warranty obligations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12,228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11,621</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184"/>
        </w:trPr>
        <w:tc>
          <w:tcPr>
            <w:tcW w:w="816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210,163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213,694</w:t>
            </w:r>
          </w:p>
        </w:tc>
      </w:tr>
      <w:tr>
        <w:trPr>
          <w:trHeight w:val="25"/>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8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Long-term warranty obligations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20,313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17,257</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Long-term contract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10,998</w:t>
            </w: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Other long-term obligations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7,076</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39"/>
        </w:trPr>
        <w:tc>
          <w:tcPr>
            <w:tcW w:w="8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long-term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57,063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35,618</w:t>
            </w:r>
          </w:p>
        </w:tc>
      </w:tr>
      <w:tr>
        <w:trPr>
          <w:trHeight w:val="209"/>
        </w:trPr>
        <w:tc>
          <w:tcPr>
            <w:tcW w:w="8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Preferred Shares, no par value, authorized 50,000 shares; no shares issued and outstanding</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4"/>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7"/>
              </w:rPr>
              <w:t>Common stock, no par value, authorized 115,000,000 shares; 45,488,595 and 44,826,099 shares issued as of April 29, 2023 and</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61,794</w:t>
            </w:r>
          </w:p>
        </w:tc>
      </w:tr>
      <w:tr>
        <w:trPr>
          <w:trHeight w:val="201"/>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April 30, 2022,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50,259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48,372</w:t>
            </w: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103,410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96,608</w:t>
            </w: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Treasury stock, at cost, 1,907,445 shares as of April 29, 2023 and April 30, 2022, respectively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(10,285)</w:t>
            </w:r>
          </w:p>
        </w:tc>
      </w:tr>
      <w:tr>
        <w:trPr>
          <w:trHeight w:val="25"/>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(4,925)</w:t>
            </w:r>
          </w:p>
        </w:tc>
      </w:tr>
      <w:tr>
        <w:trPr>
          <w:trHeight w:val="184"/>
        </w:trPr>
        <w:tc>
          <w:tcPr>
            <w:tcW w:w="8160" w:type="dxa"/>
            <w:vAlign w:val="bottom"/>
          </w:tcPr>
          <w:p>
            <w:pPr>
              <w:ind w:left="20"/>
              <w:spacing w:after="0"/>
              <w:rPr>
                <w:sz w:val="20"/>
                <w:szCs w:val="20"/>
                <w:color w:val="auto"/>
              </w:rPr>
            </w:pPr>
            <w:r>
              <w:rPr>
                <w:rFonts w:ascii="Arial" w:cs="Arial" w:eastAsia="Arial" w:hAnsi="Arial"/>
                <w:sz w:val="14"/>
                <w:szCs w:val="14"/>
                <w:color w:val="auto"/>
              </w:rPr>
              <w:t>TOTAL SHAREHOLDERS' EQUITY</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200,878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191,564</w:t>
            </w:r>
          </w:p>
        </w:tc>
      </w:tr>
      <w:tr>
        <w:trPr>
          <w:trHeight w:val="25"/>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468,104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440,876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028"/>
        </w:trPr>
        <w:tc>
          <w:tcPr>
            <w:tcW w:w="128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424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9"/>
              </w:rPr>
              <w:t>DAKTRONICS, INC. AND SUBSIDIARIES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4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(in thousands, except per share data)</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April 29, 2023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7"/>
        </w:trPr>
        <w:tc>
          <w:tcPr>
            <w:tcW w:w="3140" w:type="dxa"/>
            <w:vAlign w:val="bottom"/>
            <w:tcBorders>
              <w:bottom w:val="single" w:sz="8" w:color="CCEEFF"/>
            </w:tcBorders>
            <w:gridSpan w:val="2"/>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2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754,196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482,033</w:t>
            </w:r>
          </w:p>
        </w:tc>
      </w:tr>
      <w:tr>
        <w:trPr>
          <w:trHeight w:val="25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34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602,841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494,273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361,450</w:t>
            </w:r>
          </w:p>
        </w:tc>
      </w:tr>
      <w:tr>
        <w:trPr>
          <w:trHeight w:val="257"/>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3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151,355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120,583</w:t>
            </w:r>
          </w:p>
        </w:tc>
      </w:tr>
      <w:tr>
        <w:trPr>
          <w:trHeight w:val="257"/>
        </w:trPr>
        <w:tc>
          <w:tcPr>
            <w:tcW w:w="3140" w:type="dxa"/>
            <w:vAlign w:val="bottom"/>
            <w:gridSpan w:val="2"/>
          </w:tcPr>
          <w:p>
            <w:pPr>
              <w:spacing w:after="0"/>
              <w:rPr>
                <w:sz w:val="22"/>
                <w:szCs w:val="22"/>
                <w:color w:val="auto"/>
              </w:rPr>
            </w:pPr>
          </w:p>
        </w:tc>
        <w:tc>
          <w:tcPr>
            <w:tcW w:w="3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5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Selling</w:t>
            </w:r>
          </w:p>
        </w:tc>
        <w:tc>
          <w:tcPr>
            <w:tcW w:w="3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48,649</w:t>
            </w:r>
          </w:p>
        </w:tc>
      </w:tr>
      <w:tr>
        <w:trPr>
          <w:trHeight w:val="263"/>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27,980</w:t>
            </w:r>
          </w:p>
        </w:tc>
      </w:tr>
      <w:tr>
        <w:trPr>
          <w:trHeight w:val="25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Product design and development</w:t>
            </w:r>
          </w:p>
        </w:tc>
        <w:tc>
          <w:tcPr>
            <w:tcW w:w="3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26,846</w:t>
            </w:r>
          </w:p>
        </w:tc>
      </w:tr>
      <w:tr>
        <w:trPr>
          <w:trHeight w:val="263"/>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Goodwill impairment</w:t>
            </w:r>
          </w:p>
        </w:tc>
        <w:tc>
          <w:tcPr>
            <w:tcW w:w="3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129,967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112,651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103,475</w:t>
            </w:r>
          </w:p>
        </w:tc>
      </w:tr>
      <w:tr>
        <w:trPr>
          <w:trHeight w:val="27"/>
        </w:trPr>
        <w:tc>
          <w:tcPr>
            <w:tcW w:w="3140" w:type="dxa"/>
            <w:vAlign w:val="bottom"/>
            <w:tcBorders>
              <w:bottom w:val="single" w:sz="8" w:color="CCEEFF"/>
            </w:tcBorders>
            <w:gridSpan w:val="2"/>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w:t>
            </w:r>
          </w:p>
        </w:tc>
        <w:tc>
          <w:tcPr>
            <w:tcW w:w="3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17,108</w:t>
            </w:r>
          </w:p>
        </w:tc>
      </w:tr>
      <w:tr>
        <w:trPr>
          <w:trHeight w:val="257"/>
        </w:trPr>
        <w:tc>
          <w:tcPr>
            <w:tcW w:w="3140" w:type="dxa"/>
            <w:vAlign w:val="bottom"/>
            <w:gridSpan w:val="2"/>
          </w:tcPr>
          <w:p>
            <w:pPr>
              <w:spacing w:after="0"/>
              <w:rPr>
                <w:sz w:val="22"/>
                <w:szCs w:val="22"/>
                <w:color w:val="auto"/>
              </w:rPr>
            </w:pPr>
          </w:p>
        </w:tc>
        <w:tc>
          <w:tcPr>
            <w:tcW w:w="3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3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Interest (expense) income, net</w:t>
            </w:r>
          </w:p>
        </w:tc>
        <w:tc>
          <w:tcPr>
            <w:tcW w:w="3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3"/>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3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r>
      <w:tr>
        <w:trPr>
          <w:trHeight w:val="264"/>
        </w:trPr>
        <w:tc>
          <w:tcPr>
            <w:tcW w:w="3140" w:type="dxa"/>
            <w:vAlign w:val="bottom"/>
            <w:gridSpan w:val="2"/>
          </w:tcPr>
          <w:p>
            <w:pPr>
              <w:spacing w:after="0"/>
              <w:rPr>
                <w:sz w:val="22"/>
                <w:szCs w:val="22"/>
                <w:color w:val="auto"/>
              </w:rPr>
            </w:pPr>
          </w:p>
        </w:tc>
        <w:tc>
          <w:tcPr>
            <w:tcW w:w="3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3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w:t>
            </w:r>
          </w:p>
        </w:tc>
      </w:tr>
      <w:tr>
        <w:trPr>
          <w:trHeight w:val="25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34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w:t>
            </w:r>
          </w:p>
        </w:tc>
      </w:tr>
      <w:tr>
        <w:trPr>
          <w:trHeight w:val="276"/>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42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r>
      <w:tr>
        <w:trPr>
          <w:trHeight w:val="20"/>
        </w:trPr>
        <w:tc>
          <w:tcPr>
            <w:tcW w:w="3140" w:type="dxa"/>
            <w:vAlign w:val="bottom"/>
            <w:tcBorders>
              <w:top w:val="single" w:sz="8" w:color="CCEEFF"/>
            </w:tcBorders>
            <w:gridSpan w:val="2"/>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5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44,989</w:t>
            </w:r>
          </w:p>
        </w:tc>
      </w:tr>
      <w:tr>
        <w:trPr>
          <w:trHeight w:val="263"/>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45,202</w:t>
            </w:r>
          </w:p>
        </w:tc>
      </w:tr>
      <w:tr>
        <w:trPr>
          <w:trHeight w:val="270"/>
        </w:trPr>
        <w:tc>
          <w:tcPr>
            <w:tcW w:w="3140" w:type="dxa"/>
            <w:vAlign w:val="bottom"/>
            <w:gridSpan w:val="2"/>
          </w:tcPr>
          <w:p>
            <w:pPr>
              <w:spacing w:after="0"/>
              <w:rPr>
                <w:sz w:val="23"/>
                <w:szCs w:val="23"/>
                <w:color w:val="auto"/>
              </w:rPr>
            </w:pPr>
          </w:p>
        </w:tc>
        <w:tc>
          <w:tcPr>
            <w:tcW w:w="3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7"/>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460" w:type="dxa"/>
            <w:vAlign w:val="bottom"/>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57"/>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6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DAKTRONICS, INC. AND SUBSIDIARIES CONSOLIDATED STATEMENTS OF COMPREHENSIVE INCOME/(LOSS) </w:t>
      </w:r>
      <w:r>
        <w:rPr>
          <w:rFonts w:ascii="Arial" w:cs="Arial" w:eastAsia="Arial" w:hAnsi="Arial"/>
          <w:sz w:val="18"/>
          <w:szCs w:val="18"/>
          <w:color w:val="auto"/>
        </w:rPr>
        <w:t>(in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43"/>
        </w:trPr>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29, 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r>
      <w:tr>
        <w:trPr>
          <w:trHeight w:val="270"/>
        </w:trPr>
        <w:tc>
          <w:tcPr>
            <w:tcW w:w="6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3"/>
        </w:trPr>
        <w:tc>
          <w:tcPr>
            <w:tcW w:w="6600" w:type="dxa"/>
            <w:vAlign w:val="bottom"/>
          </w:tcPr>
          <w:p>
            <w:pPr>
              <w:ind w:left="360"/>
              <w:spacing w:after="0"/>
              <w:rPr>
                <w:sz w:val="20"/>
                <w:szCs w:val="20"/>
                <w:color w:val="auto"/>
              </w:rPr>
            </w:pPr>
            <w:r>
              <w:rPr>
                <w:rFonts w:ascii="Arial" w:cs="Arial" w:eastAsia="Arial" w:hAnsi="Arial"/>
                <w:sz w:val="18"/>
                <w:szCs w:val="18"/>
                <w:color w:val="auto"/>
              </w:rPr>
              <w:t>Cumulative translation adjustments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57"/>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 net of tax</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Total other comprehensive (loss) income, net of tax</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Common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Retained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Treasury</w:t>
            </w:r>
          </w:p>
        </w:tc>
        <w:tc>
          <w:tcPr>
            <w:tcW w:w="120" w:type="dxa"/>
            <w:vAlign w:val="bottom"/>
          </w:tcPr>
          <w:p>
            <w:pPr>
              <w:spacing w:after="0"/>
              <w:rPr>
                <w:sz w:val="18"/>
                <w:szCs w:val="18"/>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Accumulated Other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3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Earnings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Comprehensive Loss</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5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May 2,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7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176,980</w:t>
            </w:r>
          </w:p>
        </w:tc>
      </w:tr>
      <w:tr>
        <w:trPr>
          <w:trHeight w:val="250"/>
        </w:trPr>
        <w:tc>
          <w:tcPr>
            <w:tcW w:w="32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10,926</w:t>
            </w:r>
          </w:p>
        </w:tc>
      </w:tr>
      <w:tr>
        <w:trPr>
          <w:trHeight w:val="277"/>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r>
      <w:tr>
        <w:trPr>
          <w:trHeight w:val="263"/>
        </w:trPr>
        <w:tc>
          <w:tcPr>
            <w:tcW w:w="32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77"/>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Tax payments related to RSU issuances</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63"/>
        </w:trPr>
        <w:tc>
          <w:tcPr>
            <w:tcW w:w="3280" w:type="dxa"/>
            <w:vAlign w:val="bottom"/>
          </w:tcPr>
          <w:p>
            <w:pPr>
              <w:ind w:left="360"/>
              <w:spacing w:after="0"/>
              <w:rPr>
                <w:sz w:val="20"/>
                <w:szCs w:val="20"/>
                <w:color w:val="auto"/>
              </w:rPr>
            </w:pPr>
            <w:r>
              <w:rPr>
                <w:rFonts w:ascii="Arial" w:cs="Arial" w:eastAsia="Arial" w:hAnsi="Arial"/>
                <w:sz w:val="18"/>
                <w:szCs w:val="18"/>
                <w:color w:val="auto"/>
              </w:rPr>
              <w:t>Employee savings plan activity</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7"/>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reissued</w:t>
            </w: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as of May 1, 2021: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96,016</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193,554</w:t>
            </w:r>
          </w:p>
        </w:tc>
      </w:tr>
      <w:tr>
        <w:trPr>
          <w:trHeight w:val="250"/>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3280" w:type="dxa"/>
            <w:vAlign w:val="bottom"/>
          </w:tcPr>
          <w:p>
            <w:pPr>
              <w:ind w:left="36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(2,556)</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Unrealized gain (loss) on available-for-</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 securities,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2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280" w:type="dxa"/>
            <w:vAlign w:val="bottom"/>
          </w:tcPr>
          <w:p>
            <w:pPr>
              <w:ind w:left="360"/>
              <w:spacing w:after="0"/>
              <w:rPr>
                <w:sz w:val="20"/>
                <w:szCs w:val="20"/>
                <w:color w:val="auto"/>
              </w:rPr>
            </w:pPr>
            <w:r>
              <w:rPr>
                <w:rFonts w:ascii="Arial" w:cs="Arial" w:eastAsia="Arial" w:hAnsi="Arial"/>
                <w:sz w:val="18"/>
                <w:szCs w:val="18"/>
                <w:color w:val="auto"/>
                <w:w w:val="90"/>
              </w:rPr>
              <w:t>Tax payments related to RSU issuances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savings plan activity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50"/>
        </w:trPr>
        <w:tc>
          <w:tcPr>
            <w:tcW w:w="3280" w:type="dxa"/>
            <w:vAlign w:val="bottom"/>
          </w:tcPr>
          <w:p>
            <w:pPr>
              <w:ind w:left="360"/>
              <w:spacing w:after="0"/>
              <w:rPr>
                <w:sz w:val="20"/>
                <w:szCs w:val="20"/>
                <w:color w:val="auto"/>
              </w:rPr>
            </w:pPr>
            <w:r>
              <w:rPr>
                <w:rFonts w:ascii="Arial" w:cs="Arial" w:eastAsia="Arial" w:hAnsi="Arial"/>
                <w:sz w:val="18"/>
                <w:szCs w:val="18"/>
                <w:color w:val="auto"/>
              </w:rPr>
              <w:t>Treasury stock purchase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63"/>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reissued</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as of April 30, 2022:</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96,608</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191,564</w:t>
            </w:r>
          </w:p>
        </w:tc>
      </w:tr>
      <w:tr>
        <w:trPr>
          <w:trHeight w:val="250"/>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r>
      <w:tr>
        <w:trPr>
          <w:trHeight w:val="243"/>
        </w:trPr>
        <w:tc>
          <w:tcPr>
            <w:tcW w:w="3280" w:type="dxa"/>
            <w:vAlign w:val="bottom"/>
          </w:tcPr>
          <w:p>
            <w:pPr>
              <w:ind w:left="36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Unrealized gain (loss) on available-for-</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 securities,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2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3280" w:type="dxa"/>
            <w:vAlign w:val="bottom"/>
          </w:tcPr>
          <w:p>
            <w:pPr>
              <w:ind w:left="360"/>
              <w:spacing w:after="0"/>
              <w:rPr>
                <w:sz w:val="20"/>
                <w:szCs w:val="20"/>
                <w:color w:val="auto"/>
              </w:rPr>
            </w:pPr>
            <w:r>
              <w:rPr>
                <w:rFonts w:ascii="Arial" w:cs="Arial" w:eastAsia="Arial" w:hAnsi="Arial"/>
                <w:sz w:val="18"/>
                <w:szCs w:val="18"/>
                <w:color w:val="auto"/>
                <w:w w:val="90"/>
              </w:rPr>
              <w:t>Tax payments related to RSU issuances</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6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savings plan activity</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as of April 29,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63,023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50,259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103,410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(10,285)</w:t>
            </w:r>
          </w:p>
        </w:tc>
        <w:tc>
          <w:tcPr>
            <w:tcW w:w="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200,878</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43"/>
        </w:trPr>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29, 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30, 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6,802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10,926</w:t>
            </w: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5"/>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(used) by operating</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17,077</w:t>
            </w:r>
          </w:p>
        </w:tc>
      </w:tr>
      <w:tr>
        <w:trPr>
          <w:trHeight w:val="26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property, equipment and other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57"/>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Equity in loss of affiliates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Provision (recovery) for credit losses accounts,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1,299</w:t>
            </w:r>
          </w:p>
        </w:tc>
      </w:tr>
      <w:tr>
        <w:trPr>
          <w:trHeight w:val="26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Non-cash impairment changes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31,731</w:t>
            </w:r>
          </w:p>
        </w:tc>
      </w:tr>
      <w:tr>
        <w:trPr>
          <w:trHeight w:val="243"/>
        </w:trPr>
        <w:tc>
          <w:tcPr>
            <w:tcW w:w="6600" w:type="dxa"/>
            <w:vAlign w:val="bottom"/>
          </w:tcPr>
          <w:p>
            <w:pPr>
              <w:ind w:left="10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66,212</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2"/>
        </w:trPr>
        <w:tc>
          <w:tcPr>
            <w:tcW w:w="6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243"/>
        </w:trPr>
        <w:tc>
          <w:tcPr>
            <w:tcW w:w="6600" w:type="dxa"/>
            <w:vAlign w:val="bottom"/>
          </w:tcPr>
          <w:p>
            <w:pPr>
              <w:ind w:left="680"/>
              <w:spacing w:after="0"/>
              <w:rPr>
                <w:sz w:val="20"/>
                <w:szCs w:val="20"/>
                <w:color w:val="auto"/>
              </w:rPr>
            </w:pPr>
            <w:r>
              <w:rPr>
                <w:rFonts w:ascii="Arial" w:cs="Arial" w:eastAsia="Arial" w:hAnsi="Arial"/>
                <w:sz w:val="18"/>
                <w:szCs w:val="18"/>
                <w:color w:val="auto"/>
              </w:rPr>
              <w:t>Proceeds from sales of property, equipment and other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Proceeds from sales or maturities of marketable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57"/>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Purchases of equity and loans to equity investees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r>
      <w:tr>
        <w:trPr>
          <w:trHeight w:val="250"/>
        </w:trPr>
        <w:tc>
          <w:tcPr>
            <w:tcW w:w="6600" w:type="dxa"/>
            <w:vAlign w:val="bottom"/>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w:t>
            </w:r>
          </w:p>
        </w:tc>
      </w:tr>
      <w:tr>
        <w:trPr>
          <w:trHeight w:val="162"/>
        </w:trPr>
        <w:tc>
          <w:tcPr>
            <w:tcW w:w="6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notes payable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Payments on notes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(360,944)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Borrowings on long-term obligations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Principal payments on long-term obligations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Payments for common shares repurchased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680"/>
              <w:spacing w:after="0"/>
              <w:rPr>
                <w:sz w:val="20"/>
                <w:szCs w:val="20"/>
                <w:color w:val="auto"/>
              </w:rPr>
            </w:pPr>
            <w:r>
              <w:rPr>
                <w:rFonts w:ascii="Arial" w:cs="Arial" w:eastAsia="Arial" w:hAnsi="Arial"/>
                <w:sz w:val="18"/>
                <w:szCs w:val="18"/>
                <w:color w:val="auto"/>
              </w:rPr>
              <w:t>Tax payments related to RSU issuances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w:t>
            </w:r>
          </w:p>
        </w:tc>
      </w:tr>
      <w:tr>
        <w:trPr>
          <w:trHeight w:val="24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INCREASE (DECREASE) IN CASH, CASH EQUIVALENTS AND RESTRICTED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39,990</w:t>
            </w: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155"/>
        </w:trPr>
        <w:tc>
          <w:tcPr>
            <w:tcW w:w="6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6600" w:type="dxa"/>
            <w:vAlign w:val="bottom"/>
          </w:tcPr>
          <w:p>
            <w:pPr>
              <w:ind w:left="68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40,412</w:t>
            </w:r>
          </w:p>
        </w:tc>
      </w:tr>
      <w:tr>
        <w:trPr>
          <w:trHeight w:val="270"/>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We operate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years ended April 29, 2023, April 30, 2022 and May 1, 2021 contained operating results for 52 weeks.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xml:space="preserve">: The consolidated financial statements include Daktronics, Inc. and its subsidiaries. All intercompany accounts and transactions are eliminated in consolidation. We have a variable interest in a business where we have elected to follow the proportional consolidation method because certain criteria were met under Accounting Standards Codification ("ASC") 810, </w:t>
      </w:r>
      <w:r>
        <w:rPr>
          <w:rFonts w:ascii="Arial" w:cs="Arial" w:eastAsia="Arial" w:hAnsi="Arial"/>
          <w:sz w:val="18"/>
          <w:szCs w:val="18"/>
          <w:i w:val="1"/>
          <w:iCs w:val="1"/>
          <w:color w:val="auto"/>
        </w:rPr>
        <w:t>Consolidations</w:t>
      </w:r>
      <w:r>
        <w:rPr>
          <w:rFonts w:ascii="Arial" w:cs="Arial" w:eastAsia="Arial" w:hAnsi="Arial"/>
          <w:sz w:val="18"/>
          <w:szCs w:val="18"/>
          <w:color w:val="auto"/>
        </w:rPr>
        <w:t>.</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an arrangement we concluded was a variable interest entity and accounted for it under the proportional consolidation method. This arrangement had an aggregate amount of contract assets and gross profit of $5,223 and $2,748 respectively, as of and for the year ended April 29, 2023.</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Investments in affiliates</w:t>
      </w:r>
      <w:r>
        <w:rPr>
          <w:rFonts w:ascii="Arial" w:cs="Arial" w:eastAsia="Arial" w:hAnsi="Arial"/>
          <w:sz w:val="18"/>
          <w:szCs w:val="18"/>
          <w:color w:val="auto"/>
        </w:rPr>
        <w:t>: We consolidate entities in which we have a controlling financial interest by first considering if an entity meets the definition of a variable interest entity ("VIE") for which we are deemed to be the primary beneficiary, or if we have the power to control an entity through a majority of voting interest or through other arrangements.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Variable Interest Entities: </w:t>
      </w:r>
      <w:r>
        <w:rPr>
          <w:rFonts w:ascii="Arial" w:cs="Arial" w:eastAsia="Arial" w:hAnsi="Arial"/>
          <w:sz w:val="17"/>
          <w:szCs w:val="17"/>
          <w:color w:val="auto"/>
        </w:rPr>
        <w:t>A VIE is an entity (i) that lacks sufficient equity to finance its activities without additional subordinated financial support from</w:t>
      </w:r>
      <w:r>
        <w:rPr>
          <w:rFonts w:ascii="Arial" w:cs="Arial" w:eastAsia="Arial" w:hAnsi="Arial"/>
          <w:sz w:val="17"/>
          <w:szCs w:val="17"/>
          <w:i w:val="1"/>
          <w:iCs w:val="1"/>
          <w:color w:val="auto"/>
        </w:rPr>
        <w:t xml:space="preserve"> </w:t>
      </w:r>
      <w:r>
        <w:rPr>
          <w:rFonts w:ascii="Arial" w:cs="Arial" w:eastAsia="Arial" w:hAnsi="Arial"/>
          <w:sz w:val="17"/>
          <w:szCs w:val="17"/>
          <w:color w:val="auto"/>
        </w:rPr>
        <w:t>other parties; (ii) whose equity holders lack the characteristics of a controlling financial interest; and/or (iii) that is established with non-substantive voting rights. A VIE is consolidated by its primary beneficiary, which is defined as the party who has a controlling financial interest in the VIE through (a) the power to direct the activities of the VIE that most significantly affect the VIE’s economic performance, and (b) the obligation to absorb losses or the right to receive benefits of the VIE that could be significant to the VIE. This assessment may involve subjectivity in the determination of which activities most significantly affect the VIE’s performance and making estimates about current and future fair value of the assets held by the VIE and financial performance of the VIE. In assessing the Company's interests in the VIE, we also consider interests held by its related parties, including de facto agents. Additionally, we assess whether it is a member of a related party group that collectively meets the power and benefits criteria and, if so, whether we are most closely associated with the VIE. In performing the related party analysis, we consider both qualitative and quantitative factors including, but not limited to: the characteristics and size of its investment relative to the related party; our and the related party's ability to control or significantly influence key decisions of the VIE, including consideration of involvement by de facto agents; the obligation or likelihood for us or the related party to fund operating losses of the VIE; and the similarity and significance of the VIE’s business activities to those of us and the related party. The determination of whether an entity is a VIE and whether we are the primary beneficiary may involve significant judgment and depends upon facts and circumstances specific to an entity at the time of the assessment.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end of each reporting period, we reassess whether changes in facts and circumstances cause a change in the status of an entity as a VIE or voting interest entity, and/or a change in our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us in the entity prior to us obtaining control will be remeasured at fair value, which may result in a gain or loss recognized upon initial consolidation. However, if the consolidation represents an asset acquisition of a voting interest entity, our existing interest in the acquired assets, if any, is not remeasured to fair value but continues to be carried at historical cost. We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the nature of our investment in affiliates of XdisplayTM company, which is developing micro-LED mass transfer expertise and technologies, and Miortech (dba Etulipa), which is developing low power outdoor electrowetting technology. We determined that Miortech is a VIE, and based on management's analysis, we determined that Daktronics is not the primary beneficiary; therefore, the investment in Miortech is accounted for under the equity method.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amount of our investments accounted for under the equity method was $11,934 and $16,916 as of April 29, 2023 and April 30, 2022, respectively. Our proportional share of the respective affiliates' earnings or losses is included in the "Other (expense) income, net" line item in our consolidated statements of operations. For the fiscal years 2023, 2022 and 2021, our share of the losses of our affiliates was $3,332, $2,970 and $2,370, respectively. In fiscal year 2023, we concluded there was an other-than-temporary impairment of our investment in Miortech and recorded an impairment loss of $4,473 to reflect the investment at fair market value (level 3). The impairment loss is included in the "Other (expense) income, net" line item in our consolidated statements of operations.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purchased services for research and development activities from our equity method investees. The total of these related party transactions for fiscal years 2023, 2022 and 2021 was $672, $1,520, and $460, respectively, which is included in the "Product design and development" line item in our consolidated statement of operations, and for fiscal 2023, $52 remains unpaid and is included in the "Accounts payable " line item in our consolidated balance sheet. Fiscal 2022 had $296 unpaid and included in the "Accounts payable" line item in our consolidated balance sheet.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2023, we invested in $3,000 of convertible notes and in $1,315 of promissory notes (collectively, "Notes") in our affiliates, which is included in the “Investment in affiliates and other assets" line item in our consolidated balance sheets. During fiscal 2023, we converted $2,823 of Notes to stock ownership. After this conversion of Notes to stock ownership, our ownership increased to 55.9 percent in Miortech. Our ownership in XdisplayTM company is 16.4 percent as of April 29, 2023. The total amount of Notes as of April 29, 2023 was $8,789 and is included in the "Investments in affiliates and other assets" line item in our consolidated balance sheets. The Notes balance combined with the investment in affiliates balance totaled $20,723 and $24,404 as of April 29, 2023 and April 30, 2022,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equity method investments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43"/>
        </w:trPr>
        <w:tc>
          <w:tcPr>
            <w:tcW w:w="6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29, 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30, 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1, 2021</w:t>
            </w:r>
          </w:p>
        </w:tc>
      </w:tr>
      <w:tr>
        <w:trPr>
          <w:trHeight w:val="27"/>
        </w:trPr>
        <w:tc>
          <w:tcPr>
            <w:tcW w:w="6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65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6,672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7,534</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2,807</w:t>
            </w: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The preparation of financial statements in conformity with accounting principles generally accepted in the United States of America ("GAAP") requires management to make estimates and assumptions affecting the reported 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estimates that are particularly susceptible to significant change in the near-term relate to the determination of the estimated total costs on uniquely configured contracts and estimated costs to be incurred for product warranties and income taxes. Estimation processes are also used in inventory valuation and determining, the allowance for credit losses, share-based compensation, goodwill impairment, investment in affiliates impairment, value of long-term assets, and extended warranty and product maintenance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Changes in estimates are reflected in the periods in which they become known.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All highly liquid investments with maturities of three months or less at the date of purchase are considered to be cash equivalents and consist primarily of government repurchase agreements, savings accounts and money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accounts that are carried at cost, which approximates fair value. We maintain our cash in bank deposit accounts, the balances of which at times may exceed federally insured limits. We have not experienced any losses in such accounts.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cash</w:t>
      </w:r>
      <w:r>
        <w:rPr>
          <w:rFonts w:ascii="Arial" w:cs="Arial" w:eastAsia="Arial" w:hAnsi="Arial"/>
          <w:sz w:val="16"/>
          <w:szCs w:val="16"/>
          <w:color w:val="auto"/>
        </w:rPr>
        <w:t>: Restricted cash consists of cash and cash equivalents held in bank deposit accounts to secure issuances of foreign bank guarantees.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totals of the same amounts shown in the consolidated statements of cash flows. Restricted cash consists of cash and cash equivalents held in bank deposit accounts to secure issuances of foreign bank guarantees.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April 29, 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Total cash, cash equivalents, and restricted cash shown in the consolidated statements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w:t>
            </w:r>
          </w:p>
        </w:tc>
        <w:tc>
          <w:tcPr>
            <w:tcW w:w="14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cash accounts to operate our global business. These accounts are impacted by changes in foreign currency rates. Of our $23,982 in cash and cash equivalents balances as of April 29, 2023, $15,895 were denominated in United States dollars, of which $1,300 were held by our foreign subsidiaries. As of April 29, 2023, we had an additional $8,087 in cash balances denominated in foreign currencies, of which $7,651 were maintained in accounts of our foreign subsidiaries.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 accordance with ASC 330</w:t>
      </w:r>
      <w:r>
        <w:rPr>
          <w:rFonts w:ascii="Arial" w:cs="Arial" w:eastAsia="Arial" w:hAnsi="Arial"/>
          <w:sz w:val="18"/>
          <w:szCs w:val="18"/>
          <w:i w:val="1"/>
          <w:iCs w:val="1"/>
          <w:color w:val="auto"/>
        </w:rPr>
        <w:t>, Inventory,</w:t>
      </w:r>
      <w:r>
        <w:rPr>
          <w:rFonts w:ascii="Arial" w:cs="Arial" w:eastAsia="Arial" w:hAnsi="Arial"/>
          <w:sz w:val="18"/>
          <w:szCs w:val="18"/>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are applied to the purchase cost of the raw materials. When we estimate net realizable value to be lower than cost, any necessary adjustments are charged to cost of sales in that period. In determining net realizable value, we review various factors such as current inventory levels, forecasted demand, costs of completion, and technological obsolescence.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Allowance for credit losses:</w:t>
      </w:r>
      <w:r>
        <w:rPr>
          <w:rFonts w:ascii="Arial" w:cs="Arial" w:eastAsia="Arial" w:hAnsi="Arial"/>
          <w:sz w:val="17"/>
          <w:szCs w:val="17"/>
          <w:color w:val="auto"/>
        </w:rPr>
        <w:t xml:space="preserve"> We make estimates regarding the collectability of our accounts receivable, long-term receivables, contract assets and other receivables. In evaluating the adequacy of our allowance for credit losses,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In addition, in accordance with ASC 326,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an allowance is maintained for estimated forward-looking losses resulting from the possible inability of customers to make required payments (current expected losses). The amount of the allowance is determined principally on the basis of past collection experience and known financial factors regarding specific customers. We charge off receivables at such time it is determined collection will not occur against the allowance for credit losses.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xml:space="preserve"> Our accounting policies and estimates are in accordance with ASC 606</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xml:space="preserve"> and are as follows: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$860 and $117 as of April 29, 2023 and April 30, 2022, respectively. These are included in the "Inventories" line item in our consolidated balance sheets.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contract inception, we identify performance obligations by reviewing the agreement for material distinct goods and services. Goods and services are distinct when the customer can benefit from them on its own and our promises to transfer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items are identifiable from other promises within the contract. When we are contracted to provide a single promise (an integrated system), we often treat it as a single performance obligation if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when the customer can benefit from distinct items, we separate the contract into multiple performance obligations. We account for extended warranties and other services ("service-type warranties") that represent a distinct service as a separate performance obligation.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 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the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6</w:t>
      </w:r>
      <w:r>
        <w:rPr>
          <w:rFonts w:ascii="Arial" w:cs="Arial" w:eastAsia="Arial" w:hAnsi="Arial"/>
          <w:sz w:val="17"/>
          <w:szCs w:val="17"/>
          <w:i w:val="1"/>
          <w:iCs w:val="1"/>
          <w:color w:val="auto"/>
        </w:rPr>
        <w:t>.</w:t>
      </w:r>
      <w:r>
        <w:rPr>
          <w:rFonts w:ascii="Arial" w:cs="Arial" w:eastAsia="Arial" w:hAnsi="Arial"/>
          <w:sz w:val="17"/>
          <w:szCs w:val="17"/>
          <w:color w:val="auto"/>
        </w:rPr>
        <w:t xml:space="preserve"> Receivables" for amounts recorded in long-term receivables.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separate performance obligations are identified, we allocate the transaction price to the individual performance obligation based on the best method we judge as a faithful depiction of the value of the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build and installation schedules and the related timing differences in transfer of control. Balances are also impacted by the seasonality in our business.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judgments and estimates are used in our revenue policies. In order to assure appropriate and consistent revenue recognition, we regularly evaluate available project related information and update estimates accordingly.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material performance obligation types include:</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Unique configuration contracts</w:t>
      </w:r>
      <w:r>
        <w:rPr>
          <w:rFonts w:ascii="Arial" w:cs="Arial" w:eastAsia="Arial" w:hAnsi="Arial"/>
          <w:sz w:val="18"/>
          <w:szCs w:val="18"/>
          <w:color w:val="auto"/>
        </w:rPr>
        <w:t>: audio-visual communication systems uniquely configured (custom) or integrated for a customer's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customers is to provide significant integration services and incorporate individual goods and services into a combined output or system. Often times, the system is customized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significantly modified to the customer's desired configurations and location, and the interrelated goods and services provide utility to the customer as a package.</w:t>
      </w:r>
    </w:p>
    <w:p>
      <w:pPr>
        <w:spacing w:after="0" w:line="170"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Revenue for uniquely configured (custom) or integrated systems is recognized over time using the cost-to-cost input method. Over time revenue recognition is appropriate because we have no alternative use for the uniquely configured system and have an enforceable right to payment for work performed. The cost-to-cost input method measures costs incurred to date compared to estimated total costs for each contract. This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6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time between contract order and project completion is typically less than 12 months but may extend longer depending on the amount of custom work and customers’ delivery needs.</w:t>
      </w:r>
    </w:p>
    <w:p>
      <w:pPr>
        <w:spacing w:after="0" w:line="17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Limited configuration (standard systems) and after-sale parts contracts</w:t>
      </w:r>
      <w:r>
        <w:rPr>
          <w:rFonts w:ascii="Arial" w:cs="Arial" w:eastAsia="Arial" w:hAnsi="Arial"/>
          <w:sz w:val="18"/>
          <w:szCs w:val="18"/>
          <w:color w:val="auto"/>
        </w:rPr>
        <w:t>: Limited configuration (standard systems) or after-sale parts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or no configuration or limited integration are recognized as distinct individual performance obligations when material. When not distinct, we combine into one performance obligation the goods and/or services with each other until the bundle of goods or services is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9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Revenue is recognized at a point in time when control passes, or over time as services are performed. When fulfilling limited configuration performance obligations, we are typically able to redirect the video displays or scoring, messaging, or audio equipment to another customer without incurring significant economic losses. Therefore, we have an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by comparing cumulative costs incurred to the total estimated costs and applying that percentage of completion to the transaction price to recognize revenue.We believe the cost-to-cost input method is the most faithful depiction of the customer obtaining control and benefits from the work performed.</w:t>
      </w:r>
    </w:p>
    <w:p>
      <w:pPr>
        <w:spacing w:after="0" w:line="192"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i w:val="1"/>
          <w:iCs w:val="1"/>
          <w:color w:val="auto"/>
        </w:rPr>
        <w:t>Services and other</w:t>
      </w:r>
      <w:r>
        <w:rPr>
          <w:rFonts w:ascii="Arial" w:cs="Arial" w:eastAsia="Arial" w:hAnsi="Arial"/>
          <w:sz w:val="16"/>
          <w:szCs w:val="16"/>
          <w:color w:val="auto"/>
        </w:rPr>
        <w:t>: Services sold on a stand-alone basis or after the initial system sale include performance obligations such as event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room design, on-site training, equipment service, service-type warranties, technical support, software sold as a service, and other immaterial revenue streams. These are contracted with a customer generally per service event or service type on a stand-alone basis. Services, service type warranties,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Revenues from software license fees on sales, other than uniquely configured type contracts, are recognized when delivery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has occurred. Subscription-based licenses include the right for a customer to use our licenses and receive related support for a specified term, and revenue is recognized pro-rata over the term of the engagement.</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Shipping and handling costs collected from our customers in connection with our sales are recorded as revenue.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shipping and handling costs as a component of cost of sales at the time the product is shipped.</w:t>
      </w:r>
    </w:p>
    <w:p>
      <w:pPr>
        <w:spacing w:after="0" w:line="170"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i w:val="1"/>
          <w:iCs w:val="1"/>
          <w:color w:val="auto"/>
        </w:rPr>
        <w:t xml:space="preserve">Warranty: </w:t>
      </w:r>
      <w:r>
        <w:rPr>
          <w:rFonts w:ascii="Arial" w:cs="Arial" w:eastAsia="Arial" w:hAnsi="Arial"/>
          <w:sz w:val="17"/>
          <w:szCs w:val="17"/>
          <w:color w:val="auto"/>
        </w:rPr>
        <w:t>We offer a standard parts coverage warranty for periods varying from one to five years for most of our products. We also offer</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types 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recognize the revenue over time, and recognize costs as incurred.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property and equipment are stated at cost and depreciated principally on the straight-line method over the following estimated useful lives: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40" w:type="dxa"/>
            <w:vAlign w:val="bottom"/>
          </w:tcPr>
          <w:p>
            <w:pPr>
              <w:spacing w:after="0"/>
              <w:rPr>
                <w:sz w:val="20"/>
                <w:szCs w:val="20"/>
                <w:color w:val="auto"/>
              </w:rPr>
            </w:pP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Years</w:t>
            </w:r>
          </w:p>
        </w:tc>
      </w:tr>
      <w:tr>
        <w:trPr>
          <w:trHeight w:val="25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5 - 40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9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50"/>
        </w:trPr>
        <w:tc>
          <w:tcPr>
            <w:tcW w:w="9740" w:type="dxa"/>
            <w:vAlign w:val="bottom"/>
          </w:tcPr>
          <w:p>
            <w:pPr>
              <w:ind w:left="20"/>
              <w:spacing w:after="0"/>
              <w:rPr>
                <w:sz w:val="20"/>
                <w:szCs w:val="20"/>
                <w:color w:val="auto"/>
              </w:rPr>
            </w:pPr>
            <w:r>
              <w:rPr>
                <w:rFonts w:ascii="Arial" w:cs="Arial" w:eastAsia="Arial" w:hAnsi="Arial"/>
                <w:sz w:val="18"/>
                <w:szCs w:val="18"/>
                <w:color w:val="auto"/>
              </w:rPr>
              <w:t>Computer software and hardware</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6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held for rental</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2 - 7</w:t>
            </w:r>
          </w:p>
        </w:tc>
      </w:tr>
      <w:tr>
        <w:trPr>
          <w:trHeight w:val="250"/>
        </w:trPr>
        <w:tc>
          <w:tcPr>
            <w:tcW w:w="9740" w:type="dxa"/>
            <w:vAlign w:val="bottom"/>
          </w:tcPr>
          <w:p>
            <w:pPr>
              <w:ind w:left="20"/>
              <w:spacing w:after="0"/>
              <w:rPr>
                <w:sz w:val="20"/>
                <w:szCs w:val="20"/>
                <w:color w:val="auto"/>
              </w:rPr>
            </w:pPr>
            <w:r>
              <w:rPr>
                <w:rFonts w:ascii="Arial" w:cs="Arial" w:eastAsia="Arial" w:hAnsi="Arial"/>
                <w:sz w:val="18"/>
                <w:szCs w:val="18"/>
                <w:color w:val="auto"/>
              </w:rPr>
              <w:t>Demonstration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5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equipment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9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depreciated over the lesser of the useful life of the asset or the term of the lease.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we assess long-lived tangible assets and definite-lived intangible assets for impairment whenever events or changes in circumstances indicate the carrying value may not be recoverable.</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color w:val="auto"/>
        </w:rPr>
        <w:t>: We account for goodwill and other intangible assets with indefinite lives in accordance with ASC 350</w:t>
      </w:r>
      <w:r>
        <w:rPr>
          <w:rFonts w:ascii="Arial" w:cs="Arial" w:eastAsia="Arial" w:hAnsi="Arial"/>
          <w:sz w:val="18"/>
          <w:szCs w:val="18"/>
          <w:i w:val="1"/>
          <w:iCs w:val="1"/>
          <w:color w:val="auto"/>
        </w:rPr>
        <w:t>,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Under these provisions, goodwill is not amortized but is tested for impairment on at least an annual basis. Impairment testing is required more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than annually if an event or circumstance indicates an impairment or a decline in value may have occurred.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qualitative assessment may be used to first determine whether it is "more likely than not" that the fair value of a reporting unit is less its carrying value. Based on this assessment, if it is determined that is more likely than not that impairment has occurred, a quantitative analysis will be performed. The quantitative assessment uses an income approach to estimate the fair value of each reporting unit. The income approach is based on the projected cash flows, which are discounted to their present value using discount rates which consider the timing and risk of the forecasted cash flows. Fair value is estimated using internally developed forecasts and assumptions and takes into account management plans, business trends, and market and economic conditions. If the quantitative assessment of goodwill impairment fails, an impairment loss equal to the amount that a reporting unit's carrying value exceeds its fair value will be recognized.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xml:space="preserve">: We follow the provisions of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Our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We account for income taxes in accordance with ASC 740</w:t>
      </w:r>
      <w:r>
        <w:rPr>
          <w:rFonts w:ascii="Arial" w:cs="Arial" w:eastAsia="Arial" w:hAnsi="Arial"/>
          <w:sz w:val="17"/>
          <w:szCs w:val="17"/>
          <w:i w:val="1"/>
          <w:iCs w:val="1"/>
          <w:color w:val="auto"/>
        </w:rPr>
        <w:t>, Income Taxes</w:t>
      </w:r>
      <w:r>
        <w:rPr>
          <w:rFonts w:ascii="Arial" w:cs="Arial" w:eastAsia="Arial" w:hAnsi="Arial"/>
          <w:sz w:val="17"/>
          <w:szCs w:val="17"/>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 likely than not the deferred tax asset will not be realized. We report the net deferred tax asset and liability as a long-term asset or liability. Net deferred assets or liabilities are calculated by combining them based on their jurisdiction.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because we operate in multiple income tax jurisdictions both within the United States and internationally, the calculation of tax liabilities involves significant judgment in estimating the impact of uncertainties in the application of complex tax laws. Resolution of these uncertainties in a manner inconsistent with our expectations could have a material impact on our financial condition and operating results. See "Note 12. Income Taxes" for further information.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Comprehensive income (loss)</w:t>
      </w:r>
      <w:r>
        <w:rPr>
          <w:rFonts w:ascii="Arial" w:cs="Arial" w:eastAsia="Arial" w:hAnsi="Arial"/>
          <w:sz w:val="17"/>
          <w:szCs w:val="17"/>
          <w:color w:val="auto"/>
        </w:rPr>
        <w:t>: We follow the provisions of ASC 220</w:t>
      </w:r>
      <w:r>
        <w:rPr>
          <w:rFonts w:ascii="Arial" w:cs="Arial" w:eastAsia="Arial" w:hAnsi="Arial"/>
          <w:sz w:val="17"/>
          <w:szCs w:val="17"/>
          <w:i w:val="1"/>
          <w:iCs w:val="1"/>
          <w:color w:val="auto"/>
        </w:rPr>
        <w:t>, Reporting Comprehensive Income</w:t>
      </w:r>
      <w:r>
        <w:rPr>
          <w:rFonts w:ascii="Arial" w:cs="Arial" w:eastAsia="Arial" w:hAnsi="Arial"/>
          <w:sz w:val="17"/>
          <w:szCs w:val="17"/>
          <w:color w:val="auto"/>
        </w:rPr>
        <w:t>, which establishes standards for reporting and displaying comprehensive income and its components, and disclose these components in the consolidated statements of comprehensive income. Comprehensive income (loss) reflects the change in equity of a business enterprise during a period from transactions and other events and circumstances from non-owner sources. For us, comprehensive income represents net income adjusted for cumulative foreign currency translation adjustments and unrealized gains and losses on available-for-sale securities. The foreign currency translation adjustment included in the comprehensive income (loss) calculation has not been tax affected, as the investments in foreign affiliates are deemed to be permanent.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We follow the provisions of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We follow the provisions of ASC 260</w:t>
      </w:r>
      <w:r>
        <w:rPr>
          <w:rFonts w:ascii="Arial" w:cs="Arial" w:eastAsia="Arial" w:hAnsi="Arial"/>
          <w:sz w:val="18"/>
          <w:szCs w:val="18"/>
          <w:i w:val="1"/>
          <w:iCs w:val="1"/>
          <w:color w:val="auto"/>
        </w:rPr>
        <w:t>, Earnings Per Share,</w:t>
      </w:r>
      <w:r>
        <w:rPr>
          <w:rFonts w:ascii="Arial" w:cs="Arial" w:eastAsia="Arial" w:hAnsi="Arial"/>
          <w:sz w:val="18"/>
          <w:szCs w:val="18"/>
          <w:color w:val="auto"/>
        </w:rPr>
        <w:t xml:space="preserve">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and common share amounts used in the calculation of basic and diluted EPS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29, 2023, April 30, 2022 and May 1,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Net income</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Per share income</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April 29, 2023:</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45,404</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45,521</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April 30, 2022:</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45,188</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45,326</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May 1, 2021: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44,989</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57"/>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45,202</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1"/>
        </w:trPr>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2,084, 1,846 and 2,262 shares of common stock with a weighted average exercise price of $7.47, $9.15 and $9.11 for the fiscal years ended April 29, 2023, April 30, 2022 and May 1, 2021, respectively, were not included in the computation of diluted earnings per share because the effects would be anti-dilutive.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Share-based compensation</w:t>
      </w:r>
      <w:r>
        <w:rPr>
          <w:rFonts w:ascii="Arial" w:cs="Arial" w:eastAsia="Arial" w:hAnsi="Arial"/>
          <w:sz w:val="16"/>
          <w:szCs w:val="16"/>
          <w:color w:val="auto"/>
        </w:rPr>
        <w:t>: We account for share-based compensation in accordance with ASC 718</w:t>
      </w:r>
      <w:r>
        <w:rPr>
          <w:rFonts w:ascii="Arial" w:cs="Arial" w:eastAsia="Arial" w:hAnsi="Arial"/>
          <w:sz w:val="16"/>
          <w:szCs w:val="16"/>
          <w:i w:val="1"/>
          <w:iCs w:val="1"/>
          <w:color w:val="auto"/>
        </w:rPr>
        <w:t>, Compensation-Stock Compensation.</w:t>
      </w:r>
      <w:r>
        <w:rPr>
          <w:rFonts w:ascii="Arial" w:cs="Arial" w:eastAsia="Arial" w:hAnsi="Arial"/>
          <w:sz w:val="16"/>
          <w:szCs w:val="16"/>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10. Shareholders' Equity and Share-Based Compensation" for additional information and the assumptions we use to calculate the fair value of share-based employee compensation.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Liquidity and Going Concern</w:t>
      </w:r>
      <w:r>
        <w:rPr>
          <w:rFonts w:ascii="Arial" w:cs="Arial" w:eastAsia="Arial" w:hAnsi="Arial"/>
          <w:sz w:val="18"/>
          <w:szCs w:val="18"/>
          <w:color w:val="auto"/>
        </w:rPr>
        <w:t>: The accompanying Consolidated Financial Statements are prepared in accordance with GAAP applicable to a going concern, which contemplates the realization of assets and the satisfaction of liabilities in the normal course of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previously disclosed in our second and third quarter fiscal 2023 Form 10-Q Quarterly Reports that we had experienced volatility in our business driven by global economic conditions and supply chain disruptions. Although supply chain disruptions had started to ease, we could not be certain at that time we wouldn't experience future disruptions or need additional liquidity to fund operations. We also reported our financing plans were not deemed probable. Those conditions raised substantial doubt about the Company’s ability to continue as a going concern for the twelve months from the date of issuance of the second and third quarter fiscal 2023 Form 10-Q Quarterly Reports.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adapted to the business environment by raising prices, increased inventory levels and added capacity to improve stability of operations, and instituted a liquidity enhancement program to focus our teams on improving cash flows. On May 11, 2023, we secured long-term financing to enhance our liquidity. During fiscal 2023, we recognized operating income of $21,388 and generated $15,024 in cash flows provided by operating activities. We project we will have sufficient cash on hand and available under these financing agreements to fund future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Therefore, the events and conditions that gave rise to substantial doubt about our ability to continue as a going concern were resolved.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Subsequent Events" for additional considerations related to our financing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standards adopted since our last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new Accounting Standards Updates issued that the Company had not yet adopted as of April 29,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Fiscal Year 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High School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5"/>
              </w:rPr>
              <w:t>Commercial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Live Events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2"/>
              </w:rPr>
              <w:t>Park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7"/>
              </w:rPr>
              <w:t>Transportation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International</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Recreation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Type of performance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Arial" w:cs="Arial" w:eastAsia="Arial" w:hAnsi="Arial"/>
                <w:sz w:val="18"/>
                <w:szCs w:val="18"/>
                <w:color w:val="auto"/>
              </w:rPr>
              <w:t>Unique configuration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25,821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223,560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22,730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45,286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33,623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351,020</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 configuration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346,509</w:t>
            </w:r>
          </w:p>
        </w:tc>
        <w:tc>
          <w:tcPr>
            <w:tcW w:w="0" w:type="dxa"/>
            <w:vAlign w:val="bottom"/>
          </w:tcPr>
          <w:p>
            <w:pPr>
              <w:spacing w:after="0"/>
              <w:rPr>
                <w:sz w:val="1"/>
                <w:szCs w:val="1"/>
                <w:color w:val="auto"/>
              </w:rPr>
            </w:pPr>
          </w:p>
        </w:tc>
      </w:tr>
      <w:tr>
        <w:trPr>
          <w:trHeight w:val="250"/>
        </w:trPr>
        <w:tc>
          <w:tcPr>
            <w:tcW w:w="232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8,022</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56,667</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754,196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Timing of 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recognition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Goods/services transferred at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 point 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356,449</w:t>
            </w:r>
          </w:p>
        </w:tc>
        <w:tc>
          <w:tcPr>
            <w:tcW w:w="0" w:type="dxa"/>
            <w:vAlign w:val="bottom"/>
          </w:tcPr>
          <w:p>
            <w:pPr>
              <w:spacing w:after="0"/>
              <w:rPr>
                <w:sz w:val="1"/>
                <w:szCs w:val="1"/>
                <w:color w:val="auto"/>
              </w:rPr>
            </w:pPr>
          </w:p>
        </w:tc>
      </w:tr>
      <w:tr>
        <w:trPr>
          <w:trHeight w:val="229"/>
        </w:trPr>
        <w:tc>
          <w:tcPr>
            <w:tcW w:w="2320" w:type="dxa"/>
            <w:vAlign w:val="bottom"/>
          </w:tcPr>
          <w:p>
            <w:pPr>
              <w:ind w:left="180"/>
              <w:spacing w:after="0"/>
              <w:rPr>
                <w:sz w:val="20"/>
                <w:szCs w:val="20"/>
                <w:color w:val="auto"/>
              </w:rPr>
            </w:pPr>
            <w:r>
              <w:rPr>
                <w:rFonts w:ascii="Arial" w:cs="Arial" w:eastAsia="Arial" w:hAnsi="Arial"/>
                <w:sz w:val="18"/>
                <w:szCs w:val="18"/>
                <w:color w:val="auto"/>
                <w:w w:val="98"/>
              </w:rPr>
              <w:t>Goods/services transferred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over time</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241,139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38,965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397,747</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754,196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b w:val="1"/>
                <w:bCs w:val="1"/>
                <w:color w:val="auto"/>
                <w:w w:val="89"/>
              </w:rPr>
              <w:t>Fiscal Year 2022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High School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9"/>
              </w:rPr>
              <w:t>Commercial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Live Events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Park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2"/>
              </w:rPr>
              <w:t>Transportation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2"/>
              </w:rPr>
              <w:t>International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Recreation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Type of performance</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obligation</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Unique configuration</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20,849</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144,095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38,843</w:t>
            </w:r>
          </w:p>
        </w:tc>
        <w:tc>
          <w:tcPr>
            <w:tcW w:w="10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32,658</w:t>
            </w:r>
          </w:p>
        </w:tc>
        <w:tc>
          <w:tcPr>
            <w:tcW w:w="10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256,620</w:t>
            </w: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Limited configuration</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301,050</w:t>
            </w:r>
          </w:p>
        </w:tc>
        <w:tc>
          <w:tcPr>
            <w:tcW w:w="0" w:type="dxa"/>
            <w:vAlign w:val="bottom"/>
          </w:tcPr>
          <w:p>
            <w:pPr>
              <w:spacing w:after="0"/>
              <w:rPr>
                <w:sz w:val="1"/>
                <w:szCs w:val="1"/>
                <w:color w:val="auto"/>
              </w:rPr>
            </w:pPr>
          </w:p>
        </w:tc>
      </w:tr>
      <w:tr>
        <w:trPr>
          <w:trHeight w:val="25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Service and other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53,300</w:t>
            </w:r>
          </w:p>
        </w:tc>
        <w:tc>
          <w:tcPr>
            <w:tcW w:w="0" w:type="dxa"/>
            <w:vAlign w:val="bottom"/>
          </w:tcPr>
          <w:p>
            <w:pPr>
              <w:spacing w:after="0"/>
              <w:rPr>
                <w:sz w:val="1"/>
                <w:szCs w:val="1"/>
                <w:color w:val="auto"/>
              </w:rPr>
            </w:pPr>
          </w:p>
        </w:tc>
      </w:tr>
      <w:tr>
        <w:trPr>
          <w:trHeight w:val="275"/>
        </w:trPr>
        <w:tc>
          <w:tcPr>
            <w:tcW w:w="23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199,106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610,970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Timing of revenue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ind w:left="20"/>
              <w:spacing w:after="0"/>
              <w:rPr>
                <w:sz w:val="20"/>
                <w:szCs w:val="20"/>
                <w:color w:val="auto"/>
              </w:rPr>
            </w:pPr>
            <w:r>
              <w:rPr>
                <w:rFonts w:ascii="Arial" w:cs="Arial" w:eastAsia="Arial" w:hAnsi="Arial"/>
                <w:sz w:val="18"/>
                <w:szCs w:val="18"/>
                <w:b w:val="1"/>
                <w:bCs w:val="1"/>
                <w:color w:val="auto"/>
              </w:rPr>
              <w:t>recognition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Goods/services transferred at 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120,776</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22,088</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45,036</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307,807</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Goods/services transferred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33,435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161,877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29,138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40,619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38,094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303,163</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over time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199,106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610,970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1000"/>
              <w:spacing w:after="0"/>
              <w:rPr>
                <w:sz w:val="20"/>
                <w:szCs w:val="20"/>
                <w:color w:val="auto"/>
              </w:rPr>
            </w:pPr>
            <w:r>
              <w:rPr>
                <w:rFonts w:ascii="Arial" w:cs="Arial" w:eastAsia="Arial" w:hAnsi="Arial"/>
                <w:sz w:val="18"/>
                <w:szCs w:val="18"/>
                <w:b w:val="1"/>
                <w:bCs w:val="1"/>
                <w:color w:val="auto"/>
              </w:rPr>
              <w:t>Fiscal Year 2021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High School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98"/>
              </w:rPr>
              <w:t>Commercial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Live Events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Park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Transportation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Recreation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Type of performance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obligation</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Unique configuration</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16,535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104,682</w:t>
            </w:r>
          </w:p>
        </w:tc>
        <w:tc>
          <w:tcPr>
            <w:tcW w:w="2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22,258</w:t>
            </w:r>
          </w:p>
        </w:tc>
        <w:tc>
          <w:tcPr>
            <w:tcW w:w="20" w:type="dxa"/>
            <w:vAlign w:val="bottom"/>
          </w:tcPr>
          <w:p>
            <w:pPr>
              <w:spacing w:after="0"/>
              <w:rPr>
                <w:sz w:val="22"/>
                <w:szCs w:val="22"/>
                <w:color w:val="auto"/>
              </w:rPr>
            </w:pP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36,398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22,266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202,139</w:t>
            </w:r>
          </w:p>
        </w:tc>
        <w:tc>
          <w:tcPr>
            <w:tcW w:w="0" w:type="dxa"/>
            <w:vAlign w:val="bottom"/>
          </w:tcPr>
          <w:p>
            <w:pPr>
              <w:spacing w:after="0"/>
              <w:rPr>
                <w:sz w:val="1"/>
                <w:szCs w:val="1"/>
                <w:color w:val="auto"/>
              </w:rPr>
            </w:pPr>
          </w:p>
        </w:tc>
      </w:tr>
      <w:tr>
        <w:trPr>
          <w:trHeight w:val="27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Limited configuration</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18,679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66,697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19,690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234,069</w:t>
            </w:r>
          </w:p>
        </w:tc>
        <w:tc>
          <w:tcPr>
            <w:tcW w:w="0" w:type="dxa"/>
            <w:vAlign w:val="bottom"/>
          </w:tcPr>
          <w:p>
            <w:pPr>
              <w:spacing w:after="0"/>
              <w:rPr>
                <w:sz w:val="1"/>
                <w:szCs w:val="1"/>
                <w:color w:val="auto"/>
              </w:rPr>
            </w:pPr>
          </w:p>
        </w:tc>
      </w:tr>
      <w:tr>
        <w:trPr>
          <w:trHeight w:val="263"/>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 and other</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14,345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19,688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2,602</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2,196</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6,994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45,825</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143,049</w:t>
            </w:r>
          </w:p>
        </w:tc>
        <w:tc>
          <w:tcPr>
            <w:tcW w:w="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91,557</w:t>
            </w: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482,033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w w:val="91"/>
              </w:rPr>
              <w:t>Timing of revenue recognition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Goods/services transferred at 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23,906</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60,859</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237,576</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Arial" w:cs="Arial" w:eastAsia="Arial" w:hAnsi="Arial"/>
                <w:sz w:val="18"/>
                <w:szCs w:val="18"/>
                <w:color w:val="auto"/>
                <w:w w:val="89"/>
              </w:rPr>
              <w:t>Goods/services transferred over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time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29,057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119,143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30,698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38,104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27,455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244,457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143,049</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91,557</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482,033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3</w:t>
      </w:r>
      <w:r>
        <w:rPr>
          <w:rFonts w:ascii="Arial" w:cs="Arial" w:eastAsia="Arial" w:hAnsi="Arial"/>
          <w:sz w:val="18"/>
          <w:szCs w:val="18"/>
          <w:i w:val="1"/>
          <w:iCs w:val="1"/>
          <w:color w:val="auto"/>
        </w:rPr>
        <w:t>.</w:t>
      </w:r>
      <w:r>
        <w:rPr>
          <w:rFonts w:ascii="Arial" w:cs="Arial" w:eastAsia="Arial" w:hAnsi="Arial"/>
          <w:sz w:val="18"/>
          <w:szCs w:val="18"/>
          <w:color w:val="auto"/>
        </w:rPr>
        <w:t xml:space="preserve">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April 29, 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Dollar Change</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 Change</w:t>
            </w: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91,549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90,393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r>
      <w:tr>
        <w:trPr>
          <w:trHeight w:val="27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our contract assets and contract liabilities from April 30, 2022 to April 29, 2023 were due to the timing of billing schedules and revenue recognition, which can vary significantly depending on the contractual payment terms and the seasonality of the sports markets. We had no impairments of contract assets for fiscal 2023 and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April 29, 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24,590</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New contracts sold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42,619</w:t>
            </w:r>
          </w:p>
        </w:tc>
      </w:tr>
      <w:tr>
        <w:trPr>
          <w:trHeight w:val="27"/>
        </w:trPr>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reductions for revenue recognized</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(40,614)</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7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in process identified as loss contracts as of April 29, 2023 and April 30, 2022 were immaterial. Loss provisions are recorded in "Accrued expenses" line item in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2023, we recognized revenue of $84,972 related to our contract liabilities as of April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 and revenue recognized from past performance obligations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April 29, 2023, the aggregate amount of the transaction price allocated to the remaining performance obligations was $462,035. Remaining performance obligations related to product and service agreements as of April 29, 2023 are $400,737 and $61,298, respectively. We expect approximately $385,359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years ended April 29, 2023 and April 30, 2022 was immaterial.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Segment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organize and manage our business by the following five segments which meet the definition of reportable segments under ASC 280-10</w:t>
      </w:r>
      <w:r>
        <w:rPr>
          <w:rFonts w:ascii="Arial" w:cs="Arial" w:eastAsia="Arial" w:hAnsi="Arial"/>
          <w:sz w:val="18"/>
          <w:szCs w:val="18"/>
          <w:i w:val="1"/>
          <w:iCs w:val="1"/>
          <w:color w:val="auto"/>
        </w:rPr>
        <w:t>,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Commercial, Live Events, High School Park and Recreation, Transportation, and International. These segments are based on the customer type</w:t>
      </w:r>
      <w:r>
        <w:rPr>
          <w:rFonts w:ascii="Arial" w:cs="Arial" w:eastAsia="Arial" w:hAnsi="Arial"/>
          <w:sz w:val="18"/>
          <w:szCs w:val="18"/>
          <w:i w:val="1"/>
          <w:iCs w:val="1"/>
          <w:color w:val="auto"/>
        </w:rPr>
        <w:t xml:space="preserve"> </w:t>
      </w:r>
      <w:r>
        <w:rPr>
          <w:rFonts w:ascii="Arial" w:cs="Arial" w:eastAsia="Arial" w:hAnsi="Arial"/>
          <w:sz w:val="18"/>
          <w:szCs w:val="18"/>
          <w:color w:val="auto"/>
        </w:rPr>
        <w:t>or geography and are the same as our business units. Separate financial information is available and regularly evaluated by our chief operating decision-maker (CODM), who is our president and chief executive officer, in making resource allocation decisions for our segments. Our CODM evaluates segment performance according to the GAAP measure of gross profit.</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Commercial business unit primarily consists of sales of our integrated video display systems, digital billboards, Galaxy</w:t>
      </w:r>
      <w:r>
        <w:rPr>
          <w:rFonts w:ascii="Arial" w:cs="Arial" w:eastAsia="Arial" w:hAnsi="Arial"/>
          <w:sz w:val="25"/>
          <w:szCs w:val="25"/>
          <w:color w:val="auto"/>
          <w:vertAlign w:val="superscript"/>
        </w:rPr>
        <w:t>®</w:t>
      </w:r>
      <w:r>
        <w:rPr>
          <w:rFonts w:ascii="Arial" w:cs="Arial" w:eastAsia="Arial" w:hAnsi="Arial"/>
          <w:sz w:val="16"/>
          <w:szCs w:val="16"/>
          <w:color w:val="auto"/>
        </w:rPr>
        <w:t xml:space="preserve"> and Fuelight</w:t>
      </w:r>
      <w:r>
        <w:rPr>
          <w:rFonts w:ascii="Arial" w:cs="Arial" w:eastAsia="Arial" w:hAnsi="Arial"/>
          <w:sz w:val="25"/>
          <w:szCs w:val="25"/>
          <w:color w:val="auto"/>
          <w:vertAlign w:val="superscript"/>
        </w:rPr>
        <w:t>™</w:t>
      </w:r>
      <w:r>
        <w:rPr>
          <w:rFonts w:ascii="Arial" w:cs="Arial" w:eastAsia="Arial" w:hAnsi="Arial"/>
          <w:sz w:val="16"/>
          <w:szCs w:val="16"/>
          <w:color w:val="auto"/>
        </w:rPr>
        <w:t xml:space="preserve"> product lines, and dynamic messaging systems to resellers (primarily sign companies), out-of-home ("OOH") companies, national retailers, quick-serve restaurants, casinos, shopping centers, cruise ships, commercial building owners, and petroleum retailers. Our Live Events business unit primarily consists of sales of integrated scoring and video display systems to college and professional sports facilities and convention centers and sales of our mobile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display technology to video rental organizations and other live events type venues. Our High School Park and Recreation business unit primarily consists of sales of scoring systems, Galaxy</w:t>
      </w:r>
      <w:r>
        <w:rPr>
          <w:rFonts w:ascii="Arial" w:cs="Arial" w:eastAsia="Arial" w:hAnsi="Arial"/>
          <w:sz w:val="25"/>
          <w:szCs w:val="25"/>
          <w:color w:val="auto"/>
          <w:vertAlign w:val="superscript"/>
        </w:rPr>
        <w:t>®</w:t>
      </w:r>
      <w:r>
        <w:rPr>
          <w:rFonts w:ascii="Arial" w:cs="Arial" w:eastAsia="Arial" w:hAnsi="Arial"/>
          <w:sz w:val="16"/>
          <w:szCs w:val="16"/>
          <w:color w:val="auto"/>
        </w:rPr>
        <w:t xml:space="preserve"> displays and video display systems to primary and secondary education facilities and resellers (primarily sign companies). Our Transportation business unit primarily consists of sales of intelligent transportation systems dynamic messaging signs for road management, mass transit, and aviation applications and other electronic signage for advertising and way-finding needs, which includes our Vanguard</w:t>
      </w:r>
      <w:r>
        <w:rPr>
          <w:rFonts w:ascii="Arial" w:cs="Arial" w:eastAsia="Arial" w:hAnsi="Arial"/>
          <w:sz w:val="25"/>
          <w:szCs w:val="25"/>
          <w:color w:val="auto"/>
          <w:vertAlign w:val="superscript"/>
        </w:rPr>
        <w:t>®</w:t>
      </w:r>
      <w:r>
        <w:rPr>
          <w:rFonts w:ascii="Arial" w:cs="Arial" w:eastAsia="Arial" w:hAnsi="Arial"/>
          <w:sz w:val="16"/>
          <w:szCs w:val="16"/>
          <w:color w:val="auto"/>
        </w:rPr>
        <w:t xml:space="preserve"> and Galaxy</w:t>
      </w:r>
      <w:r>
        <w:rPr>
          <w:rFonts w:ascii="Arial" w:cs="Arial" w:eastAsia="Arial" w:hAnsi="Arial"/>
          <w:sz w:val="25"/>
          <w:szCs w:val="25"/>
          <w:color w:val="auto"/>
          <w:vertAlign w:val="superscript"/>
        </w:rPr>
        <w:t>®</w:t>
      </w:r>
      <w:r>
        <w:rPr>
          <w:rFonts w:ascii="Arial" w:cs="Arial" w:eastAsia="Arial" w:hAnsi="Arial"/>
          <w:sz w:val="16"/>
          <w:szCs w:val="16"/>
          <w:color w:val="auto"/>
        </w:rPr>
        <w:t xml:space="preserve"> product lines and other intelligent transportation systems dynamic message signs, to governmental transportation departments, transportation industry contractors,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 1. 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43"/>
        </w:trPr>
        <w:tc>
          <w:tcPr>
            <w:tcW w:w="6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April 29, 2023</w:t>
            </w:r>
          </w:p>
        </w:tc>
        <w:tc>
          <w:tcPr>
            <w:tcW w:w="160" w:type="dxa"/>
            <w:vAlign w:val="bottom"/>
          </w:tcPr>
          <w:p>
            <w:pPr>
              <w:spacing w:after="0"/>
              <w:rPr>
                <w:sz w:val="21"/>
                <w:szCs w:val="21"/>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April 30, 2022</w:t>
            </w:r>
          </w:p>
        </w:tc>
        <w:tc>
          <w:tcPr>
            <w:tcW w:w="1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May 1, 2021</w:t>
            </w:r>
          </w:p>
        </w:tc>
      </w:tr>
      <w:tr>
        <w:trPr>
          <w:trHeight w:val="27"/>
        </w:trPr>
        <w:tc>
          <w:tcPr>
            <w:tcW w:w="6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170,590</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154,211</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127,300</w:t>
            </w:r>
          </w:p>
        </w:tc>
      </w:tr>
      <w:tr>
        <w:trPr>
          <w:trHeight w:val="27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 Events</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284,900</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199,106</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143,049</w:t>
            </w: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141,748</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111,816</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91,557</w:t>
            </w:r>
          </w:p>
        </w:tc>
      </w:tr>
      <w:tr>
        <w:trPr>
          <w:trHeight w:val="27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72,306</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62,707</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58,284</w:t>
            </w:r>
          </w:p>
        </w:tc>
      </w:tr>
      <w:tr>
        <w:trPr>
          <w:trHeight w:val="243"/>
        </w:trPr>
        <w:tc>
          <w:tcPr>
            <w:tcW w:w="63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84,652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83,130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61,843</w:t>
            </w:r>
          </w:p>
        </w:tc>
      </w:tr>
      <w:tr>
        <w:trPr>
          <w:trHeight w:val="27"/>
        </w:trPr>
        <w:tc>
          <w:tcPr>
            <w:tcW w:w="6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754,196</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610,970</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482,033</w:t>
            </w:r>
          </w:p>
        </w:tc>
      </w:tr>
      <w:tr>
        <w:trPr>
          <w:trHeight w:val="270"/>
        </w:trPr>
        <w:tc>
          <w:tcPr>
            <w:tcW w:w="6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31,155</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31,851</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33,072</w:t>
            </w:r>
          </w:p>
        </w:tc>
      </w:tr>
      <w:tr>
        <w:trPr>
          <w:trHeight w:val="27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 Events</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49,255</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21,787</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24,397</w:t>
            </w: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41,145</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35,477</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31,472</w:t>
            </w:r>
          </w:p>
        </w:tc>
      </w:tr>
      <w:tr>
        <w:trPr>
          <w:trHeight w:val="27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20,329</w:t>
            </w:r>
          </w:p>
        </w:tc>
      </w:tr>
      <w:tr>
        <w:trPr>
          <w:trHeight w:val="250"/>
        </w:trPr>
        <w:tc>
          <w:tcPr>
            <w:tcW w:w="63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11,313</w:t>
            </w:r>
          </w:p>
        </w:tc>
      </w:tr>
      <w:tr>
        <w:trPr>
          <w:trHeight w:val="270"/>
        </w:trPr>
        <w:tc>
          <w:tcPr>
            <w:tcW w:w="6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151,355</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116,697</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120,583</w:t>
            </w:r>
          </w:p>
        </w:tc>
      </w:tr>
      <w:tr>
        <w:trPr>
          <w:trHeight w:val="250"/>
        </w:trPr>
        <w:tc>
          <w:tcPr>
            <w:tcW w:w="63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56,655</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51,075</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48,649</w:t>
            </w:r>
          </w:p>
        </w:tc>
      </w:tr>
      <w:tr>
        <w:trPr>
          <w:trHeight w:val="27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38,747</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32,563</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27,980</w:t>
            </w: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Product design and development</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29,989</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29,013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26,846</w:t>
            </w:r>
          </w:p>
        </w:tc>
      </w:tr>
      <w:tr>
        <w:trPr>
          <w:trHeight w:val="263"/>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636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129,967</w:t>
            </w:r>
          </w:p>
        </w:tc>
        <w:tc>
          <w:tcPr>
            <w:tcW w:w="26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112,651</w:t>
            </w:r>
          </w:p>
        </w:tc>
        <w:tc>
          <w:tcPr>
            <w:tcW w:w="28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103,475</w:t>
            </w: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21,388</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17,108</w:t>
            </w:r>
          </w:p>
        </w:tc>
      </w:tr>
      <w:tr>
        <w:trPr>
          <w:trHeight w:val="270"/>
        </w:trPr>
        <w:tc>
          <w:tcPr>
            <w:tcW w:w="6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50"/>
        </w:trPr>
        <w:tc>
          <w:tcPr>
            <w:tcW w:w="636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(7,211) —</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(3,109) —</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13,257</w:t>
            </w:r>
          </w:p>
        </w:tc>
        <w:tc>
          <w:tcPr>
            <w:tcW w:w="2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5,238</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5,798</w:t>
            </w:r>
          </w:p>
        </w:tc>
      </w:tr>
      <w:tr>
        <w:trPr>
          <w:trHeight w:val="27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High School Park and Recreation</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63"/>
        </w:trPr>
        <w:tc>
          <w:tcPr>
            <w:tcW w:w="6360" w:type="dxa"/>
            <w:vAlign w:val="bottom"/>
          </w:tcPr>
          <w:p>
            <w:pPr>
              <w:ind w:left="36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77"/>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r>
      <w:tr>
        <w:trPr>
          <w:trHeight w:val="256"/>
        </w:trPr>
        <w:tc>
          <w:tcPr>
            <w:tcW w:w="6360" w:type="dxa"/>
            <w:vAlign w:val="bottom"/>
          </w:tcPr>
          <w:p>
            <w:pPr>
              <w:ind w:left="360"/>
              <w:spacing w:after="0"/>
              <w:rPr>
                <w:sz w:val="20"/>
                <w:szCs w:val="20"/>
                <w:color w:val="auto"/>
              </w:rPr>
            </w:pPr>
            <w:r>
              <w:rPr>
                <w:rFonts w:ascii="Arial" w:cs="Arial" w:eastAsia="Arial" w:hAnsi="Arial"/>
                <w:sz w:val="18"/>
                <w:szCs w:val="18"/>
                <w:color w:val="auto"/>
              </w:rPr>
              <w:t>Unallocated corporate depreciation</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r>
      <w:tr>
        <w:trPr>
          <w:trHeight w:val="289"/>
        </w:trPr>
        <w:tc>
          <w:tcPr>
            <w:tcW w:w="6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16,993</w:t>
            </w: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50"/>
        </w:trPr>
        <w:tc>
          <w:tcPr>
            <w:tcW w:w="6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April 29, 2023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65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661,312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513,740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413,211</w:t>
            </w:r>
          </w:p>
        </w:tc>
      </w:tr>
      <w:tr>
        <w:trPr>
          <w:trHeight w:val="257"/>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United States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68,822</w:t>
            </w:r>
          </w:p>
        </w:tc>
      </w:tr>
      <w:tr>
        <w:trPr>
          <w:trHeight w:val="243"/>
        </w:trPr>
        <w:tc>
          <w:tcPr>
            <w:tcW w:w="65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754,196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610,970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482,033</w:t>
            </w:r>
          </w:p>
        </w:tc>
      </w:tr>
      <w:tr>
        <w:trPr>
          <w:trHeight w:val="27"/>
        </w:trPr>
        <w:tc>
          <w:tcPr>
            <w:tcW w:w="6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65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63,786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58,643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50,130</w:t>
            </w: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United States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r>
      <w:tr>
        <w:trPr>
          <w:trHeight w:val="250"/>
        </w:trPr>
        <w:tc>
          <w:tcPr>
            <w:tcW w:w="65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72,147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66,765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58,682</w:t>
            </w:r>
          </w:p>
        </w:tc>
      </w:tr>
      <w:tr>
        <w:trPr>
          <w:trHeight w:val="27"/>
        </w:trPr>
        <w:tc>
          <w:tcPr>
            <w:tcW w:w="65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numerous raw material and component suppliers, and no supplier accounts for 10%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fiscal year ended April 29, 2023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Live Events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Commercial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ind w:left="80"/>
              <w:spacing w:after="0"/>
              <w:rPr>
                <w:sz w:val="20"/>
                <w:szCs w:val="20"/>
                <w:color w:val="auto"/>
              </w:rPr>
            </w:pPr>
            <w:r>
              <w:rPr>
                <w:rFonts w:ascii="Arial" w:cs="Arial" w:eastAsia="Arial" w:hAnsi="Arial"/>
                <w:sz w:val="18"/>
                <w:szCs w:val="18"/>
                <w:b w:val="1"/>
                <w:bCs w:val="1"/>
                <w:color w:val="auto"/>
              </w:rPr>
              <w:t>Transportation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460" w:type="dxa"/>
            <w:vAlign w:val="bottom"/>
            <w:shd w:val="clear" w:color="auto" w:fill="CCEEFF"/>
          </w:tcPr>
          <w:p>
            <w:pPr>
              <w:jc w:val="center"/>
              <w:ind w:right="1130"/>
              <w:spacing w:after="0"/>
              <w:rPr>
                <w:sz w:val="20"/>
                <w:szCs w:val="20"/>
                <w:color w:val="auto"/>
              </w:rPr>
            </w:pPr>
            <w:r>
              <w:rPr>
                <w:rFonts w:ascii="Arial" w:cs="Arial" w:eastAsia="Arial" w:hAnsi="Arial"/>
                <w:sz w:val="18"/>
                <w:szCs w:val="18"/>
                <w:b w:val="1"/>
                <w:bCs w:val="1"/>
                <w:color w:val="auto"/>
                <w:w w:val="90"/>
              </w:rPr>
              <w:t>Balance as of April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9"/>
              </w:rPr>
              <w:t>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r>
      <w:tr>
        <w:trPr>
          <w:trHeight w:val="263"/>
        </w:trPr>
        <w:tc>
          <w:tcPr>
            <w:tcW w:w="34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center"/>
              <w:ind w:left="1090"/>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7"/>
        </w:trPr>
        <w:tc>
          <w:tcPr>
            <w:tcW w:w="34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4"/>
              </w:rPr>
              <w:t>Goodwill impairment</w:t>
            </w:r>
          </w:p>
        </w:tc>
        <w:tc>
          <w:tcPr>
            <w:tcW w:w="1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r>
      <w:tr>
        <w:trPr>
          <w:trHeight w:val="250"/>
        </w:trPr>
        <w:tc>
          <w:tcPr>
            <w:tcW w:w="346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Balance as of April 29, 2023: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center"/>
              <w:ind w:left="1110"/>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w:t>
            </w: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performed our annual impairment test on October 30, 2022 and concluded that the carrying value of the Live Events and International reporting units exceeded their respective fair values and consequently recorded an impairment charge as noted in the above table. We determined the fair value of the reporting units based on an income approach, using the present value of future discounted cash flows. Significant estimates used to determine fair value include the weighted average cost of capital and financial forecasts. The recognized impairment was primarily a result of our weighted average cost of capital being notably higher, which was driven by strains on our liquidity caused by disrupted supply chains and geopolitical conditions. As a result, the present value of our future cash flows was lower, which caused the $4,576 impairment charge. Based on our annual impairment test, we concluded that the fair value of the Commercial and Transportation reporting units exceeded their respective carrying values and concluded no goodwill impairment existed for those reporting units. The annual impairment test for fiscal years 2022 and 2021 concluded no goodwill impairment existed.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40" w:type="dxa"/>
            <w:vAlign w:val="bottom"/>
            <w:gridSpan w:val="5"/>
          </w:tcPr>
          <w:p>
            <w:pPr>
              <w:spacing w:after="0"/>
              <w:rPr>
                <w:sz w:val="20"/>
                <w:szCs w:val="20"/>
                <w:color w:val="auto"/>
              </w:rPr>
            </w:pPr>
            <w:r>
              <w:rPr>
                <w:rFonts w:ascii="Arial" w:cs="Arial" w:eastAsia="Arial" w:hAnsi="Arial"/>
                <w:sz w:val="18"/>
                <w:szCs w:val="18"/>
                <w:color w:val="auto"/>
              </w:rPr>
              <w:t>The following table summarizes intangible assets, net, as of April 29, 2023 and April 30, 2022: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3"/>
        </w:trPr>
        <w:tc>
          <w:tcPr>
            <w:tcW w:w="49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April 29, 2023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11"/>
        </w:trPr>
        <w:tc>
          <w:tcPr>
            <w:tcW w:w="49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49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Registered trademarks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64"/>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r>
      <w:tr>
        <w:trPr>
          <w:trHeight w:val="27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0"/>
        </w:trPr>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1"/>
        </w:trPr>
        <w:tc>
          <w:tcPr>
            <w:tcW w:w="4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April 30, 2022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5"/>
        </w:trPr>
        <w:tc>
          <w:tcPr>
            <w:tcW w:w="4980" w:type="dxa"/>
            <w:vAlign w:val="bottom"/>
          </w:tcPr>
          <w:p>
            <w:pPr>
              <w:spacing w:after="0"/>
              <w:rPr>
                <w:sz w:val="17"/>
                <w:szCs w:val="17"/>
                <w:color w:val="auto"/>
              </w:rPr>
            </w:pPr>
          </w:p>
        </w:tc>
        <w:tc>
          <w:tcPr>
            <w:tcW w:w="14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50"/>
              <w:spacing w:after="0" w:line="205" w:lineRule="exact"/>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6"/>
              </w:rPr>
              <w:t>Net Carrying</w:t>
            </w:r>
          </w:p>
        </w:tc>
      </w:tr>
      <w:tr>
        <w:trPr>
          <w:trHeight w:val="241"/>
        </w:trPr>
        <w:tc>
          <w:tcPr>
            <w:tcW w:w="49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Amount</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Registered trademarks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6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r>
      <w:tr>
        <w:trPr>
          <w:trHeight w:val="27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fiscal years 2023, 2022, and 2021, amortization expense was $290, $504, and $1,502, respectively. Amortization expenses are included primarily in product design and development and selling expense in the consolidated statements of operations. Intangible assets are written off when fully amortized.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As of April 29, 2023, amortization expenses for future periods were estimated to be as follows: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8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amortization expense</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Selected Financial Statement Data</w:t>
            </w: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4"/>
              </w:rPr>
              <w:t>April 29, 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81,627</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71,410</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14,155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53,666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48,744</w:t>
            </w:r>
          </w:p>
        </w:tc>
        <w:tc>
          <w:tcPr>
            <w:tcW w:w="0" w:type="dxa"/>
            <w:vAlign w:val="bottom"/>
          </w:tcPr>
          <w:p>
            <w:pPr>
              <w:spacing w:after="0"/>
              <w:rPr>
                <w:sz w:val="1"/>
                <w:szCs w:val="1"/>
                <w:color w:val="auto"/>
              </w:rPr>
            </w:pPr>
          </w:p>
        </w:tc>
      </w:tr>
      <w:tr>
        <w:trPr>
          <w:trHeight w:val="250"/>
        </w:trPr>
        <w:tc>
          <w:tcPr>
            <w:tcW w:w="8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149,448</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134,392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8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April 29, 2023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69,170</w:t>
            </w:r>
          </w:p>
        </w:tc>
      </w:tr>
      <w:tr>
        <w:trPr>
          <w:trHeight w:val="27"/>
        </w:trPr>
        <w:tc>
          <w:tcPr>
            <w:tcW w:w="8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110,079</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hardware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46,922</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5,792</w:t>
            </w: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7,260</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r>
      <w:tr>
        <w:trPr>
          <w:trHeight w:val="257"/>
        </w:trPr>
        <w:tc>
          <w:tcPr>
            <w:tcW w:w="8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252,285</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193,341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185,520</w:t>
            </w:r>
          </w:p>
        </w:tc>
      </w:tr>
      <w:tr>
        <w:trPr>
          <w:trHeight w:val="270"/>
        </w:trPr>
        <w:tc>
          <w:tcPr>
            <w:tcW w:w="81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Our depreciation expense was $16,703, $14,890, and $15,575 for the fiscal years 2023, 2022, and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April 29,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17,466</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15,944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Accrued employee benefits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accrued expenses</w:t>
            </w: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36,005</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(expense) income, net consisted of the following:</w:t>
            </w: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 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April 30, 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May 1, 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gains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equity method investee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(3,109)</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Accounts Receivables, Net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credit losses of $4,182 and $2,754 as of April 29, 2023 and April 30, 2022, respectively. Included in accounts receivable as of April 29, 2023 and April 30, 2022 was $1,416 and $1,834, respectively, of retainage on construction-type contracts, all of which is expected to be collected within one year.</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extent the present value is in excess of cost. We generally retain a security interest in the equipment or in the cash flow generated by the equipment until the contract is paid. The present value of long-term contracts, including accrued interest and current maturities, was $1,473 and $4,288 as of April 29, 2023 and April 30, 2022, respectively. Contract receivables bearing annual interest rates of 4.5 to 9.0 percent are due in varying annual installments through November 2026. The face value of long-term receivables was $1,512 and $4,364 as of April 29, 2023 and April 30, 2022,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Financing Agreements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April 29, 2023, we had a credit agreement with a bank which provided for a $45,000 line of credit and allowed up to $20,000 for commercial and standby letters of credit. As of April 29, 2023, $17,750 had been advanced under the loan portion of our line of credit, and the balance of letters of credit outstanding was approximately $7,783. As of April 29, 2023, $19,467 of the credit facility was available for borrowing.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Subsequent to April 29, 2023 we secured new financing agreements. For information on the new financing agreements, see "Note 17. Subsequent Events."</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April 29, 2023, we had $616 of bank guarantees or other financial instruments for display installations issued by another bank and secured by a restricted cash deposit. If we are unable to meet the terms of the arrangement, the bank would subrogate its loss by drawing on the secured cash deposit.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the Board had suspended the program. On December 2, 2021, the Board of Directors of Daktronics voted to reauthorize the stock repurchase program.</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fiscal 2023 and 2021, we had no repurchases of shares of our outstanding common stock. During fiscal 2022, we repurchased 641 shares of common stock at a total cost of $3,184. As of April 29, 2023, we had $29,355 of remaining capacity under our current share repurchase program.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lease facilities and various equipment to manufacture products and provide employee collaboration space and tools. These are all classified as operating leases and have initial lease terms ranging from 1 year to 5 years. These operating leases do not contain material residual value guarantees or material restrictive covenants. Our lease for our facility in Sioux Falls, South Dakota has a purchase option. We do not have any financing leases.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determine if an arrangement is a lease at the inception of the lease.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lease payments over the lease term. As we are generally not able to determine the rate implicit in our leases, we use the incremental borrowing rate based on the information available at the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lease cost is recognized on a straight-line basis over the lease term, and short-term lease cost is recognized when paid. During fiscal 2023, the amount of the operating lease cost included in cost of sales and operating expenses in the consolidated statements of operations was $2,560 and $906, respectively; as compared to $2,425 and $870, respectively, in fiscal year 2022; and $2,241 and $977, respectively, in fiscal year 2021. Operating lease cost includes short-term leases, which are immaterial.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29, 2023, the weighted average remaining lease term and discount rate related to operating leases was 2.9 years and 2.7 percent as compared to 3.6 years and 2.4 percent as of April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unaudited cash flow information related to operating leases were as follows:</w:t>
      </w:r>
    </w:p>
    <w:p>
      <w:pPr>
        <w:spacing w:after="0" w:line="27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26035</wp:posOffset>
            </wp:positionV>
            <wp:extent cx="19545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43" w:lineRule="exact"/>
        <w:rPr>
          <w:sz w:val="20"/>
          <w:szCs w:val="20"/>
          <w:color w:val="auto"/>
        </w:rPr>
      </w:pPr>
    </w:p>
    <w:p>
      <w:pPr>
        <w:ind w:left="8360"/>
        <w:spacing w:after="0"/>
        <w:tabs>
          <w:tab w:leader="none" w:pos="9940" w:val="left"/>
        </w:tabs>
        <w:rPr>
          <w:sz w:val="20"/>
          <w:szCs w:val="20"/>
          <w:color w:val="auto"/>
        </w:rPr>
      </w:pPr>
      <w:r>
        <w:rPr>
          <w:rFonts w:ascii="Arial" w:cs="Arial" w:eastAsia="Arial" w:hAnsi="Arial"/>
          <w:sz w:val="18"/>
          <w:szCs w:val="18"/>
          <w:b w:val="1"/>
          <w:bCs w:val="1"/>
          <w:color w:val="auto"/>
        </w:rPr>
        <w:t>April 29, 2023</w:t>
      </w:r>
      <w:r>
        <w:rPr>
          <w:sz w:val="20"/>
          <w:szCs w:val="20"/>
          <w:color w:val="auto"/>
        </w:rPr>
        <w:tab/>
      </w:r>
      <w:r>
        <w:rPr>
          <w:rFonts w:ascii="Arial" w:cs="Arial" w:eastAsia="Arial" w:hAnsi="Arial"/>
          <w:sz w:val="16"/>
          <w:szCs w:val="16"/>
          <w:b w:val="1"/>
          <w:bCs w:val="1"/>
          <w:color w:val="auto"/>
        </w:rPr>
        <w:t>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180"/>
              <w:spacing w:after="0"/>
              <w:rPr>
                <w:sz w:val="20"/>
                <w:szCs w:val="20"/>
                <w:color w:val="auto"/>
              </w:rPr>
            </w:pPr>
            <w:r>
              <w:rPr>
                <w:rFonts w:ascii="Arial" w:cs="Arial" w:eastAsia="Arial" w:hAnsi="Arial"/>
                <w:sz w:val="18"/>
                <w:szCs w:val="18"/>
                <w:color w:val="auto"/>
              </w:rPr>
              <w:t>Operating cash flows for operating leases</w:t>
            </w:r>
          </w:p>
        </w:tc>
        <w:tc>
          <w:tcPr>
            <w:tcW w:w="3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2,692</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2,680</w:t>
            </w:r>
          </w:p>
        </w:tc>
      </w:tr>
      <w:tr>
        <w:trPr>
          <w:trHeight w:val="540"/>
        </w:trPr>
        <w:tc>
          <w:tcPr>
            <w:tcW w:w="8720" w:type="dxa"/>
            <w:vAlign w:val="bottom"/>
            <w:gridSpan w:val="2"/>
          </w:tcPr>
          <w:p>
            <w:pPr>
              <w:spacing w:after="0"/>
              <w:rPr>
                <w:sz w:val="20"/>
                <w:szCs w:val="20"/>
                <w:color w:val="auto"/>
              </w:rPr>
            </w:pPr>
            <w:r>
              <w:rPr>
                <w:rFonts w:ascii="Arial" w:cs="Arial" w:eastAsia="Arial" w:hAnsi="Arial"/>
                <w:sz w:val="18"/>
                <w:szCs w:val="18"/>
                <w:color w:val="auto"/>
                <w:w w:val="95"/>
              </w:rPr>
              <w:t>Future minimum operating lease payments as of, and subsequent to, April 29, 2023 under ASC 842 are as follows: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3"/>
        </w:trPr>
        <w:tc>
          <w:tcPr>
            <w:tcW w:w="5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Operating Leases</w:t>
            </w:r>
          </w:p>
        </w:tc>
      </w:tr>
      <w:tr>
        <w:trPr>
          <w:trHeight w:val="25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years ending</w:t>
            </w:r>
          </w:p>
        </w:tc>
        <w:tc>
          <w:tcPr>
            <w:tcW w:w="30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2024</w:t>
            </w:r>
          </w:p>
        </w:tc>
        <w:tc>
          <w:tcPr>
            <w:tcW w:w="3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2,383</w:t>
            </w:r>
          </w:p>
        </w:tc>
      </w:tr>
      <w:tr>
        <w:trPr>
          <w:trHeight w:val="26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2026</w:t>
            </w:r>
          </w:p>
        </w:tc>
        <w:tc>
          <w:tcPr>
            <w:tcW w:w="3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2028</w:t>
            </w:r>
          </w:p>
        </w:tc>
        <w:tc>
          <w:tcPr>
            <w:tcW w:w="3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0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3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5,735</w:t>
            </w:r>
          </w:p>
        </w:tc>
      </w:tr>
      <w:tr>
        <w:trPr>
          <w:trHeight w:val="26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0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64"/>
        </w:trPr>
        <w:tc>
          <w:tcPr>
            <w:tcW w:w="56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3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w:t>
            </w:r>
          </w:p>
        </w:tc>
      </w:tr>
      <w:tr>
        <w:trPr>
          <w:trHeight w:val="20"/>
        </w:trPr>
        <w:tc>
          <w:tcPr>
            <w:tcW w:w="5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and long term portions of the lease liabilities are included in the "Accrued expenses" and "Other long-term obligations" line items in our consolidated balance sheet,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Shareholders' Equity and Share-Based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Authorized share types and shareholder rights plan</w:t>
      </w:r>
      <w:r>
        <w:rPr>
          <w:rFonts w:ascii="Arial" w:cs="Arial" w:eastAsia="Arial" w:hAnsi="Arial"/>
          <w:sz w:val="16"/>
          <w:szCs w:val="16"/>
          <w:color w:val="auto"/>
        </w:rPr>
        <w:t>: Our 120,000 authorized shares consist of 115,000 shares of common stock, 50 shares of Series A Junior Participating Preferred Stock, and 4,950 shares of “undesignated stock.” Our Board of Directors has the power to authorize and issue any or all of the shares of undesignated stock without shareholder approval, including the authority to establish the rights and preferences of the undesignated stock.</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outstanding share of our common stock includes one preferred share purchase right. Each right entitles the registered holder of our common stock to purchase from us one one-thousandth of one share of our Series A Junior Participating Preferred Stock at an initial exercise price of $20 per right, subject to adjustment under the terms of the shareholder rights agreement under which the dividend was declared and paid. The rights become exercisable immediately after the earlier of (i) 10 business days following a public announcement that a person or group has acquired beneficial ownership of 20 percent or more of our outstanding common shares (subject to certain exceptions) or (ii) 10 business days following the commencement or announcement of an intention to make a tender offer or exchange offer for our common shares, the consummation of which would result in the beneficial ownership by a person or group of 20 percent or more of our outstanding common shares. The rights expire on November 19, 2024</w:t>
      </w:r>
      <w:r>
        <w:rPr>
          <w:rFonts w:ascii="Arial" w:cs="Arial" w:eastAsia="Arial" w:hAnsi="Arial"/>
          <w:sz w:val="17"/>
          <w:szCs w:val="17"/>
          <w:i w:val="1"/>
          <w:iCs w:val="1"/>
          <w:color w:val="auto"/>
        </w:rPr>
        <w:t>,</w:t>
      </w:r>
      <w:r>
        <w:rPr>
          <w:rFonts w:ascii="Arial" w:cs="Arial" w:eastAsia="Arial" w:hAnsi="Arial"/>
          <w:sz w:val="17"/>
          <w:szCs w:val="17"/>
          <w:color w:val="auto"/>
        </w:rPr>
        <w:t xml:space="preserve"> which date may be extended by our Board of Directors subject to certain additional conditions.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Stock incentive plans</w:t>
      </w:r>
      <w:r>
        <w:rPr>
          <w:rFonts w:ascii="Arial" w:cs="Arial" w:eastAsia="Arial" w:hAnsi="Arial"/>
          <w:sz w:val="16"/>
          <w:szCs w:val="16"/>
          <w:color w:val="auto"/>
        </w:rPr>
        <w:t>: During fiscal 2021, we established the Daktronics, Inc. 2020 Stock Incentive Plan (“2020 Plan”) and ceased granting options under the 2015 Stock Incentive Plan ("2015 Plan"). The 2020 Plan provides for the issuance of stock-based awards, including stock options, restricted stock, restricted stock units and deferred stock to employees, directors and consultants. Stock options issued to employees under the 2015 Plan and 2020 Plan generally have a 10-year life, an exercise price equal to the closing market value on the grant date and a five-year annual vesting period. Stock options granted to independent directors under these plans have a seven-year life and an exercise price equal to the closing market value on the date of grant. Stock options granted to independent directors vest in one year, provided that the directors remain on the Board. The restricted stock granted to independent directors vests in one year, provided that the directors remain on the Board. Restricted stock units are granted to employees and have a five-year annual vesting period. As with stock options, restricted stock and restricted stock unit ownership cannot be transferred during the vesting period.</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April 29, 2023, the aggregate number of shares available for future grants under the 2020 Plan for stock options and restricted stock awards was 1,801 shares. Shares of common stock subject to all stock awards granted under the 2020 Plan are counted as one share of stock for each share of stock subject to the award. Although the 2015 Plan remains in effect for options outstanding that were granted under the 2015 Plan until the earlier of the exercise of the options or their expiration or termination without being exercised, no new options can be granted under the 2015 Plan.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We issue restricted stock to our non-employee directors and restricted stock units to employees.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$1,666 as of April 29, 2023, which is expected to be recognized over a weighted-average period of 2.62 years. The total fair value of restricted stock vested was $1,160, $1,203, and $1,293 in fiscal years 2023, 2022, and 2021,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stock and restricted stock units for fiscal years 2023, 2022, and 2021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300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April 29, 2023</w:t>
            </w:r>
          </w:p>
        </w:tc>
        <w:tc>
          <w:tcPr>
            <w:tcW w:w="12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April 30, 2022</w:t>
            </w:r>
          </w:p>
        </w:tc>
        <w:tc>
          <w:tcPr>
            <w:tcW w:w="10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May 1, 2021</w:t>
            </w:r>
          </w:p>
        </w:tc>
        <w:tc>
          <w:tcPr>
            <w:tcW w:w="0" w:type="dxa"/>
            <w:vAlign w:val="bottom"/>
          </w:tcPr>
          <w:p>
            <w:pPr>
              <w:spacing w:after="0"/>
              <w:rPr>
                <w:sz w:val="1"/>
                <w:szCs w:val="1"/>
                <w:color w:val="auto"/>
              </w:rPr>
            </w:pPr>
          </w:p>
        </w:tc>
      </w:tr>
      <w:tr>
        <w:trPr>
          <w:trHeight w:val="225"/>
        </w:trPr>
        <w:tc>
          <w:tcPr>
            <w:tcW w:w="1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7"/>
                <w:szCs w:val="17"/>
                <w:color w:val="auto"/>
              </w:rPr>
            </w:pPr>
          </w:p>
        </w:tc>
        <w:tc>
          <w:tcPr>
            <w:tcW w:w="14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7"/>
                <w:szCs w:val="17"/>
                <w:color w:val="auto"/>
              </w:rPr>
            </w:pPr>
          </w:p>
        </w:tc>
        <w:tc>
          <w:tcPr>
            <w:tcW w:w="14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3"/>
              </w:rPr>
              <w:t>Fair Value Per</w:t>
            </w: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3"/>
              </w:rPr>
              <w:t>Fair Value Per</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3"/>
              </w:rPr>
              <w:t>Fair Value Per</w:t>
            </w:r>
          </w:p>
        </w:tc>
        <w:tc>
          <w:tcPr>
            <w:tcW w:w="0" w:type="dxa"/>
            <w:vAlign w:val="bottom"/>
          </w:tcPr>
          <w:p>
            <w:pPr>
              <w:spacing w:after="0"/>
              <w:rPr>
                <w:sz w:val="1"/>
                <w:szCs w:val="1"/>
                <w:color w:val="auto"/>
              </w:rPr>
            </w:pPr>
          </w:p>
        </w:tc>
      </w:tr>
      <w:tr>
        <w:trPr>
          <w:trHeight w:val="255"/>
        </w:trPr>
        <w:tc>
          <w:tcPr>
            <w:tcW w:w="198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Nonvested Shares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Nonvested Shares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Nonvested Shares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5"/>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Outstanding at beginning</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year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50"/>
        </w:trPr>
        <w:tc>
          <w:tcPr>
            <w:tcW w:w="19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63"/>
        </w:trPr>
        <w:tc>
          <w:tcPr>
            <w:tcW w:w="1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63"/>
        </w:trPr>
        <w:tc>
          <w:tcPr>
            <w:tcW w:w="1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Outstanding at end of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gridSpan w:val="2"/>
          </w:tcPr>
          <w:p>
            <w:pPr>
              <w:jc w:val="right"/>
              <w:ind w:right="7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9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We issue incentive stock options to our employees and non-qualified stock options to our independent directors. A summary of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under our 2015 Plan and 2020 Plan during the fiscal year ended April 29, 2023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5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Intrinsic Value</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April 30,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58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1"/>
              </w:rPr>
              <w:t>4.98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0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2"/>
                <w:szCs w:val="22"/>
                <w:color w:val="auto"/>
              </w:rPr>
            </w:pPr>
          </w:p>
        </w:tc>
        <w:tc>
          <w:tcPr>
            <w:tcW w:w="1480" w:type="dxa"/>
            <w:vAlign w:val="bottom"/>
          </w:tcPr>
          <w:p>
            <w:pPr>
              <w:jc w:val="center"/>
              <w:ind w:left="10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0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480" w:type="dxa"/>
            <w:vAlign w:val="bottom"/>
          </w:tcPr>
          <w:p>
            <w:pPr>
              <w:jc w:val="center"/>
              <w:ind w:left="10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April 29,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580" w:type="dxa"/>
            <w:vAlign w:val="bottom"/>
            <w:tcBorders>
              <w:bottom w:val="single" w:sz="8" w:color="CCEEFF"/>
            </w:tcBorders>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1"/>
              </w:rPr>
              <w:t>5.52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vested and expected to vest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58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1"/>
              </w:rPr>
              <w:t>5.46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Exercisable as of April 29, 2023</w:t>
            </w:r>
          </w:p>
        </w:tc>
        <w:tc>
          <w:tcPr>
            <w:tcW w:w="1480" w:type="dxa"/>
            <w:vAlign w:val="bottom"/>
          </w:tcPr>
          <w:p>
            <w:pPr>
              <w:jc w:val="right"/>
              <w:spacing w:after="0"/>
              <w:rPr>
                <w:sz w:val="20"/>
                <w:szCs w:val="20"/>
                <w:color w:val="auto"/>
              </w:rPr>
            </w:pPr>
            <w:r>
              <w:rPr>
                <w:rFonts w:ascii="Arial" w:cs="Arial" w:eastAsia="Arial" w:hAnsi="Arial"/>
                <w:sz w:val="18"/>
                <w:szCs w:val="18"/>
                <w:color w:val="auto"/>
              </w:rPr>
              <w:t>1,222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8.95</w:t>
            </w:r>
          </w:p>
        </w:tc>
        <w:tc>
          <w:tcPr>
            <w:tcW w:w="1580" w:type="dxa"/>
            <w:vAlign w:val="bottom"/>
            <w:gridSpan w:val="2"/>
          </w:tcPr>
          <w:p>
            <w:pPr>
              <w:jc w:val="center"/>
              <w:ind w:left="1130"/>
              <w:spacing w:after="0"/>
              <w:rPr>
                <w:sz w:val="20"/>
                <w:szCs w:val="20"/>
                <w:color w:val="auto"/>
              </w:rPr>
            </w:pPr>
            <w:r>
              <w:rPr>
                <w:rFonts w:ascii="Arial" w:cs="Arial" w:eastAsia="Arial" w:hAnsi="Arial"/>
                <w:sz w:val="18"/>
                <w:szCs w:val="18"/>
                <w:color w:val="auto"/>
                <w:w w:val="91"/>
              </w:rPr>
              <w:t>3.70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stock options represents the difference between the exercise price of stock options and the fair market value of the underlying common stock for all in-the-money options. We define in-the-money options as of April 29, 2023 as options having exercise prices lower than the $4.81 per share market price of our common stock on that date. There were 147 shares exercisable that were in-the-money options as of April 29, 2023. The total intrinsic value of options exercised during fiscal years 2023, 2022, and 2021 was $7, $2, and $0, respectively. The total fair value of stock options vested was $467, $465, and $451 for fiscal years 2023, 2022, and 2021,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options granted represents the period of time they are expected to be outstanding. We estimate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 SEC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Staff Accounting Bulletin No. 107,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rate is based on the United States Treasury zero-coupon yield curve on the grant date for a term similar to the expected life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options.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use an expected dividend yield consistent with our historical dividend yield pattern.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weighted-average fair value of options granted and the related assumptions used in the Black-Scholes model:</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43"/>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29, 2023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30, 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May 1, 2021</w:t>
            </w:r>
          </w:p>
        </w:tc>
      </w:tr>
      <w:tr>
        <w:trPr>
          <w:trHeight w:val="27"/>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options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0.43 %</w:t>
            </w:r>
          </w:p>
        </w:tc>
      </w:tr>
      <w:tr>
        <w:trPr>
          <w:trHeight w:val="26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Expected life of option (in years)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w:t>
            </w: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 We have an employee stock purchase plan (“ESPP”), which enables employees after six months of continuous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to 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5,500. The number of shares of common stock issued under the ESPP totaled 424, 310, and 170 shares in fiscal 2023, 2022, and 2021, respectively. The number of shares of common stock reserved for future employee purchases under the ESPP totaled 1,575 shares as of April 29, 2023. The ESPP is intended to qualify under Section 423 of the Internal Revenue Code of 1986 (the "Code").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Total share-based compensation expense</w:t>
      </w:r>
      <w:r>
        <w:rPr>
          <w:rFonts w:ascii="Arial" w:cs="Arial" w:eastAsia="Arial" w:hAnsi="Arial"/>
          <w:sz w:val="18"/>
          <w:szCs w:val="18"/>
          <w:color w:val="auto"/>
        </w:rPr>
        <w:t>: As of April 29, 2023, there was $2,746 of total unrecognized compensation cost related to non-vested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2.94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share-based compensation expense by equity type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29, 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Restricted stock and stock units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6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share-based compensation expense for stock options, restricted stock, restricted stock units and shares issued under the ESPP for fiscal years 2023, 2022, and 2021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29, 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Product design and development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88"/>
        </w:trPr>
        <w:tc>
          <w:tcPr>
            <w:tcW w:w="6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$21 in cash from option exercises under all share-based payment arrangements for the fiscal year ended April 29, 2023. The tax expense related to non-qualified options and restricted stock units under all share-based payment arrangements totaled $23, $47, and $70 for fiscal years 2023, 2022, and 2021, respectively.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Retirement Benefits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401(k) savings plan providing benefits for substantially all United States-based employees of Daktronics, Inc. and its subsidiaries, subject to certain Internal Revenue Service ("IRS") limits. We made matching cash contributions equal to 50 percent of the employee's qualifying contribution up to six percent of such employee's compensation; however, we eliminated our matching contribution as one of our cost savings initiatives for fiscal 2021. These benefits were reinstated for fiscal 2022. Employees are eligible to participate in the 401(k) savings plan the first day of the calendar month following completion of 30 days of continuous service if they have attained the age of 21. We contributed $2,969, $2,573 and $0 for matches to the plan for fiscal years 2023, 2022, and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the significant components of our income tax provision. The pretax income attributable to domestic and foreign operations was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Domestic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before income taxes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948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April 29, 2023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2022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43"/>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10,125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650"/>
              <w:spacing w:after="0"/>
              <w:rPr>
                <w:sz w:val="20"/>
                <w:szCs w:val="20"/>
                <w:color w:val="auto"/>
              </w:rPr>
            </w:pPr>
            <w:r>
              <w:rPr>
                <w:rFonts w:ascii="Arial" w:cs="Arial" w:eastAsia="Arial" w:hAnsi="Arial"/>
                <w:sz w:val="18"/>
                <w:szCs w:val="18"/>
                <w:color w:val="auto"/>
                <w:w w:val="91"/>
              </w:rPr>
              <w:t>(2,696)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10,413</w:t>
            </w:r>
          </w:p>
        </w:tc>
      </w:tr>
      <w:tr>
        <w:trPr>
          <w:trHeight w:val="277"/>
        </w:trPr>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88"/>
              </w:rPr>
              <w:t>3,804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13,257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690"/>
              <w:spacing w:after="0"/>
              <w:rPr>
                <w:sz w:val="20"/>
                <w:szCs w:val="20"/>
                <w:color w:val="auto"/>
              </w:rPr>
            </w:pPr>
            <w:r>
              <w:rPr>
                <w:rFonts w:ascii="Arial" w:cs="Arial" w:eastAsia="Arial" w:hAnsi="Arial"/>
                <w:sz w:val="18"/>
                <w:szCs w:val="18"/>
                <w:color w:val="auto"/>
                <w:w w:val="88"/>
              </w:rPr>
              <w:t>1,108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14,060</w:t>
            </w:r>
          </w:p>
        </w:tc>
      </w:tr>
      <w:tr>
        <w:trPr>
          <w:trHeight w:val="27"/>
        </w:trPr>
        <w:tc>
          <w:tcPr>
            <w:tcW w:w="14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-539115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-205105</wp:posOffset>
            </wp:positionV>
            <wp:extent cx="713232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9489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1760" w:val="left"/>
          <w:tab w:leader="none" w:pos="3420" w:val="left"/>
        </w:tabs>
        <w:rPr>
          <w:sz w:val="20"/>
          <w:szCs w:val="20"/>
          <w:color w:val="auto"/>
        </w:rPr>
      </w:pPr>
      <w:r>
        <w:rPr>
          <w:rFonts w:ascii="Arial" w:cs="Arial" w:eastAsia="Arial" w:hAnsi="Arial"/>
          <w:sz w:val="18"/>
          <w:szCs w:val="18"/>
          <w:b w:val="1"/>
          <w:bCs w:val="1"/>
          <w:color w:val="auto"/>
        </w:rPr>
        <w:t>April 29, 2023</w:t>
      </w:r>
      <w:r>
        <w:rPr>
          <w:sz w:val="20"/>
          <w:szCs w:val="20"/>
          <w:color w:val="auto"/>
        </w:rPr>
        <w:tab/>
      </w:r>
      <w:r>
        <w:rPr>
          <w:rFonts w:ascii="Arial" w:cs="Arial" w:eastAsia="Arial" w:hAnsi="Arial"/>
          <w:sz w:val="18"/>
          <w:szCs w:val="18"/>
          <w:b w:val="1"/>
          <w:bCs w:val="1"/>
          <w:color w:val="auto"/>
        </w:rPr>
        <w:t>April 30, 2022</w:t>
      </w:r>
      <w:r>
        <w:rPr>
          <w:sz w:val="20"/>
          <w:szCs w:val="20"/>
          <w:color w:val="auto"/>
        </w:rPr>
        <w:tab/>
      </w:r>
      <w:r>
        <w:rPr>
          <w:rFonts w:ascii="Arial" w:cs="Arial" w:eastAsia="Arial" w:hAnsi="Arial"/>
          <w:sz w:val="16"/>
          <w:szCs w:val="16"/>
          <w:b w:val="1"/>
          <w:bCs w:val="1"/>
          <w:color w:val="auto"/>
        </w:rPr>
        <w:t>May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34290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5880" w:space="720"/>
            <w:col w:w="4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600" w:type="dxa"/>
            <w:vAlign w:val="bottom"/>
          </w:tcPr>
          <w:p>
            <w:pPr>
              <w:ind w:left="360"/>
              <w:spacing w:after="0"/>
              <w:rPr>
                <w:sz w:val="20"/>
                <w:szCs w:val="20"/>
                <w:color w:val="auto"/>
              </w:rPr>
            </w:pPr>
            <w:r>
              <w:rPr>
                <w:rFonts w:ascii="Arial" w:cs="Arial" w:eastAsia="Arial" w:hAnsi="Arial"/>
                <w:sz w:val="18"/>
                <w:szCs w:val="18"/>
                <w:color w:val="auto"/>
              </w:rPr>
              <w:t>Federal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6,321</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Foreign</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Federal</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7"/>
        </w:trPr>
        <w:tc>
          <w:tcPr>
            <w:tcW w:w="6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provision (benefit) for income taxes and the amount computed by applying the federal statutory rate to income before income taxes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43"/>
        </w:trPr>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29, 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Computed income tax expense at federal statutory rates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GILTI</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Base Erosion Anti-Abuse Tax (BEAT)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Foreign-Derived Intangible Income (FDII)</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Meals and entertainment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Tax Rates different than Statutory</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50"/>
        </w:trPr>
        <w:tc>
          <w:tcPr>
            <w:tcW w:w="66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7"/>
        </w:trPr>
        <w:tc>
          <w:tcPr>
            <w:tcW w:w="66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income tax rate for fiscal 2023 was impacted due to valuation allowances on equity investments and on foreign net operating losses in Ireland, goodwill impairment, state taxes, a mix of taxes in foreign countries where the tax rate is higher than the United States, as well as prior year provision to return adjustments reduced in part by tax benefits from permanent tax credits.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2022, our effective income tax rate was impacted by tax benefits from permanent tax credits offset by valuation allowances as well as other various permanent tax adjustments and state taxes with additional expense for prior year provision to return adjustments.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2021, our effective income tax rate was impacted due to tax benefits from permanent tax credits and prior year provision to return adjustments offset by valuation allowances as well as other various permanent tax adjustments and state taxes.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81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8160" w:type="dxa"/>
            <w:vAlign w:val="bottom"/>
            <w:gridSpan w:val="2"/>
          </w:tcPr>
          <w:p>
            <w:pPr>
              <w:spacing w:after="0"/>
              <w:rPr>
                <w:sz w:val="20"/>
                <w:szCs w:val="20"/>
                <w:color w:val="auto"/>
              </w:rPr>
            </w:pPr>
            <w:r>
              <w:rPr>
                <w:rFonts w:ascii="Arial" w:cs="Arial" w:eastAsia="Arial" w:hAnsi="Arial"/>
                <w:sz w:val="18"/>
                <w:szCs w:val="18"/>
                <w:color w:val="auto"/>
              </w:rPr>
              <w:t>The components of the net deferred tax assets were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April 29, 2023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0" w:type="dxa"/>
            <w:vAlign w:val="bottom"/>
          </w:tcPr>
          <w:p>
            <w:pPr>
              <w:spacing w:after="0"/>
              <w:rPr>
                <w:sz w:val="1"/>
                <w:szCs w:val="1"/>
                <w:color w:val="auto"/>
              </w:rPr>
            </w:pPr>
          </w:p>
        </w:tc>
      </w:tr>
      <w:tr>
        <w:trPr>
          <w:trHeight w:val="257"/>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Accrued warranty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63"/>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Vacation accrual</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43"/>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Deferred maintenance revenue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8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excess and obsolete inventory</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Equity compensation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63"/>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credit losses accounts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Inventory capitalization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Unrealized loss on foreign currency exchange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operating loss carry forwards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Outside basis difference in equity method investments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63"/>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Section 174 Capitalization</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 tax credit carry forwards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Lease accounting - lease liability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56"/>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19,763</w:t>
            </w:r>
          </w:p>
        </w:tc>
        <w:tc>
          <w:tcPr>
            <w:tcW w:w="0" w:type="dxa"/>
            <w:vAlign w:val="bottom"/>
          </w:tcPr>
          <w:p>
            <w:pPr>
              <w:spacing w:after="0"/>
              <w:rPr>
                <w:sz w:val="1"/>
                <w:szCs w:val="1"/>
                <w:color w:val="auto"/>
              </w:rPr>
            </w:pPr>
          </w:p>
        </w:tc>
      </w:tr>
      <w:tr>
        <w:trPr>
          <w:trHeight w:val="25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64"/>
        </w:trPr>
        <w:tc>
          <w:tcPr>
            <w:tcW w:w="81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63"/>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accounting - right of use asset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43"/>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8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Unrealized gain on foreign currency exchange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5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Net deferred tax asset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13,044</w:t>
            </w:r>
          </w:p>
        </w:tc>
        <w:tc>
          <w:tcPr>
            <w:tcW w:w="0" w:type="dxa"/>
            <w:vAlign w:val="bottom"/>
          </w:tcPr>
          <w:p>
            <w:pPr>
              <w:spacing w:after="0"/>
              <w:rPr>
                <w:sz w:val="1"/>
                <w:szCs w:val="1"/>
                <w:color w:val="auto"/>
              </w:rPr>
            </w:pPr>
          </w:p>
        </w:tc>
      </w:tr>
      <w:tr>
        <w:trPr>
          <w:trHeight w:val="21"/>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The classification of the net deferred tax assets in the accompanying consolidated balance sheets is: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29, 2023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0" w:type="dxa"/>
            <w:vAlign w:val="bottom"/>
          </w:tcPr>
          <w:p>
            <w:pPr>
              <w:spacing w:after="0"/>
              <w:rPr>
                <w:sz w:val="1"/>
                <w:szCs w:val="1"/>
                <w:color w:val="auto"/>
              </w:rPr>
            </w:pPr>
          </w:p>
        </w:tc>
      </w:tr>
      <w:tr>
        <w:trPr>
          <w:trHeight w:val="27"/>
        </w:trPr>
        <w:tc>
          <w:tcPr>
            <w:tcW w:w="81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0" w:type="dxa"/>
            <w:vAlign w:val="bottom"/>
          </w:tcPr>
          <w:p>
            <w:pPr>
              <w:spacing w:after="0"/>
              <w:rPr>
                <w:sz w:val="1"/>
                <w:szCs w:val="1"/>
                <w:color w:val="auto"/>
              </w:rPr>
            </w:pPr>
          </w:p>
        </w:tc>
      </w:tr>
      <w:tr>
        <w:trPr>
          <w:trHeight w:val="256"/>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89"/>
        </w:trPr>
        <w:tc>
          <w:tcPr>
            <w:tcW w:w="1280" w:type="dxa"/>
            <w:vAlign w:val="bottom"/>
            <w:tcBorders>
              <w:bottom w:val="single" w:sz="8" w:color="CCEEFF"/>
            </w:tcBorders>
            <w:shd w:val="clear" w:color="auto" w:fill="CCEEFF"/>
          </w:tcPr>
          <w:p>
            <w:pPr>
              <w:spacing w:after="0"/>
              <w:rPr>
                <w:sz w:val="24"/>
                <w:szCs w:val="24"/>
                <w:color w:val="auto"/>
              </w:rPr>
            </w:pPr>
          </w:p>
        </w:tc>
        <w:tc>
          <w:tcPr>
            <w:tcW w:w="6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68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The summary of changes in the amounts related to unrecognized uncertain tax benefits are: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8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April 29, 2023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r>
      <w:tr>
        <w:trPr>
          <w:trHeight w:val="27"/>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Gross increases related to prior period tax positions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decreases related to prior period tax positions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Gross increases related to current period tax positions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7"/>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6"/>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Balance at end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
        </w:trPr>
        <w:tc>
          <w:tcPr>
            <w:tcW w:w="8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unrecognized tax benefits would have an impact on the effective tax rate if recognized. It is reasonably possible that the amount of unrecognized tax benefits could change due to one or more of the following events occurring in the next 12 months: expiring statutes, audit activity, tax payments, or competent authority proceedings. A statute of limitations relating to $171 of the unrecognized tax benefits (including interest) expires in the next 12 months. The benefit will be recognized if the statute lapses with no further action taken by regulators. Additionally, we recognized the release of $165 in unrecognized tax benefits related to the lapse of a statute of limitations in fiscal 2023.</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penalties incurred associated with uncertain tax positions are included in the "Income tax expense" line item in our consolidated statements of operations. Accrued interest and penalties are included in the related tax liability line item in our consolidated balance sheets of $28 and $38 as of April 29, 2023 and April 30, 2022, respectively.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April 29, 2023, we had foreign net operating loss (“NOL”) carryforwards of approximately $5,727 primarily related to our operations in Belgium and Ireland, which have indefinite lives. A deferred tax asset has been recorded for all NOL carryforwards totaling approximately $1,018. However, due to uncertainty in future taxable income, a valuation allowance has been recorded for the full amount of the asset.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United States federal income tax as well as income taxes of multiple state and foreign jurisdictions. Fiscal years 2020, 2021 and 2022 remain open to federal tax examinations, and fiscal years 2019, 2020, 2021 and 2022 remain open for state income tax examinations. Certain subsidiaries are also subject to income tax in several foreign jurisdictions which have open tax years varying by jurisdiction beginning in fiscal 2012. In the event of any future tax assessments, we have elected to record the income taxes and any related interest and penalties as income tax expense in our consolidated statement of operations.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April 29, 2023, we had no deferred tax liability recognized relating to our investment in foreign subsidiaries where the earnings have been indefinitely reinvested. The Tax Act of 2017 generally eliminates United States federal income taxes on dividends from foreign subsidiaries, and, as a result, the accumulated undistributed earnings would be subject only to other taxes, such as withholding taxes and state income taxes, on the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non-United States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13</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Cash Flow Information</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 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April 30, 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Account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(10,422)</w:t>
            </w:r>
          </w:p>
        </w:tc>
        <w:tc>
          <w:tcPr>
            <w:tcW w:w="2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(33,876)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receivables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receivables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Warranty obligations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Long-term warranty obligations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w:t>
            </w: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disclosures of cash flow information consisted of the following: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29, 2023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April 30, 2022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1, 2021</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payments for:</w:t>
            </w:r>
          </w:p>
        </w:tc>
        <w:tc>
          <w:tcPr>
            <w:tcW w:w="1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and financing activities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50"/>
        </w:trPr>
        <w:tc>
          <w:tcPr>
            <w:tcW w:w="6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29, 2023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May 1, 2021</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Demonstration equipment transferred to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of common stock under the ESPP</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Fair Value Measurement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unobservable inputs when measuring fair value. The fair value hierarchy within ASC 820 distinguishes between the following three levels of inputs which may be utilized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within level 1 for the assets or liabilities, either directly or indirectly (for example,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April 29, 2023 and April 30, 2022 according to the valuation techniques we used to determine their fair values. There have been no transfers of assets or liabilities among the fair value hierarchies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Fair Value Measurements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2</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29, 2023:</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23,982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5040" w:type="dxa"/>
            <w:vAlign w:val="bottom"/>
          </w:tcPr>
          <w:p>
            <w:pPr>
              <w:ind w:left="1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as of April 30, 2022: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21,494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1,157</w:t>
            </w:r>
          </w:p>
        </w:tc>
        <w:tc>
          <w:tcPr>
            <w:tcW w:w="12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 during fiscal year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information on an ongoing basis. The fair value of these securities was measured based on a valuation from a third-party bank. See "Note 15. Derivative Financial Instruments" for more information regarding our derivatives.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Nature of Business and Summary of Significant Accounting Policies" for further details of impairment loss of $4,473 for our investment in Miortech.</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measurements using fair value</w:t>
      </w:r>
      <w:r>
        <w:rPr>
          <w:rFonts w:ascii="Arial" w:cs="Arial" w:eastAsia="Arial" w:hAnsi="Arial"/>
          <w:sz w:val="18"/>
          <w:szCs w:val="18"/>
          <w:color w:val="auto"/>
        </w:rPr>
        <w:t>: Some of our financial instruments, such as accounts receivable, long-term receivables, prepaid expense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contract assets and liabilities, accounts payable, warranty obligations, and other long-term obligations are reflected in the consolidated balance sheets at carrying value, which approximates fair value due to their short-term nature.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Derivative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United States dollar.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April 29, 2023 and April 30, 2022, we had not designated any of our derivative instruments as accounting hedges, and thus we recorded the changes in fair value in the "Other (expense) income, net" line item in the consolidated statements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as of April 29, 2023 and April 30, 2022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April 29, 2023</w:t>
            </w:r>
          </w:p>
        </w:tc>
        <w:tc>
          <w:tcPr>
            <w:tcW w:w="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April 30, 2022</w:t>
            </w:r>
          </w:p>
        </w:tc>
      </w:tr>
      <w:tr>
        <w:trPr>
          <w:trHeight w:val="211"/>
        </w:trPr>
        <w:tc>
          <w:tcPr>
            <w:tcW w:w="504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United States</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Dollars</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4"/>
              </w:rPr>
              <w:t>Foreign Currency</w:t>
            </w:r>
          </w:p>
        </w:tc>
        <w:tc>
          <w:tcPr>
            <w:tcW w:w="8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Dollars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3"/>
              </w:rPr>
              <w:t>Foreign Currency</w:t>
            </w: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Forward Contracts:</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 Dollars/Canadian Dollars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United States Dollars/British Pounds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1,345</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 Dollars/Euros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7,513</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April 29, 2023, there was an asset and liability of $0 and $579, respectively, and, as of April 30, 2022, there was an asset and liability of $934 and $311, respectively, representing the fair value of foreign currency exchange forward contracts, which were determined using level 2 inputs from a third-party bank. As of April 29, 2023, all contracts mature within six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remote, although disclosures will be made for material matters as required by ASC 450-20, </w:t>
      </w:r>
      <w:r>
        <w:rPr>
          <w:rFonts w:ascii="Arial" w:cs="Arial" w:eastAsia="Arial" w:hAnsi="Arial"/>
          <w:sz w:val="18"/>
          <w:szCs w:val="18"/>
          <w:i w:val="1"/>
          <w:iCs w:val="1"/>
          <w:color w:val="auto"/>
        </w:rPr>
        <w:t>Contingencies - Loss Contingencies</w:t>
      </w:r>
      <w:r>
        <w:rPr>
          <w:rFonts w:ascii="Arial" w:cs="Arial" w:eastAsia="Arial" w:hAnsi="Arial"/>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See "Note 1. Nature of Business and Summary of Significant Accounting Policies" for more information regarding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fiscal years ended April 29, 2023 and April 30, 2022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29, 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30, 2022</w:t>
            </w:r>
          </w:p>
        </w:tc>
      </w:tr>
      <w:tr>
        <w:trPr>
          <w:trHeight w:val="27"/>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jc w:val="right"/>
              <w:ind w:right="5170"/>
              <w:spacing w:after="0"/>
              <w:rPr>
                <w:sz w:val="20"/>
                <w:szCs w:val="20"/>
                <w:color w:val="auto"/>
              </w:rPr>
            </w:pPr>
            <w:r>
              <w:rPr>
                <w:rFonts w:ascii="Arial" w:cs="Arial" w:eastAsia="Arial" w:hAnsi="Arial"/>
                <w:sz w:val="18"/>
                <w:szCs w:val="18"/>
                <w:color w:val="auto"/>
                <w:w w:val="91"/>
              </w:rPr>
              <w:t>Beginning accrued warranty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25,960</w:t>
            </w:r>
          </w:p>
        </w:tc>
      </w:tr>
      <w:tr>
        <w:trPr>
          <w:trHeight w:val="250"/>
        </w:trPr>
        <w:tc>
          <w:tcPr>
            <w:tcW w:w="8160" w:type="dxa"/>
            <w:vAlign w:val="bottom"/>
          </w:tcPr>
          <w:p>
            <w:pPr>
              <w:jc w:val="right"/>
              <w:ind w:right="5170"/>
              <w:spacing w:after="0"/>
              <w:rPr>
                <w:sz w:val="20"/>
                <w:szCs w:val="20"/>
                <w:color w:val="auto"/>
              </w:rPr>
            </w:pPr>
            <w:r>
              <w:rPr>
                <w:rFonts w:ascii="Arial" w:cs="Arial" w:eastAsia="Arial" w:hAnsi="Arial"/>
                <w:sz w:val="18"/>
                <w:szCs w:val="18"/>
                <w:color w:val="auto"/>
              </w:rPr>
              <w:t>Warranties issued during the period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9,748</w:t>
            </w:r>
          </w:p>
        </w:tc>
      </w:tr>
      <w:tr>
        <w:trPr>
          <w:trHeight w:val="257"/>
        </w:trPr>
        <w:tc>
          <w:tcPr>
            <w:tcW w:w="8160" w:type="dxa"/>
            <w:vAlign w:val="bottom"/>
            <w:tcBorders>
              <w:bottom w:val="single" w:sz="8" w:color="CCEEFF"/>
            </w:tcBorders>
            <w:shd w:val="clear" w:color="auto" w:fill="CCEEFF"/>
          </w:tcPr>
          <w:p>
            <w:pPr>
              <w:jc w:val="right"/>
              <w:ind w:right="5170"/>
              <w:spacing w:after="0"/>
              <w:rPr>
                <w:sz w:val="20"/>
                <w:szCs w:val="20"/>
                <w:color w:val="auto"/>
              </w:rPr>
            </w:pPr>
            <w:r>
              <w:rPr>
                <w:rFonts w:ascii="Arial" w:cs="Arial" w:eastAsia="Arial" w:hAnsi="Arial"/>
                <w:sz w:val="18"/>
                <w:szCs w:val="18"/>
                <w:color w:val="auto"/>
              </w:rPr>
              <w:t>Settlements made during the period</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r>
      <w:tr>
        <w:trPr>
          <w:trHeight w:val="250"/>
        </w:trPr>
        <w:tc>
          <w:tcPr>
            <w:tcW w:w="8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5"/>
              </w:rPr>
              <w:t>Changes in accrued warranty obligations for pre-existing warranties during the period, including expirations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77"/>
        </w:trPr>
        <w:tc>
          <w:tcPr>
            <w:tcW w:w="8160" w:type="dxa"/>
            <w:vAlign w:val="bottom"/>
            <w:shd w:val="clear" w:color="auto" w:fill="CCEEFF"/>
          </w:tcPr>
          <w:p>
            <w:pPr>
              <w:jc w:val="right"/>
              <w:ind w:right="5390"/>
              <w:spacing w:after="0"/>
              <w:rPr>
                <w:sz w:val="20"/>
                <w:szCs w:val="20"/>
                <w:color w:val="auto"/>
              </w:rPr>
            </w:pPr>
            <w:r>
              <w:rPr>
                <w:rFonts w:ascii="Arial" w:cs="Arial" w:eastAsia="Arial" w:hAnsi="Arial"/>
                <w:sz w:val="18"/>
                <w:szCs w:val="18"/>
                <w:color w:val="auto"/>
                <w:w w:val="91"/>
              </w:rPr>
              <w:t>Ending accrued warranty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Performance guarantees: </w:t>
      </w:r>
      <w:r>
        <w:rPr>
          <w:rFonts w:ascii="Arial" w:cs="Arial" w:eastAsia="Arial" w:hAnsi="Arial"/>
          <w:sz w:val="16"/>
          <w:szCs w:val="16"/>
          <w:color w:val="auto"/>
        </w:rPr>
        <w:t>We have entered into standby letters of credit, bank guarantees and surety bonds with financial institutions relating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of our future performance on contracts, primarily construction-type contracts. As of April 29, 2023, we had outstanding letters of credit, bank guarantees and surety bonds in the amount of $7,783, $616 and $56,374,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April 29, 2023, we were not aware of any indemnification claim from a customer.</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cloud-based information systems,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services, and various other products and services over periods that extend beyond one year. As of April 29, 2023, we were obligated under the following unconditional purchase commitments: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r>
      <w:tr>
        <w:trPr>
          <w:trHeight w:val="257"/>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r>
      <w:tr>
        <w:trPr>
          <w:trHeight w:val="250"/>
        </w:trPr>
        <w:tc>
          <w:tcPr>
            <w:tcW w:w="964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6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9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964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7,564</w:t>
            </w:r>
          </w:p>
        </w:tc>
      </w:tr>
      <w:tr>
        <w:trPr>
          <w:trHeight w:val="27"/>
        </w:trPr>
        <w:tc>
          <w:tcPr>
            <w:tcW w:w="9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11, 2023, the Company entered into a Credit Agreement (the “Credit Agreement”) with JPMorgan Chase Bank, N.A.. The Credit Agreement provides for a $60,000 senior secured asset-based revolving credit facility ("ABL") maturing on May 11, 2026 and a delayed draw loan (the "Mortgage") term loan commitment.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ABL, certain factors can impact our borrowing capacity. As of May 11, 2023, our borrowing capacity was $47,459, and there were no borrowings outstanding. The interest rate on the senior credit facility is set on a sliding scale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trailing twelve-month fixed charge coverage and ranges from 2.5 percent to 3.5 percent over the standard overnight financing rate (SOFR). The ABL is secured by a first priority lien on the Company's assets described in the Credit Agreement and the JPMorgan Pledge and Security Agreement dated as of May 11, 2023 by and between the Company and JPMorgan Chase Bank, N.A. (the “JPMorgan Security Agreement”).</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$15,000 delayed draw on the Mortgage closed on July 7, 2023, is secured by a mortgage on the Company's Brookings, South Dakota real estate, amortizes over 10 years and is payable monthly. The Mortgage is subject to the terms of the Credit Agreement and matures on May 11, 2026. The Mortgage interest rate is set on a sliding scale based on the trailing twelve month fixed charge coverage ratio and ranges between 3.5 percent to 4.5 percent.</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11, 2023, the Company entered into a Securities Purchase Agreement (the "Securities Purchase Agreement") with Alta Fox Opportunities Fund, LP (the “Investor”) under which the Company agreed to sell and issue to the Investor its senior secured convertible note (the “Convertible Note”) in exchange for the payment by the Investor to the Company of $25,000. The Convertible Notes allow the Investor to convert shares of the Company’s common stock, subject to certain conditions and limitations, at the initial conversion price of $6.31 per share, subject to adjustments in accordance with the terms of the Convertible Note. The Company also has a forced conversion right, which is exercisable on the occurrence of certain conditions. The Convertible Note incurs interest at an annual rate of 9.0 percent when interest is paid in cash or an annual rate of 10.0 percent if interest is capitalized. Upon an event of default under the Convertible Note, the annual interest rate will increase to 12.0 percent. Under the Pledge and Security Agreement dated as of May 11, 2023 between the Company and the Investor (the “Alta Fox Security Agreement”), the Convertible Note is secured by a second priority lien on assets securing the ABL facility and a first priority lien on substantially all of the other assets of the Company, excluding all real property, subject to the Intercreditor Agreement dated as of May 11, 2023 by and among the Company, JPMorgan Chase Bank, N.A., and the Investor (the “Intercreditor Agreement”). The Convertible Note has a maturity date of May 11, 2027 (the “Maturity Date”). On the Maturity Date, the Company must pay to the Investor an amount in cash representing all outstanding principal, any accrued and unpaid interest, and any accrued and unpaid late charges on such principal and interest.</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on May 11, 2023, in connection with the Company’s entry into the Securities Purchase Agreement, the Company also entered into a Registration Rights Agreement with the Investor (the “Registration Rights Agreement”). Pursuant to the Registration Rights Agreement, the Company agreed to file with the SEC by the dates set forth in the Registration Rights Agreement a registration statement covering the resale of the shares of common stock issuable upon conversion of the Convertible Note. Pursuant to the Registration Rights Agreement, the Company is required to use reasonable best efforts to have such registration statement declared effective by the SEC by the dates set forth in the Registration Rights Agreement. If the registration statement is not filed with the SEC or declared effective by the SEC on a timely basis, certain penalties would be applicable to the Company.</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and the Convertible Note require a fixed charged coverage ratio of greater than 1.1 and include other customary non-financial covenants.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fiscal year 2023, we incurred $3,866 in debt issuance costs, which is included in the "Debt issuance costs" line item in our consolidated balance sheet.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Rules 13a-15(e) and 15d-15(e) under the Securities Exchange Act of 1934. As of April 29, 2023,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April 29, 2023, our disclosure controls and procedures were not effective due to the material weakness in internal control over financial reporting described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identified material weakness disclosed our Chief Executive Officer and Chief Financial Officer believe the consolidated financial statements included in this Annual Report on Form 10-K fairly represent, in all material respects, our financial condition, results of operations and cash flows as of and for the periods presented in accordance with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Material Weaknesses in Internal Control over Financial Reporting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previously reported in our Quarterly Report on Form 10-Q for the fiscal quarter ended October 29, 2022, material weaknesses in our internal control over financial reporting were reported because management had not appropriately designed a going concern policy control to contemplate evaluating the income tax implications when reaching a substantial doubt going concern assessment and because of a failure to timely communicate the result of our going concern assessment to all appropriate internal parties necessary, which led us to not consider the impact of the going concern assessment on the valuation of our deferred tax assets. The Company has made the following enhancements to internal controls to address the material weaknesses:</w:t>
      </w:r>
    </w:p>
    <w:p>
      <w:pPr>
        <w:spacing w:after="0" w:line="161"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Implemented a policy and practice that our going concern analysis is communicated and provided to appropriate members of the organization, including employees in our tax department, so they can consider the impacts of our going concern conclusion.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Implemented a control activity that considers the results of our going concern analysis when determining the valuation of deferred taxes and other reporting and disclosure requirements when preparing our financial statements.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has determined, through its testing, that the Company's implemented policy and new control activities were designed and operated effectively for a sufficient period of time during fiscal 2023 to conclude that the previously identified material weaknesses have been remediated as of April 29,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Securities Exchange Act of 1934. Our system of internal control was designed to provide reasonable assurance regarding the reliability of financial reporting and the preparation of our financial statements for external purposes in accordance with accounting principles generally accepted in the United States. All systems of internal control, no matter how well designed, have inherent limitations. Therefore, even those systems determined to be effective can provide only reasonable assurance with respect to financial statement preparation and presentation.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criteria in Internal Control—Integrated Framework issued by the Committee of Sponsoring Organizations of the Treadway Commission (2013 Framework). Based on our evaluation under the criteria in the 2013 Framework, our management concluded our internal control over financial reporting was not effective as of April 29, 2023 due to the material weakness in internal control over financial reporting described below.</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identified a material weakness related to the ineffective operation of certain transactional level controls related to revenue contracts recognized over time. These controls operated ineffectively due to insufficient training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control operators as to the level of precision expected when executing the revenue controls in accordance with the Company's policy.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independent registered public accounting firm, Deloitte &amp; Touche LLP, who audited the consolidated financial statements included in this Annual Report on Form 10-K, issued an adverse opinion on the effectiveness of the Company’s internal control over financial reporting. Deloitte &amp; Touche LLP’s report is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remediation plan includes providing training to the revenue control operators relating to the level of precision expected when executing these controls in accordance with the Company's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identification of the material weakness and remediation of prior material weaknesses noted above, during the quarter ended April 29, 2023, there have been no changes in our internal control over financial reporting that have materially affected, or are reasonably likely to materially affect, our internal control over financial reporting.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auto"/>
                <w:w w:val="89"/>
              </w:rPr>
              <w:t>By /s/ Reece A. Kurtenbach</w:t>
            </w:r>
          </w:p>
        </w:tc>
        <w:tc>
          <w:tcPr>
            <w:tcW w:w="36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By /s/ Sheila M. Anderson</w:t>
            </w:r>
          </w:p>
        </w:tc>
      </w:tr>
      <w:tr>
        <w:trPr>
          <w:trHeight w:val="277"/>
        </w:trPr>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Reece A. Kurtenbach</w:t>
            </w:r>
          </w:p>
        </w:tc>
        <w:tc>
          <w:tcPr>
            <w:tcW w:w="3620" w:type="dxa"/>
            <w:vAlign w:val="bottom"/>
          </w:tcPr>
          <w:p>
            <w:pPr>
              <w:spacing w:after="0"/>
              <w:rPr>
                <w:sz w:val="24"/>
                <w:szCs w:val="24"/>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Sheila M. Anderson</w:t>
            </w:r>
          </w:p>
        </w:tc>
        <w:tc>
          <w:tcPr>
            <w:tcW w:w="1160" w:type="dxa"/>
            <w:vAlign w:val="bottom"/>
          </w:tcPr>
          <w:p>
            <w:pPr>
              <w:spacing w:after="0"/>
              <w:rPr>
                <w:sz w:val="24"/>
                <w:szCs w:val="24"/>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620" w:type="dxa"/>
            <w:vAlign w:val="bottom"/>
          </w:tcPr>
          <w:p>
            <w:pPr>
              <w:spacing w:after="0"/>
              <w:rPr>
                <w:sz w:val="22"/>
                <w:szCs w:val="22"/>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July 12, 2023</w:t>
            </w:r>
          </w:p>
        </w:tc>
        <w:tc>
          <w:tcPr>
            <w:tcW w:w="3620" w:type="dxa"/>
            <w:vAlign w:val="bottom"/>
          </w:tcPr>
          <w:p>
            <w:pPr>
              <w:spacing w:after="0"/>
              <w:rPr>
                <w:sz w:val="23"/>
                <w:szCs w:val="23"/>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July 12, 2023</w:t>
            </w:r>
          </w:p>
        </w:tc>
      </w:tr>
      <w:tr>
        <w:trPr>
          <w:trHeight w:val="527"/>
        </w:trPr>
        <w:tc>
          <w:tcPr>
            <w:tcW w:w="2000" w:type="dxa"/>
            <w:vAlign w:val="bottom"/>
          </w:tcPr>
          <w:p>
            <w:pPr>
              <w:spacing w:after="0"/>
              <w:rPr>
                <w:sz w:val="24"/>
                <w:szCs w:val="24"/>
                <w:color w:val="auto"/>
              </w:rPr>
            </w:pPr>
          </w:p>
        </w:tc>
        <w:tc>
          <w:tcPr>
            <w:tcW w:w="6680" w:type="dxa"/>
            <w:vAlign w:val="bottom"/>
            <w:gridSpan w:val="3"/>
          </w:tcPr>
          <w:p>
            <w:pPr>
              <w:ind w:left="540"/>
              <w:spacing w:after="0"/>
              <w:rPr>
                <w:sz w:val="20"/>
                <w:szCs w:val="20"/>
                <w:color w:val="auto"/>
              </w:rPr>
            </w:pPr>
            <w:r>
              <w:rPr>
                <w:rFonts w:ascii="Arial" w:cs="Arial" w:eastAsia="Arial" w:hAnsi="Arial"/>
                <w:sz w:val="18"/>
                <w:szCs w:val="18"/>
                <w:b w:val="1"/>
                <w:bCs w:val="1"/>
                <w:color w:val="auto"/>
              </w:rPr>
              <w:t>REPORT OF INDEPENDENT REGISTERED PUBLIC ACCOUNTING FIRM</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internal control over financial reporting of Daktronics, Inc. and subsidiaries (the “Company”) as of April 29, 2023,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April 29, 2023, based on criteria established in Internal Control — Integrated Framework (2013) issued by COSO.</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April 29, 2023 of the Company and our report dated July 12, 2023 expressed an unqualified opinion on those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w:t>
      </w:r>
    </w:p>
    <w:p>
      <w:pPr>
        <w:jc w:val="both"/>
        <w:spacing w:after="0" w:line="234" w:lineRule="auto"/>
        <w:rPr>
          <w:sz w:val="20"/>
          <w:szCs w:val="20"/>
          <w:color w:val="auto"/>
        </w:rPr>
      </w:pPr>
      <w:r>
        <w:rPr>
          <w:rFonts w:ascii="Arial" w:cs="Arial" w:eastAsia="Arial" w:hAnsi="Arial"/>
          <w:sz w:val="16"/>
          <w:szCs w:val="16"/>
          <w:color w:val="auto"/>
        </w:rPr>
        <w:t>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identified a material weakness related to the ineffective operation of certain transactional level controls related to revenue contracts recognized over time. These controls operated ineffectively due to insufficient training of the control operators as to the level of precision expected when executing the revenue controls in accordance with the Company's policy. This material weakness was considered in determining the nature, timing, and extent of audit tests applied in our audit of the consolidated financial statements as of and for the year ended April 29, 2023, of the Company, and this report does not affect our report on such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9" w:lineRule="auto"/>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July 12, 2023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regarding our directors and executive officers as of June 30,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Name</w:t>
            </w:r>
          </w:p>
        </w:tc>
        <w:tc>
          <w:tcPr>
            <w:tcW w:w="2900" w:type="dxa"/>
            <w:vAlign w:val="bottom"/>
          </w:tcPr>
          <w:p>
            <w:pPr>
              <w:jc w:val="center"/>
              <w:ind w:left="1910"/>
              <w:spacing w:after="0"/>
              <w:rPr>
                <w:sz w:val="20"/>
                <w:szCs w:val="20"/>
                <w:color w:val="auto"/>
              </w:rPr>
            </w:pPr>
            <w:r>
              <w:rPr>
                <w:rFonts w:ascii="Arial" w:cs="Arial" w:eastAsia="Arial" w:hAnsi="Arial"/>
                <w:sz w:val="18"/>
                <w:szCs w:val="18"/>
                <w:color w:val="auto"/>
                <w:w w:val="93"/>
              </w:rPr>
              <w:t>Age</w:t>
            </w:r>
          </w:p>
        </w:tc>
        <w:tc>
          <w:tcPr>
            <w:tcW w:w="4300" w:type="dxa"/>
            <w:vAlign w:val="bottom"/>
          </w:tcPr>
          <w:p>
            <w:pPr>
              <w:ind w:left="280"/>
              <w:spacing w:after="0"/>
              <w:rPr>
                <w:sz w:val="20"/>
                <w:szCs w:val="20"/>
                <w:color w:val="auto"/>
              </w:rPr>
            </w:pPr>
            <w:r>
              <w:rPr>
                <w:rFonts w:ascii="Arial" w:cs="Arial" w:eastAsia="Arial" w:hAnsi="Arial"/>
                <w:sz w:val="18"/>
                <w:szCs w:val="18"/>
                <w:color w:val="auto"/>
              </w:rPr>
              <w:t>Position</w:t>
            </w:r>
          </w:p>
        </w:tc>
      </w:tr>
      <w:tr>
        <w:trPr>
          <w:trHeight w:val="27"/>
        </w:trPr>
        <w:tc>
          <w:tcPr>
            <w:tcW w:w="40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Sheila M. Anderson</w:t>
            </w:r>
          </w:p>
        </w:tc>
        <w:tc>
          <w:tcPr>
            <w:tcW w:w="290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89"/>
              </w:rPr>
              <w:t>50</w:t>
            </w:r>
          </w:p>
        </w:tc>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Chief Financial Officer</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Howard I. Atkins</w:t>
            </w:r>
          </w:p>
        </w:tc>
        <w:tc>
          <w:tcPr>
            <w:tcW w:w="2900" w:type="dxa"/>
            <w:vAlign w:val="bottom"/>
          </w:tcPr>
          <w:p>
            <w:pPr>
              <w:jc w:val="center"/>
              <w:ind w:left="1910"/>
              <w:spacing w:after="0"/>
              <w:rPr>
                <w:sz w:val="20"/>
                <w:szCs w:val="20"/>
                <w:color w:val="auto"/>
              </w:rPr>
            </w:pPr>
            <w:r>
              <w:rPr>
                <w:rFonts w:ascii="Arial" w:cs="Arial" w:eastAsia="Arial" w:hAnsi="Arial"/>
                <w:sz w:val="18"/>
                <w:szCs w:val="18"/>
                <w:color w:val="auto"/>
                <w:w w:val="89"/>
              </w:rPr>
              <w:t>72</w:t>
            </w:r>
          </w:p>
        </w:tc>
        <w:tc>
          <w:tcPr>
            <w:tcW w:w="430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7"/>
        </w:trPr>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Lance D. Bultena</w:t>
            </w:r>
          </w:p>
        </w:tc>
        <w:tc>
          <w:tcPr>
            <w:tcW w:w="290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89"/>
              </w:rPr>
              <w:t>60</w:t>
            </w:r>
          </w:p>
        </w:tc>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John P. Friel</w:t>
            </w:r>
          </w:p>
        </w:tc>
        <w:tc>
          <w:tcPr>
            <w:tcW w:w="2900" w:type="dxa"/>
            <w:vAlign w:val="bottom"/>
          </w:tcPr>
          <w:p>
            <w:pPr>
              <w:jc w:val="center"/>
              <w:ind w:left="1910"/>
              <w:spacing w:after="0"/>
              <w:rPr>
                <w:sz w:val="20"/>
                <w:szCs w:val="20"/>
                <w:color w:val="auto"/>
              </w:rPr>
            </w:pPr>
            <w:r>
              <w:rPr>
                <w:rFonts w:ascii="Arial" w:cs="Arial" w:eastAsia="Arial" w:hAnsi="Arial"/>
                <w:sz w:val="18"/>
                <w:szCs w:val="18"/>
                <w:color w:val="auto"/>
                <w:w w:val="89"/>
              </w:rPr>
              <w:t>69</w:t>
            </w:r>
          </w:p>
        </w:tc>
        <w:tc>
          <w:tcPr>
            <w:tcW w:w="430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7"/>
        </w:trPr>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290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89"/>
              </w:rPr>
              <w:t>62</w:t>
            </w:r>
          </w:p>
        </w:tc>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Vice President of Human Resources and Secretary</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Dr. José-Marie Griffiths</w:t>
            </w:r>
          </w:p>
        </w:tc>
        <w:tc>
          <w:tcPr>
            <w:tcW w:w="2900" w:type="dxa"/>
            <w:vAlign w:val="bottom"/>
          </w:tcPr>
          <w:p>
            <w:pPr>
              <w:jc w:val="center"/>
              <w:ind w:left="1910"/>
              <w:spacing w:after="0"/>
              <w:rPr>
                <w:sz w:val="20"/>
                <w:szCs w:val="20"/>
                <w:color w:val="auto"/>
              </w:rPr>
            </w:pPr>
            <w:r>
              <w:rPr>
                <w:rFonts w:ascii="Arial" w:cs="Arial" w:eastAsia="Arial" w:hAnsi="Arial"/>
                <w:sz w:val="18"/>
                <w:szCs w:val="18"/>
                <w:color w:val="auto"/>
                <w:w w:val="89"/>
              </w:rPr>
              <w:t>71</w:t>
            </w:r>
          </w:p>
        </w:tc>
        <w:tc>
          <w:tcPr>
            <w:tcW w:w="430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7"/>
        </w:trPr>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J. Kurtenbach</w:t>
            </w:r>
          </w:p>
        </w:tc>
        <w:tc>
          <w:tcPr>
            <w:tcW w:w="290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89"/>
              </w:rPr>
              <w:t>54</w:t>
            </w:r>
          </w:p>
        </w:tc>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Vice President of Manufacturing</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Reece A. Kurtenbach</w:t>
            </w:r>
          </w:p>
        </w:tc>
        <w:tc>
          <w:tcPr>
            <w:tcW w:w="2900" w:type="dxa"/>
            <w:vAlign w:val="bottom"/>
          </w:tcPr>
          <w:p>
            <w:pPr>
              <w:jc w:val="center"/>
              <w:ind w:left="1910"/>
              <w:spacing w:after="0"/>
              <w:rPr>
                <w:sz w:val="20"/>
                <w:szCs w:val="20"/>
                <w:color w:val="auto"/>
              </w:rPr>
            </w:pPr>
            <w:r>
              <w:rPr>
                <w:rFonts w:ascii="Arial" w:cs="Arial" w:eastAsia="Arial" w:hAnsi="Arial"/>
                <w:sz w:val="18"/>
                <w:szCs w:val="18"/>
                <w:color w:val="auto"/>
                <w:w w:val="89"/>
              </w:rPr>
              <w:t>58</w:t>
            </w:r>
          </w:p>
        </w:tc>
        <w:tc>
          <w:tcPr>
            <w:tcW w:w="4300" w:type="dxa"/>
            <w:vAlign w:val="bottom"/>
          </w:tcPr>
          <w:p>
            <w:pPr>
              <w:ind w:left="280"/>
              <w:spacing w:after="0"/>
              <w:rPr>
                <w:sz w:val="20"/>
                <w:szCs w:val="20"/>
                <w:color w:val="auto"/>
              </w:rPr>
            </w:pPr>
            <w:r>
              <w:rPr>
                <w:rFonts w:ascii="Arial" w:cs="Arial" w:eastAsia="Arial" w:hAnsi="Arial"/>
                <w:sz w:val="18"/>
                <w:szCs w:val="18"/>
                <w:color w:val="auto"/>
              </w:rPr>
              <w:t>Chief Executive Officer and Director</w:t>
            </w:r>
          </w:p>
        </w:tc>
      </w:tr>
      <w:tr>
        <w:trPr>
          <w:trHeight w:val="27"/>
        </w:trPr>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Kevin P. McDermott</w:t>
            </w:r>
          </w:p>
        </w:tc>
        <w:tc>
          <w:tcPr>
            <w:tcW w:w="290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89"/>
              </w:rPr>
              <w:t>69</w:t>
            </w:r>
          </w:p>
        </w:tc>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Andrew D. Siegel</w:t>
            </w:r>
          </w:p>
        </w:tc>
        <w:tc>
          <w:tcPr>
            <w:tcW w:w="2900" w:type="dxa"/>
            <w:vAlign w:val="bottom"/>
          </w:tcPr>
          <w:p>
            <w:pPr>
              <w:jc w:val="center"/>
              <w:ind w:left="1910"/>
              <w:spacing w:after="0"/>
              <w:rPr>
                <w:sz w:val="20"/>
                <w:szCs w:val="20"/>
                <w:color w:val="auto"/>
              </w:rPr>
            </w:pPr>
            <w:r>
              <w:rPr>
                <w:rFonts w:ascii="Arial" w:cs="Arial" w:eastAsia="Arial" w:hAnsi="Arial"/>
                <w:sz w:val="18"/>
                <w:szCs w:val="18"/>
                <w:color w:val="auto"/>
                <w:w w:val="89"/>
              </w:rPr>
              <w:t>57</w:t>
            </w:r>
          </w:p>
        </w:tc>
        <w:tc>
          <w:tcPr>
            <w:tcW w:w="430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7"/>
        </w:trPr>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290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89"/>
              </w:rPr>
              <w:t>62</w:t>
            </w:r>
          </w:p>
        </w:tc>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Executive Vice President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Shereta D. Williams</w:t>
            </w:r>
          </w:p>
        </w:tc>
        <w:tc>
          <w:tcPr>
            <w:tcW w:w="2900" w:type="dxa"/>
            <w:vAlign w:val="bottom"/>
          </w:tcPr>
          <w:p>
            <w:pPr>
              <w:jc w:val="center"/>
              <w:ind w:left="1910"/>
              <w:spacing w:after="0"/>
              <w:rPr>
                <w:sz w:val="20"/>
                <w:szCs w:val="20"/>
                <w:color w:val="auto"/>
              </w:rPr>
            </w:pPr>
            <w:r>
              <w:rPr>
                <w:rFonts w:ascii="Arial" w:cs="Arial" w:eastAsia="Arial" w:hAnsi="Arial"/>
                <w:sz w:val="18"/>
                <w:szCs w:val="18"/>
                <w:color w:val="auto"/>
                <w:w w:val="89"/>
              </w:rPr>
              <w:t>49</w:t>
            </w:r>
          </w:p>
        </w:tc>
        <w:tc>
          <w:tcPr>
            <w:tcW w:w="4300" w:type="dxa"/>
            <w:vAlign w:val="bottom"/>
          </w:tcPr>
          <w:p>
            <w:pPr>
              <w:ind w:left="280"/>
              <w:spacing w:after="0"/>
              <w:rPr>
                <w:sz w:val="20"/>
                <w:szCs w:val="20"/>
                <w:color w:val="auto"/>
              </w:rPr>
            </w:pPr>
            <w:r>
              <w:rPr>
                <w:rFonts w:ascii="Arial" w:cs="Arial" w:eastAsia="Arial" w:hAnsi="Arial"/>
                <w:sz w:val="18"/>
                <w:szCs w:val="18"/>
                <w:color w:val="auto"/>
              </w:rPr>
              <w:t>Director</w:t>
            </w:r>
          </w:p>
        </w:tc>
      </w:tr>
    </w:tbl>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w:t>
      </w:r>
      <w:r>
        <w:rPr>
          <w:rFonts w:ascii="Arial" w:cs="Arial" w:eastAsia="Arial" w:hAnsi="Arial"/>
          <w:sz w:val="17"/>
          <w:szCs w:val="17"/>
          <w:b w:val="1"/>
          <w:bCs w:val="1"/>
          <w:color w:val="auto"/>
        </w:rPr>
        <w:t xml:space="preserve"> </w:t>
      </w:r>
      <w:r>
        <w:rPr>
          <w:rFonts w:ascii="Arial" w:cs="Arial" w:eastAsia="Arial" w:hAnsi="Arial"/>
          <w:sz w:val="17"/>
          <w:szCs w:val="17"/>
          <w:color w:val="auto"/>
        </w:rPr>
        <w:t>public 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Howard I. Atkins </w:t>
      </w:r>
      <w:r>
        <w:rPr>
          <w:rFonts w:ascii="Arial" w:cs="Arial" w:eastAsia="Arial" w:hAnsi="Arial"/>
          <w:sz w:val="16"/>
          <w:szCs w:val="16"/>
          <w:color w:val="auto"/>
        </w:rPr>
        <w:t>has been a Director of the Company since December 7, 2022. Mr. Atkins was appointed to the Board pursuant to the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as of July 23, 2022 (the "Cooperation Agreement") between the Company and Prairieland Holdco, LLC and its affiliates, including Andrew D. Siegel, who also is a member of the Company's Board of Directors. Mr. Atkins currently owns and manages HIA Capital, a business consulting and investment firm. In 2011, Mr. Atkins retired as the Senior Executive Vice President and Chief Financial Officer of Wells Fargo &amp; Company, a banking and financial services company, where he was responsible for Wells Fargo’s financial management functions, investment portfolios, investor relations, capital management and corporate properties functions from 2001 to 2011. A 37-year veteran of the financial services industry, Mr. Atkins previously served as Executive Vice President and Chief Financial Officer of New York Life Insurance Company; Chief Financial Officer of Midlantic Corporation, and Corporate Treasurer of Chase Manhattan Bank. In addition, Mr. Atkins served as a Director for Occidental Petroleum Corporation from 2010 to 2019 and for Ingram Micro from 2004 to 2017. Mr. Atkins brings to the Board world-class financial management acumen and experience, especially in the areas of strategic development, margin improvement, and financing, which further enhances the Board's mix of perspectives.</w:t>
      </w:r>
    </w:p>
    <w:p>
      <w:pPr>
        <w:spacing w:after="0" w:line="16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Lance D. Bultena </w:t>
      </w:r>
      <w:r>
        <w:rPr>
          <w:rFonts w:ascii="Arial" w:cs="Arial" w:eastAsia="Arial" w:hAnsi="Arial"/>
          <w:sz w:val="16"/>
          <w:szCs w:val="16"/>
          <w:color w:val="auto"/>
        </w:rPr>
        <w:t>has been a Director of the Company since September 2021 and has served on the Nominating and Corporate Governance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Audit Committee since September 2021. Mr. Bultena is the Global Director of Thought Leadership for Mobility and Transportation at Hogan Lovells, a global law firm, where he is currently a senior counsel after serving as a partner for many years. He has been at the firm (and its predecessor Hogan &amp; Hartson) since 1999. He was Counsel to the United States Senate Committee on Commerce, Science, and Transportation from 1995 to 1999. He received a doctorate (D. Phil) in Politics and a masters (M. Phil) in Economics from Oxford University which he attended as a Rhodes Scholar. He received a law degree (J.D.) from Harvard Law School and did his undergraduate study at the University of South Dakota. Dr. Bultena brings to the Board significant experience in helping businesses evaluate and address the challenges of technological change and public policy developments.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John P. Friel </w:t>
      </w:r>
      <w:r>
        <w:rPr>
          <w:rFonts w:ascii="Arial" w:cs="Arial" w:eastAsia="Arial" w:hAnsi="Arial"/>
          <w:sz w:val="18"/>
          <w:szCs w:val="18"/>
          <w:color w:val="auto"/>
        </w:rPr>
        <w:t>has been a Director of the Company since September 2015 and has served on the Audit Committee since September 2015 and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of the Board since October 2016. Mr. Friel was named Compensation Committee Chair on September 1, 2020. Mr. Friel served for 30 years in various capacities at MEDRAD, Inc., a global company that designs, develops, manufactures, sells, and supports medical devices. MEDRAD is an affiliate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of Bayer, AG. He joined MEDRAD in the accounting area and earned a promotion to Treasurer and Vice President of Corporate Planning in 1986 and Vice President of Business Development in 1987. He served as Executive Vice President of Sales and Marketing from 1989 to 1995, Senior Vice President and General Manager from 1995 to 1998, and President and Chief Executive Officer from 1998 to 2010. MEDRAD received the Malcolm Baldrige National Quality Award twice during his tenure, once in 2004 and again in 2010. Mr. Friel retired as Chief Executive Officer of Vascor, Inc. in December 2019, and he has served as a member of its Board of Directors since June 2016. Vascor is a pre-clinical medical device development company. He also is currently a Director at Preservation Technologies L.P. and a Director at American Productivity and Quality Center ("APQC"). Mr. Friel is the Principal and Founder of Five Radicals, which focuses on Baldrige Performance Excellence, strategic planning, general business consulting to entrepreneurial medical device companies, and private equity business development opportunity search efforts. Mr. Friel is a director and Chief Strategy Officer of Magvation, LLC, a medical device development company. Mr. Friel is a Senior Partner of the Mikan Group, a general management consulting company.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Carla S. Gatzke </w:t>
      </w:r>
      <w:r>
        <w:rPr>
          <w:rFonts w:ascii="Arial" w:cs="Arial" w:eastAsia="Arial" w:hAnsi="Arial"/>
          <w:sz w:val="17"/>
          <w:szCs w:val="17"/>
          <w:color w:val="auto"/>
        </w:rPr>
        <w:t>joined the Company in 1984 in Systems Sales Engineering where she was responsible for sales and project management for legislative</w:t>
      </w:r>
      <w:r>
        <w:rPr>
          <w:rFonts w:ascii="Arial" w:cs="Arial" w:eastAsia="Arial" w:hAnsi="Arial"/>
          <w:sz w:val="17"/>
          <w:szCs w:val="17"/>
          <w:b w:val="1"/>
          <w:bCs w:val="1"/>
          <w:color w:val="auto"/>
        </w:rPr>
        <w:t xml:space="preserve"> </w:t>
      </w:r>
      <w:r>
        <w:rPr>
          <w:rFonts w:ascii="Arial" w:cs="Arial" w:eastAsia="Arial" w:hAnsi="Arial"/>
          <w:sz w:val="17"/>
          <w:szCs w:val="17"/>
          <w:color w:val="auto"/>
        </w:rPr>
        <w:t>voting systems. In 1988, Ms. Gatzke took an 18-month leave of absence to attend and teach at Drake University. In 1990, Ms. Gatzke returned to Daktronics and managed the Star Circuits division, which manufactured printed circuit boards. In 1992, she became responsible for Human Resources 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 of Science degree in Electrical Engineering with minors in Mathematics and Computer Science from South Dakota State University. Ms. Gatzke is the daughter of Aelred J. Kurtenbach and the sister of Reece A. Kurtenbach and Matthew J. Kurtenbach.</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Dr. Jos</w:t>
      </w:r>
      <w:r>
        <w:rPr>
          <w:rFonts w:ascii="Arial" w:cs="Arial" w:eastAsia="Arial" w:hAnsi="Arial"/>
          <w:sz w:val="17"/>
          <w:szCs w:val="17"/>
          <w:color w:val="auto"/>
        </w:rPr>
        <w:t>é</w:t>
      </w:r>
      <w:r>
        <w:rPr>
          <w:rFonts w:ascii="Arial" w:cs="Arial" w:eastAsia="Arial" w:hAnsi="Arial"/>
          <w:sz w:val="17"/>
          <w:szCs w:val="17"/>
          <w:b w:val="1"/>
          <w:bCs w:val="1"/>
          <w:color w:val="auto"/>
        </w:rPr>
        <w:t xml:space="preserve">-Marie Griffiths </w:t>
      </w:r>
      <w:r>
        <w:rPr>
          <w:rFonts w:ascii="Arial" w:cs="Arial" w:eastAsia="Arial" w:hAnsi="Arial"/>
          <w:sz w:val="17"/>
          <w:szCs w:val="17"/>
          <w:color w:val="auto"/>
        </w:rPr>
        <w:t>has been a Director of the Company since September 2020. She has served on the Board's Compensation Committee and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Nominating and Corporate Governance Committee since September 2020. Ms. Griffiths is president of Dakota State University, a public university, in Madison, South Dakota and has served in such capacity since July 2015. President Griffiths has spent her career in research, teaching, public service, corporate leadership, economic development, and higher education administration. She has served in presidential appointments to the National Science Board, the United States President’s Information Technology Advisory Committee, and the United States National Commission on Libraries and Information Science. In 2018, she was appointed as a member of the National Security Commission on Artificial Intelligence, part of the John S. McCain National Defense Authorization Act for 2019. She has led projects for over 28 United States federal agencies, such as the National Science Foundation, NASA, the Department of Energy, and various intelligence and military agencies, and over 20 major corporations, such as AT&amp;T Bell Laboratories and IBM, in over 35 countries, and she has worked with seven major international organizations, including NATO and the United Nations. Dr. Griffiths has received over 20 significant awards in science, technology, teaching and the advancement of women in these fields. She holds a Bachelor of Science degree and a Doctor of Philosophy in Physics and Information Science from the University College London ("UCL"). She was a Post-Doctoral Fellow in Computer Science and Statistics and was recently awarded a Doctor of Science honoris causa from UCL. Dr. Griffiths brings to the Board expertise in a variety of new and emerging technologies including cybersecurity and artificial intelligence, along with significant experience with both military and civilian federal agencies.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w:t>
      </w:r>
      <w:r>
        <w:rPr>
          <w:rFonts w:ascii="Arial" w:cs="Arial" w:eastAsia="Arial" w:hAnsi="Arial"/>
          <w:sz w:val="17"/>
          <w:szCs w:val="17"/>
          <w:b w:val="1"/>
          <w:bCs w:val="1"/>
          <w:color w:val="auto"/>
        </w:rPr>
        <w:t xml:space="preserve"> </w:t>
      </w:r>
      <w:r>
        <w:rPr>
          <w:rFonts w:ascii="Arial" w:cs="Arial" w:eastAsia="Arial" w:hAnsi="Arial"/>
          <w:sz w:val="17"/>
          <w:szCs w:val="17"/>
          <w:color w:val="auto"/>
        </w:rPr>
        <w:t>and as a project manager for the Company's process improvements and facility expansions. In 2001, he was named Manufacturing Manager and, in 2006, he was appointed Vice President of Manufacturing. Also in 2006, he was charged with leading the Company's transformation to lean manufacturing and, in 2013,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Reece A. Kurtenbach </w:t>
      </w:r>
      <w:r>
        <w:rPr>
          <w:rFonts w:ascii="Arial" w:cs="Arial" w:eastAsia="Arial" w:hAnsi="Arial"/>
          <w:sz w:val="18"/>
          <w:szCs w:val="18"/>
          <w:color w:val="auto"/>
        </w:rPr>
        <w:t>was appointed as President and Chief Executive Officer ("CEO") and a Director of the Company effective on September 1, 2013</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served as Chairman of the Board since September 2014. He served as Executive Vice President from 2012 until September 2013, Vice President for Live Events and International from 2007 to 2012, Vice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President for Video Systems from 2004 until 2007, and manager for video products engineering from 1994 until 2004. Mr. Kurtenbach joined the Company in 1991 as an applications engineer focusing on large display projects. Mr. Kurtenbach also worked at the Company as a student employee with various responsibilities from 1983 to 1987. Mr. Kurtenbach holds a Bachelor of Science degree from South Dakota State University in Electrical Engineering, with minors in Mathematics and Computer Science. Mr. Kurtenbach is the son of Dr. Aelred Kurtenbach and brother of Matthew J. Kurtenbach and Carla S. Gatzke. The Board believes that Mr. Kurtenbach is an appropriate representative of management on the Board, given his position as a senior executive officer and his over 30 years of experience with the Company. In addition, Mr. Kurtenbach brings a wealth of industry experience to the Board.</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Kevin P. McDermott </w:t>
      </w:r>
      <w:r>
        <w:rPr>
          <w:rFonts w:ascii="Arial" w:cs="Arial" w:eastAsia="Arial" w:hAnsi="Arial"/>
          <w:sz w:val="16"/>
          <w:szCs w:val="16"/>
          <w:color w:val="auto"/>
        </w:rPr>
        <w:t>has been a Director of the Company since June 2015 and has served on the Audit Committee of the Board as a member from August</w:t>
      </w:r>
      <w:r>
        <w:rPr>
          <w:rFonts w:ascii="Arial" w:cs="Arial" w:eastAsia="Arial" w:hAnsi="Arial"/>
          <w:sz w:val="16"/>
          <w:szCs w:val="16"/>
          <w:b w:val="1"/>
          <w:bCs w:val="1"/>
          <w:color w:val="auto"/>
        </w:rPr>
        <w:t xml:space="preserve"> </w:t>
      </w:r>
      <w:r>
        <w:rPr>
          <w:rFonts w:ascii="Arial" w:cs="Arial" w:eastAsia="Arial" w:hAnsi="Arial"/>
          <w:sz w:val="16"/>
          <w:szCs w:val="16"/>
          <w:color w:val="auto"/>
        </w:rPr>
        <w:t>2015 through September 2016 and as Chairperson of the Audit Committee since October 2016. On June 1, 2020, Mr. McDermott was named by the Board as the Lead Independent Director. Mr. McDermott retired from an international accounting firm, KPMG LLP, in the fall of 2013 after being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third-party litigation matters. He holds a Bachelor of Science in Economics from South Dakota State University. Mr. McDermott was appointed to the board of directors of Genesco Inc. (NYSE-GCO) effective February 1, 2016 and served on its Audit Committee. He completed his tenure as Genesco board member in June 2023. Genesco is a publicly-traded retailer and wholesaler of branded footwear, apparel and accessories. From March 2019 through March 2020, Mr. McDermott served as Chief Audit Executive for Pinnacle Financial Partners, Inc., a publicly-held bank holding company located in Nashville, Tennessee. Mr. McDermott brings significant expertise in the area of financial and internal control over financial reporting by publicly-traded companies. This expertise aligns with our responsibility and commitment to provide oversight for our shareholders relating to the integrity of our financial statements and related filings.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Andrew D. Siegel </w:t>
      </w:r>
      <w:r>
        <w:rPr>
          <w:rFonts w:ascii="Arial" w:cs="Arial" w:eastAsia="Arial" w:hAnsi="Arial"/>
          <w:sz w:val="17"/>
          <w:szCs w:val="17"/>
          <w:color w:val="auto"/>
        </w:rPr>
        <w:t>currently manages Prairieland Holdco, LLC ("PLH"), whose sole member is TLI Bedrock, LLC ("TLI"), a private multi-strategy</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firm of which he is chief investment officer. In 2019, he co-founded and served as Executive Chairman of FourQ Systems, Inc. an enterprise financial technology company which was sold to Blackline, Inc. (NASDAQ:BL) in January 2022. Mr. Siegel was founding partner of Advance Venture Partners, the investment fund of global media company Advance Publications, Inc. He joined Advance in 2010 and, as Executive Vice President, Strategy and Corporate Development, was responsible for growth initiatives at the holding company and its operating units including Condé Nast. He oversaw The Sports Business Journal/SBD until December 2019. Mr. Siegel joined Advance from Yahoo! Inc., where he led the digital media company’s corporate development team from September 2009 until December 2010. He previously was an executive with General Electric Company ("GE") and its financial arm, GE Capital from 2004 until 2009. He joined GE upon its acquisition of InVision Technologies, Inc. (NASDAQ: INVN) in December 2004, where he had served as an executive officer since 2001. He began his career as a corporate lawyer at Skadden, Arps, Slate, Meagher &amp; Flom, LLP in New York City. Andrew received a Bachelor of Arts from the Newhouse School of Public Communications at Syracuse University, a Master of Science degree from the Jewish Theological Seminary, and a juris doctor degree (JD) from New York University School of Law. He serves on the boards of the Park Avenue Synagogue and the Ashley Hope Foundation as well as those of several private companies. Mr. Siegel brings to the Board his experience in strategy, corporate development, law and finance.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Bradley T. Wiemann </w:t>
      </w:r>
      <w:r>
        <w:rPr>
          <w:rFonts w:ascii="Arial" w:cs="Arial" w:eastAsia="Arial" w:hAnsi="Arial"/>
          <w:sz w:val="16"/>
          <w:szCs w:val="16"/>
          <w:color w:val="auto"/>
        </w:rPr>
        <w:t>joined the Company in 1993 as a lead design engineer after spending a number of years with Rockwell International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where 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High School Park and Recreation business unit. Mr. Wiemann holds a Master of Science degree in Electrical and Computer Engineering from the University of Iowa and a Bachelor of Science degree in Electrical Engineering from South Dakota State University.</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Shereta D. Williams </w:t>
      </w:r>
      <w:r>
        <w:rPr>
          <w:rFonts w:ascii="Arial" w:cs="Arial" w:eastAsia="Arial" w:hAnsi="Arial"/>
          <w:sz w:val="18"/>
          <w:szCs w:val="18"/>
          <w:color w:val="auto"/>
        </w:rPr>
        <w:t>has been a Director of the Company since September 2021 and has since served on the Audit Committee and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since September 2021. Ms. Williams is Senior Vice President Growth Operations of Cox Enterprises, Inc., a global communications, automotive, and media company, based in Atlanta, Georgia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and has served in such capacity since 2021. She has held a variety of strategy, corporate development and business development roles within the Cox Enterprise, Inc. subsidiaries and groups, including Vice President Business Development from 2020 to 2021; President of Videa, LLC from 2014 through 2020; Vice President of Development for Cox Media Group from 2010 to 2013; and Director of Development and Digital Services for Cox Television from 2001 through 2006. In between the roles at Cox Enterprise, Inc., from 2006 through 2009, she was the managing director of the currency division for Maven Funds, a startup hedge fund in Atlanta, Georgia where she was responsible for managing traders, implementing automated trading systems, risk management and operations. She began her career working in investment banking as an analyst for mergers and acquisitions for Lazard Freres &amp; Co, LLC from 1996 through 1998. She holds a Bachelor of Science degree in Electrical Engineering, with a concentration in Economics, from the Massachusetts Institute of Technology. Ms. Williams brings to the Board extensive knowledge in corporate development, strategy, and mergers and acquisitions, as well as operational leadership in the digital communications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directors, executive officers or control persons has been involved in any of the following events described in Item 401(f) of Regulation S-K during the past ten years:</w:t>
      </w:r>
    </w:p>
    <w:p>
      <w:pPr>
        <w:spacing w:after="0" w:line="197" w:lineRule="exact"/>
        <w:rPr>
          <w:sz w:val="20"/>
          <w:szCs w:val="20"/>
          <w:color w:val="auto"/>
        </w:rPr>
      </w:pPr>
    </w:p>
    <w:p>
      <w:pPr>
        <w:jc w:val="both"/>
        <w:ind w:left="660" w:hanging="328"/>
        <w:spacing w:after="0" w:line="24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20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conviction in a criminal proceeding or being named a subject of a pending criminal proceeding (excluding traffic violations and other minor offenses);</w:t>
      </w:r>
    </w:p>
    <w:p>
      <w:pPr>
        <w:spacing w:after="0" w:line="18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211" w:lineRule="exact"/>
        <w:rPr>
          <w:rFonts w:ascii="Arial" w:cs="Arial" w:eastAsia="Arial" w:hAnsi="Arial"/>
          <w:sz w:val="18"/>
          <w:szCs w:val="18"/>
          <w:color w:val="auto"/>
        </w:rPr>
      </w:pPr>
    </w:p>
    <w:p>
      <w:pPr>
        <w:jc w:val="both"/>
        <w:ind w:left="1300" w:hanging="320"/>
        <w:spacing w:after="0" w:line="245"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212"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52"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97" w:lineRule="exact"/>
        <w:rPr>
          <w:rFonts w:ascii="Arial" w:cs="Arial" w:eastAsia="Arial" w:hAnsi="Arial"/>
          <w:sz w:val="18"/>
          <w:szCs w:val="18"/>
          <w:color w:val="auto"/>
        </w:rPr>
      </w:pPr>
    </w:p>
    <w:p>
      <w:pPr>
        <w:jc w:val="both"/>
        <w:ind w:left="660" w:hanging="328"/>
        <w:spacing w:after="0" w:line="30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SEC has not been subsequently reversed, suspended, or vacated;</w:t>
      </w:r>
    </w:p>
    <w:p>
      <w:pPr>
        <w:spacing w:after="0" w:line="18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20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the subject of, or a party to, any Federal or State judicial or administrative order, judgment, decree, or finding, not subsequently reversed, suspended, or vacated, relating to an alleged violation of:</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Federal or State securities or commodities law or regulation;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201"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38" w:lineRule="exact"/>
        <w:rPr>
          <w:rFonts w:ascii="Arial" w:cs="Arial" w:eastAsia="Arial" w:hAnsi="Arial"/>
          <w:sz w:val="18"/>
          <w:szCs w:val="18"/>
          <w:color w:val="auto"/>
        </w:rPr>
      </w:pPr>
    </w:p>
    <w:p>
      <w:pPr>
        <w:jc w:val="both"/>
        <w:ind w:left="660" w:hanging="328"/>
        <w:spacing w:after="0" w:line="24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Securities Exchange Act of 1934, any registered entity (as defined in Section 1(a)(29) of the Commodity Exchange Act, or any equivalent exchange, association, entity or organization that has disciplinary authority over its members or persons associated with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2023, except that Brad T. Wiemann inadvertently filed one late report on Form 4 regarding one purchase of 25,000 shares on October 12, 2022; Andrew D. Siegel inadvertently filed one late report on Form 3 regarding his initial ownership of common stock as a new director and three Forms 4 regarding his purchase of 8,042 shares on September 14, 2022, 1,958 shares on September 15, 2022, and 13,217 shares on September 20, 2022; and Howard I. Atkins has not filed his Form 3 regarding his initial ownership of common stock as a new director or his Form 4 for the grant of an option to him to purchase 17,667 shares of common stock April 18, 2023 due to difficulties obtaining his credentials from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adopted our Code of Conduct, which applies to all of our employees, officers and Directors. Included in the Code of Conduct are ethics provisions that apply to our CEO, Chief Financial Officer, and all other financial and accounting management employees. Copies of the Code of Conduct are available on our website at www.daktronics.com. The Nominating and Corporate Governance Committee reviews the Code of Conduct annually and oversees its implementation.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to the Procedures by which Security Holders May Recommend Nominees to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29, 2023, the Board of Directors of Daktronics approved the Company’s Amended and Restated Bylaws (as so amended, the “Bylaws”), effective as of such date. The amendments to the Bylaws modernize and clarify the Company’s Bylaws by adding conventional provisions to ensure orderly shareholder meetings. The amendments, among other things:</w:t>
      </w:r>
    </w:p>
    <w:p>
      <w:pPr>
        <w:spacing w:after="0" w:line="1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detailed procedures consistent with market practice for the calling and holding of special meetings of shareholders; and</w:t>
      </w:r>
    </w:p>
    <w:p>
      <w:pPr>
        <w:spacing w:after="0" w:line="238" w:lineRule="exact"/>
        <w:rPr>
          <w:rFonts w:ascii="Arial" w:cs="Arial" w:eastAsia="Arial" w:hAnsi="Arial"/>
          <w:sz w:val="18"/>
          <w:szCs w:val="18"/>
          <w:color w:val="auto"/>
        </w:rPr>
      </w:pPr>
    </w:p>
    <w:p>
      <w:pPr>
        <w:jc w:val="both"/>
        <w:ind w:left="660" w:hanging="328"/>
        <w:spacing w:after="0" w:line="278"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Update the procedures and disclosure requirements, in line with market practice, for the nomination of director nominees for election at meetings of shareholders, including to require additional information in a notice of intent to submit a nomination by a shareholder and to address the adoption of rules and regulations of the SEC regarding universal proxy cards set forth in Rule 14a-19 under the Securities Exchange Act of 1934 (the “Universal Proxy Card Rules”), including requiring that nominating shareholders comply with the Universal Proxy Card Rules.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Bylaws apply to all meetings of shareholders to be held after January 29, 2023. The Company intends to ask its shareholders, on an advisory basis, to approve the Bylaws at the next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currently has three standing committees: the Audit Committee, the Compensation Committee, and the Nominating and Corporate Governance Committee.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Audit Committee.</w:t>
      </w:r>
      <w:r>
        <w:rPr>
          <w:rFonts w:ascii="Arial" w:cs="Arial" w:eastAsia="Arial" w:hAnsi="Arial"/>
          <w:sz w:val="16"/>
          <w:szCs w:val="16"/>
          <w:color w:val="auto"/>
        </w:rPr>
        <w:t xml:space="preserve"> During fiscal 2023, the Audit Committee consisted of Kevin P. McDermott (Chairperson), John P. Friel, Shereta Williams, and Lance D. Bultena. The Board has determined that each Audit Committee member is independent as defined under Rule 5605(a)(2) of the Nasdaq Listing Rules and Rule 10A-3 under the Securities Exchange Act of 1934. The Board has determined that Mr. McDermott, Mr. Friel, Ms. Williams, and Mr. Bultena are qualified as "audit committee financial experts," as that term is defined in Item 407(d)(5)(ii) of Regulation S-K. The Audit Committee assists the Board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Deloitte &amp; Touche, LLP, which is our independent registered public accounting firm; reviews the scope and findings of the audit; reviews the adequacy and effectiveness of our accounting policies and system of internal control over financial reporting; and oversees our policy and procedures with respect to related party transactions described under "Item 13. Certain Relationships and Related Party Transactions, and Director Independence." The Audit Committee’s written Charter is available on our website at www.daktronics.com.</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During fiscal 2023, the Compensation Committee consisted of John P. Friel (Chairperson), Dr. José-Marie Griffiths, Shereta Williams, and Howard Atkins (appointed December 6, 2022). The Board has determined that all of the Compensation Committee members are independent directors, as defined under Rule 5605(a)(2) of the Nasdaq Listing Rules. The Compensation Committee annually reviews and approves the compensation of the CEO and other executives' compensation packages and acts upon management’s recommendations for executives concerning employee equity incentives, bonuses, and other compensation and benefit plans. The Compensation Committee’s Charter is available on our website at www.daktronics.com.</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Nominating and Corporate Governance Committee.</w:t>
      </w:r>
      <w:r>
        <w:rPr>
          <w:rFonts w:ascii="Arial" w:cs="Arial" w:eastAsia="Arial" w:hAnsi="Arial"/>
          <w:sz w:val="16"/>
          <w:szCs w:val="16"/>
          <w:color w:val="auto"/>
        </w:rPr>
        <w:t xml:space="preserve"> During fiscal 2023, the Nominating and Corporate Governance Committee consisted of prior Director James B. Morgan (Chairperson until July 20, 2022), Dr. José-Marie Griffiths, Lance Bultena (appointed on September 2, 2021 and named Chairperson on July 20, 2022), Kevin P. McDermott, and Andrew Siegel (appointed on September 7, 2022). The Board has determined that all of the Nominating and Corporate Governance Committee members are independent directors as defined under Rule 5605(a)(2) of the Nasdaq Listing Rules. Our Nominating and Corporate Governance Committee advises and makes recommendations to the Board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The Nominating and Corporate Governance Committee’s Charter and our Corporate Governance Guidelines are available on our website at www.daktronics.com.</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u w:val="single" w:color="auto"/>
          <w:color w:val="auto"/>
        </w:rPr>
        <w:t>Strategy and Financing Review Committee.</w:t>
      </w:r>
      <w:r>
        <w:rPr>
          <w:rFonts w:ascii="Arial" w:cs="Arial" w:eastAsia="Arial" w:hAnsi="Arial"/>
          <w:sz w:val="18"/>
          <w:szCs w:val="18"/>
          <w:color w:val="auto"/>
        </w:rPr>
        <w:t xml:space="preserve"> In December 2022, the Board formed a Strategy and Financing Review Committee (the “Strategy and Financing Review Committee”) to address the Company’s near-term credit needs and to examine alternatives for strengthening the Company’s longer-term financial structure and liquidity profile. The members of the Strategy and Financing Review Committee consist of Howard I. Atkins (who is Chair of the Strategy and Financing Review Committee), Lance D. Bultena, John P. Friel, Dr. José-Marie Griffiths, Kevin P. McDermott, Andrew D. Siegel and Shereta D. Williams, all of whom are independent directors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right="120"/>
        <w:spacing w:after="0" w:line="305" w:lineRule="auto"/>
        <w:rPr>
          <w:sz w:val="20"/>
          <w:szCs w:val="20"/>
          <w:color w:val="auto"/>
        </w:rPr>
      </w:pPr>
      <w:r>
        <w:rPr>
          <w:rFonts w:ascii="Arial" w:cs="Arial" w:eastAsia="Arial" w:hAnsi="Arial"/>
          <w:sz w:val="16"/>
          <w:szCs w:val="16"/>
          <w:color w:val="auto"/>
        </w:rPr>
        <w:t>The Board is committed to achieving the long-term mutual prosperity of all stakeholders while maintaining the highest standard of responsibility and integrity. The Board has adopted these corporate governance principles to provide an effective framework that reflects a set of core values and provides a foundation for Daktronics governance and management systems. Specific Board of Director responsibilities to achieve this commitment include:</w:t>
      </w:r>
    </w:p>
    <w:p>
      <w:pPr>
        <w:spacing w:after="0" w:line="1" w:lineRule="exact"/>
        <w:rPr>
          <w:sz w:val="20"/>
          <w:szCs w:val="20"/>
          <w:color w:val="auto"/>
        </w:rPr>
      </w:pPr>
    </w:p>
    <w:p>
      <w:pPr>
        <w:ind w:left="1000" w:hanging="422"/>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and operational planning: reviewing the overall operating, financial and strategic plans and performance of Daktronics;</w:t>
      </w:r>
    </w:p>
    <w:p>
      <w:pPr>
        <w:spacing w:after="0" w:line="211" w:lineRule="exact"/>
        <w:rPr>
          <w:rFonts w:ascii="Arial" w:cs="Arial" w:eastAsia="Arial" w:hAnsi="Arial"/>
          <w:sz w:val="18"/>
          <w:szCs w:val="18"/>
          <w:color w:val="auto"/>
        </w:rPr>
      </w:pPr>
    </w:p>
    <w:p>
      <w:pPr>
        <w:ind w:left="1000" w:right="300" w:hanging="422"/>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oversight: selecting and evaluating the Company’s CEO and approving and monitoring the selection and evaluation process of other executive officers;</w:t>
      </w:r>
    </w:p>
    <w:p>
      <w:pPr>
        <w:spacing w:after="0" w:line="129" w:lineRule="exact"/>
        <w:rPr>
          <w:rFonts w:ascii="Arial" w:cs="Arial" w:eastAsia="Arial" w:hAnsi="Arial"/>
          <w:sz w:val="18"/>
          <w:szCs w:val="18"/>
          <w:color w:val="auto"/>
        </w:rPr>
      </w:pPr>
    </w:p>
    <w:p>
      <w:pPr>
        <w:ind w:left="1000" w:hanging="422"/>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Governance, compliance and risk management: overseeing appropriate policies of corporate conduct and compliance with laws; and</w:t>
      </w:r>
    </w:p>
    <w:p>
      <w:pPr>
        <w:spacing w:after="0" w:line="236" w:lineRule="exact"/>
        <w:rPr>
          <w:rFonts w:ascii="Arial" w:cs="Arial" w:eastAsia="Arial" w:hAnsi="Arial"/>
          <w:sz w:val="17"/>
          <w:szCs w:val="17"/>
          <w:color w:val="auto"/>
        </w:rPr>
      </w:pPr>
    </w:p>
    <w:p>
      <w:pPr>
        <w:ind w:left="1000" w:right="300" w:hanging="422"/>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reporting: reviewing the process by which financial and related non-financial information about the Company is provided to management, the Board and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strategies, and major corporate actions through discussions with the named executive officers identified in the Summary of Compensation Table included in this Form 10-K, by reviewing material provided to them and by participating in meetings of the Board and its committees.</w:t>
      </w:r>
    </w:p>
    <w:p>
      <w:pPr>
        <w:spacing w:after="0" w:line="17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Board currently combines the roles of CEO and Chairman of the Board ("Chair"). Periodically, our Board assesses these roles and the Board leadership structure to assure that the interests of the Company and its shareholders are best served.</w:t>
      </w:r>
    </w:p>
    <w:p>
      <w:pPr>
        <w:spacing w:after="0" w:line="170"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Board has determined that its current structure, with a combined Chair and CEO role, is in the best interests of the Company and its shareholders at this time. Kevin P. McDermott has served as Lead Independent Director since June 1, 2020.</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Chair conducts the Board meetings. The Chair, after consulting with the Lead Independent Director, sets the agenda for Board meetings, sets schedules, and distributes information to the Board. This collaborative process assures that the agenda takes into account issues and concerns of all Directors and is forward-looking and focuses on strategic matters.</w:t>
      </w:r>
    </w:p>
    <w:p>
      <w:pPr>
        <w:spacing w:after="0" w:line="184"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Lead Independent Director calls and presides over Independent Director meetings and provides timely feedback from each meeting to the Chair. The Lead Independent Director is responsible for promoting effective relationships and open communication among Directors and the CEO, building consensus among Board members, building an effective and complementary Board, promoting the highest standards of corporate governance, participating actively in the selection of new Directors, and promoting the orientation of new Directors to provide coaching and support for their development.</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200" w:lineRule="exact"/>
        <w:rPr>
          <w:sz w:val="20"/>
          <w:szCs w:val="20"/>
          <w:color w:val="auto"/>
        </w:rPr>
      </w:pPr>
    </w:p>
    <w:p>
      <w:pPr>
        <w:spacing w:after="0" w:line="240" w:lineRule="exact"/>
        <w:rPr>
          <w:sz w:val="20"/>
          <w:szCs w:val="20"/>
          <w:color w:val="auto"/>
        </w:rPr>
      </w:pPr>
    </w:p>
    <w:p>
      <w:pPr>
        <w:ind w:left="1000" w:right="300" w:hanging="422"/>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29" w:lineRule="exact"/>
        <w:rPr>
          <w:rFonts w:ascii="Arial" w:cs="Arial" w:eastAsia="Arial" w:hAnsi="Arial"/>
          <w:sz w:val="18"/>
          <w:szCs w:val="18"/>
          <w:color w:val="auto"/>
        </w:rPr>
      </w:pPr>
    </w:p>
    <w:p>
      <w:pPr>
        <w:jc w:val="both"/>
        <w:ind w:left="1000" w:right="300" w:hanging="422"/>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29" w:lineRule="exact"/>
        <w:rPr>
          <w:rFonts w:ascii="Arial" w:cs="Arial" w:eastAsia="Arial" w:hAnsi="Arial"/>
          <w:sz w:val="18"/>
          <w:szCs w:val="18"/>
          <w:color w:val="auto"/>
        </w:rPr>
      </w:pPr>
    </w:p>
    <w:p>
      <w:pPr>
        <w:ind w:left="1000" w:hanging="422"/>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225" w:lineRule="exact"/>
        <w:rPr>
          <w:rFonts w:ascii="Arial" w:cs="Arial" w:eastAsia="Arial" w:hAnsi="Arial"/>
          <w:sz w:val="18"/>
          <w:szCs w:val="18"/>
          <w:color w:val="auto"/>
        </w:rPr>
      </w:pPr>
    </w:p>
    <w:p>
      <w:pPr>
        <w:ind w:left="1000" w:right="300" w:hanging="422"/>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members of the Board of Directors other than the CEO (the "Independent Directors") meet in conjunction with regularly scheduled quarterly Board meetings and at other appropriate times.</w:t>
      </w:r>
    </w:p>
    <w:p>
      <w:pPr>
        <w:spacing w:after="0" w:line="129" w:lineRule="exact"/>
        <w:rPr>
          <w:rFonts w:ascii="Arial" w:cs="Arial" w:eastAsia="Arial" w:hAnsi="Arial"/>
          <w:sz w:val="18"/>
          <w:szCs w:val="18"/>
          <w:color w:val="auto"/>
        </w:rPr>
      </w:pPr>
    </w:p>
    <w:p>
      <w:pPr>
        <w:ind w:left="1000" w:right="300" w:hanging="422"/>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cybersecurity, the economy, credit markets, and regulatory and legislative developments. The Board has also been actively engaged with management in preparing for, responding to, and monitoring the impacts of the COVID-19 novel coronavirus pandemic and related recovery along with supply chain disruptions. Management is in regular communication with the Board about the assessment, management, and strategic response to the significant risks to Daktronics.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and Committees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2023, the Board held four regularly scheduled meetings and four special meeting, the Audit Committee met five times, the Compensation Committee met four times, the Nominating and Corporate Governance Committee met four times, and the Strategy and Financing Review Committee met 10 times. All of the Directors attended at least 75 percent of all meetings of the Board and Board committees upon which they served, and all of the Directors attended the annual meeting of shareholders held in September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adopted a practice of meeting in executive session, and with Independent Directors only, in conjunction with each regularly scheduled Board meeting. The Independent Directors met four times in fiscal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fiscal years ended April 29, 2023, April 30, 2022 and May 1, 2021,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April 29, 2023, all of whom constitute our "Named Executive Officers."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SUMMARY COMPENSATION TABLE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p>
      <w:pPr>
        <w:spacing w:after="0" w:line="200" w:lineRule="exact"/>
        <w:rPr>
          <w:sz w:val="20"/>
          <w:szCs w:val="20"/>
          <w:color w:val="auto"/>
        </w:rPr>
      </w:pPr>
    </w:p>
    <w:p>
      <w:pPr>
        <w:spacing w:after="0" w:line="309"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Arial" w:cs="Arial" w:eastAsia="Arial" w:hAnsi="Arial"/>
                <w:sz w:val="17"/>
                <w:szCs w:val="17"/>
                <w:color w:val="auto"/>
                <w:w w:val="95"/>
              </w:rPr>
              <w:t>Non-Equity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5"/>
              <w:spacing w:after="0"/>
              <w:rPr>
                <w:sz w:val="20"/>
                <w:szCs w:val="20"/>
                <w:color w:val="auto"/>
              </w:rPr>
            </w:pPr>
            <w:r>
              <w:rPr>
                <w:rFonts w:ascii="Arial" w:cs="Arial" w:eastAsia="Arial" w:hAnsi="Arial"/>
                <w:sz w:val="17"/>
                <w:szCs w:val="17"/>
                <w:color w:val="auto"/>
                <w:w w:val="91"/>
              </w:rPr>
              <w:t>Option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7"/>
                <w:szCs w:val="17"/>
                <w:color w:val="auto"/>
                <w:w w:val="91"/>
              </w:rPr>
              <w:t>Incentive Plan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95"/>
              <w:spacing w:after="0"/>
              <w:rPr>
                <w:sz w:val="20"/>
                <w:szCs w:val="20"/>
                <w:color w:val="auto"/>
              </w:rPr>
            </w:pPr>
            <w:r>
              <w:rPr>
                <w:rFonts w:ascii="Arial" w:cs="Arial" w:eastAsia="Arial" w:hAnsi="Arial"/>
                <w:sz w:val="17"/>
                <w:szCs w:val="17"/>
                <w:color w:val="auto"/>
              </w:rPr>
              <w:t>All 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Pr>
          <w:p>
            <w:pPr>
              <w:ind w:left="120"/>
              <w:spacing w:after="0"/>
              <w:rPr>
                <w:sz w:val="20"/>
                <w:szCs w:val="20"/>
                <w:color w:val="auto"/>
              </w:rPr>
            </w:pPr>
            <w:r>
              <w:rPr>
                <w:rFonts w:ascii="Arial" w:cs="Arial" w:eastAsia="Arial" w:hAnsi="Arial"/>
                <w:sz w:val="17"/>
                <w:szCs w:val="17"/>
                <w:color w:val="auto"/>
                <w:w w:val="98"/>
              </w:rPr>
              <w:t>Name and Principal</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7"/>
                <w:szCs w:val="17"/>
                <w:color w:val="auto"/>
                <w:w w:val="92"/>
              </w:rPr>
              <w:t>Stock Awards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Arial" w:cs="Arial" w:eastAsia="Arial" w:hAnsi="Arial"/>
                <w:sz w:val="17"/>
                <w:szCs w:val="17"/>
                <w:color w:val="auto"/>
                <w:w w:val="92"/>
              </w:rPr>
              <w:t>Awards ($)</w:t>
            </w:r>
          </w:p>
        </w:tc>
        <w:tc>
          <w:tcPr>
            <w:tcW w:w="1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auto"/>
                <w:w w:val="92"/>
              </w:rPr>
              <w:t>Compensation($)</w:t>
            </w:r>
          </w:p>
        </w:tc>
        <w:tc>
          <w:tcPr>
            <w:tcW w:w="1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auto"/>
                <w:w w:val="90"/>
              </w:rPr>
              <w:t>Compensation($)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20"/>
              <w:spacing w:after="0"/>
              <w:rPr>
                <w:sz w:val="20"/>
                <w:szCs w:val="20"/>
                <w:color w:val="auto"/>
              </w:rPr>
            </w:pPr>
            <w:r>
              <w:rPr>
                <w:rFonts w:ascii="Arial" w:cs="Arial" w:eastAsia="Arial" w:hAnsi="Arial"/>
                <w:sz w:val="17"/>
                <w:szCs w:val="17"/>
                <w:color w:val="auto"/>
              </w:rPr>
              <w:t>Position</w:t>
            </w:r>
          </w:p>
        </w:tc>
        <w:tc>
          <w:tcPr>
            <w:tcW w:w="1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Year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color w:val="auto"/>
                <w:w w:val="95"/>
              </w:rPr>
              <w:t>Salary($)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95"/>
              <w:spacing w:after="0"/>
              <w:rPr>
                <w:sz w:val="20"/>
                <w:szCs w:val="20"/>
                <w:color w:val="auto"/>
              </w:rPr>
            </w:pPr>
            <w:r>
              <w:rPr>
                <w:rFonts w:ascii="Arial" w:cs="Arial" w:eastAsia="Arial" w:hAnsi="Arial"/>
                <w:sz w:val="17"/>
                <w:szCs w:val="17"/>
                <w:color w:val="auto"/>
              </w:rPr>
              <w:t>($)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5"/>
              <w:spacing w:after="0"/>
              <w:rPr>
                <w:sz w:val="20"/>
                <w:szCs w:val="20"/>
                <w:color w:val="auto"/>
              </w:rPr>
            </w:pPr>
            <w:r>
              <w:rPr>
                <w:rFonts w:ascii="Arial" w:cs="Arial" w:eastAsia="Arial" w:hAnsi="Arial"/>
                <w:sz w:val="17"/>
                <w:szCs w:val="17"/>
                <w:color w:val="auto"/>
                <w:w w:val="96"/>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Arial" w:cs="Arial" w:eastAsia="Arial" w:hAnsi="Arial"/>
                <w:sz w:val="17"/>
                <w:szCs w:val="17"/>
                <w:color w:val="auto"/>
                <w:w w:val="96"/>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415"/>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55"/>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31"/>
        </w:trPr>
        <w:tc>
          <w:tcPr>
            <w:tcW w:w="1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Reece A. Kurtenbach</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491,400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16,308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35,039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11,286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563,183</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CEO and President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470,308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28,296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30,375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538,673</w:t>
            </w:r>
          </w:p>
        </w:tc>
        <w:tc>
          <w:tcPr>
            <w:tcW w:w="0" w:type="dxa"/>
            <w:vAlign w:val="bottom"/>
          </w:tcPr>
          <w:p>
            <w:pPr>
              <w:spacing w:after="0"/>
              <w:rPr>
                <w:sz w:val="1"/>
                <w:szCs w:val="1"/>
                <w:color w:val="auto"/>
              </w:rPr>
            </w:pPr>
          </w:p>
        </w:tc>
      </w:tr>
      <w:tr>
        <w:trPr>
          <w:trHeight w:val="294"/>
        </w:trPr>
        <w:tc>
          <w:tcPr>
            <w:tcW w:w="1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386,658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42,660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449,838</w:t>
            </w:r>
          </w:p>
        </w:tc>
        <w:tc>
          <w:tcPr>
            <w:tcW w:w="0" w:type="dxa"/>
            <w:vAlign w:val="bottom"/>
          </w:tcPr>
          <w:p>
            <w:pPr>
              <w:spacing w:after="0"/>
              <w:rPr>
                <w:sz w:val="1"/>
                <w:szCs w:val="1"/>
                <w:color w:val="auto"/>
              </w:rPr>
            </w:pPr>
          </w:p>
        </w:tc>
      </w:tr>
      <w:tr>
        <w:trPr>
          <w:trHeight w:val="226"/>
        </w:trPr>
        <w:tc>
          <w:tcPr>
            <w:tcW w:w="1600" w:type="dxa"/>
            <w:vAlign w:val="bottom"/>
          </w:tcPr>
          <w:p>
            <w:pPr>
              <w:ind w:left="20"/>
              <w:spacing w:after="0"/>
              <w:rPr>
                <w:sz w:val="20"/>
                <w:szCs w:val="20"/>
                <w:color w:val="auto"/>
              </w:rPr>
            </w:pPr>
            <w:r>
              <w:rPr>
                <w:rFonts w:ascii="Arial" w:cs="Arial" w:eastAsia="Arial" w:hAnsi="Arial"/>
                <w:sz w:val="17"/>
                <w:szCs w:val="17"/>
                <w:color w:val="auto"/>
              </w:rPr>
              <w:t>Sheila M. Anderson</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2023</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314,985</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7,550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16,313</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5,272</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6,536</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350,656</w:t>
            </w:r>
          </w:p>
        </w:tc>
        <w:tc>
          <w:tcPr>
            <w:tcW w:w="0" w:type="dxa"/>
            <w:vAlign w:val="bottom"/>
          </w:tcPr>
          <w:p>
            <w:pPr>
              <w:spacing w:after="0"/>
              <w:rPr>
                <w:sz w:val="1"/>
                <w:szCs w:val="1"/>
                <w:color w:val="auto"/>
              </w:rPr>
            </w:pPr>
          </w:p>
        </w:tc>
      </w:tr>
      <w:tr>
        <w:trPr>
          <w:trHeight w:val="256"/>
        </w:trPr>
        <w:tc>
          <w:tcPr>
            <w:tcW w:w="1600" w:type="dxa"/>
            <w:vAlign w:val="bottom"/>
          </w:tcPr>
          <w:p>
            <w:pPr>
              <w:ind w:left="20"/>
              <w:spacing w:after="0"/>
              <w:rPr>
                <w:sz w:val="20"/>
                <w:szCs w:val="20"/>
                <w:color w:val="auto"/>
              </w:rPr>
            </w:pPr>
            <w:r>
              <w:rPr>
                <w:rFonts w:ascii="Arial" w:cs="Arial" w:eastAsia="Arial" w:hAnsi="Arial"/>
                <w:sz w:val="17"/>
                <w:szCs w:val="17"/>
                <w:color w:val="auto"/>
              </w:rPr>
              <w:t>Chief Financial</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300,192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auto"/>
              </w:rPr>
              <w:t>13,100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vMerge w:val="restart"/>
          </w:tcPr>
          <w:p>
            <w:pPr>
              <w:jc w:val="right"/>
              <w:ind w:right="15"/>
              <w:spacing w:after="0"/>
              <w:rPr>
                <w:sz w:val="20"/>
                <w:szCs w:val="20"/>
                <w:color w:val="auto"/>
              </w:rPr>
            </w:pPr>
            <w:r>
              <w:rPr>
                <w:rFonts w:ascii="Arial" w:cs="Arial" w:eastAsia="Arial" w:hAnsi="Arial"/>
                <w:sz w:val="17"/>
                <w:szCs w:val="17"/>
                <w:color w:val="auto"/>
              </w:rPr>
              <w:t>14,063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7,883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335,238</w:t>
            </w:r>
          </w:p>
        </w:tc>
        <w:tc>
          <w:tcPr>
            <w:tcW w:w="0" w:type="dxa"/>
            <w:vAlign w:val="bottom"/>
          </w:tcPr>
          <w:p>
            <w:pPr>
              <w:spacing w:after="0"/>
              <w:rPr>
                <w:sz w:val="1"/>
                <w:szCs w:val="1"/>
                <w:color w:val="auto"/>
              </w:rPr>
            </w:pPr>
          </w:p>
        </w:tc>
      </w:tr>
      <w:tr>
        <w:trPr>
          <w:trHeight w:val="108"/>
        </w:trPr>
        <w:tc>
          <w:tcPr>
            <w:tcW w:w="1600" w:type="dxa"/>
            <w:vAlign w:val="bottom"/>
            <w:vMerge w:val="restart"/>
          </w:tcPr>
          <w:p>
            <w:pPr>
              <w:ind w:left="20"/>
              <w:spacing w:after="0"/>
              <w:rPr>
                <w:sz w:val="20"/>
                <w:szCs w:val="20"/>
                <w:color w:val="auto"/>
              </w:rPr>
            </w:pPr>
            <w:r>
              <w:rPr>
                <w:rFonts w:ascii="Arial" w:cs="Arial" w:eastAsia="Arial" w:hAnsi="Arial"/>
                <w:sz w:val="17"/>
                <w:szCs w:val="17"/>
                <w:color w:val="auto"/>
              </w:rPr>
              <w:t>Officer</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244,963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19,750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274,213</w:t>
            </w:r>
          </w:p>
        </w:tc>
        <w:tc>
          <w:tcPr>
            <w:tcW w:w="0" w:type="dxa"/>
            <w:vAlign w:val="bottom"/>
          </w:tcPr>
          <w:p>
            <w:pPr>
              <w:spacing w:after="0"/>
              <w:rPr>
                <w:sz w:val="1"/>
                <w:szCs w:val="1"/>
                <w:color w:val="auto"/>
              </w:rPr>
            </w:pPr>
          </w:p>
        </w:tc>
      </w:tr>
      <w:tr>
        <w:trPr>
          <w:trHeight w:val="45"/>
        </w:trPr>
        <w:tc>
          <w:tcPr>
            <w:tcW w:w="16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Bradley T. Wiemann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297,515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7,550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16,313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4,930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334,750</w:t>
            </w:r>
          </w:p>
        </w:tc>
        <w:tc>
          <w:tcPr>
            <w:tcW w:w="0" w:type="dxa"/>
            <w:vAlign w:val="bottom"/>
          </w:tcPr>
          <w:p>
            <w:pPr>
              <w:spacing w:after="0"/>
              <w:rPr>
                <w:sz w:val="1"/>
                <w:szCs w:val="1"/>
                <w:color w:val="auto"/>
              </w:rPr>
            </w:pPr>
          </w:p>
        </w:tc>
      </w:tr>
      <w:tr>
        <w:trPr>
          <w:trHeight w:val="256"/>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Vice</w:t>
            </w:r>
          </w:p>
        </w:tc>
        <w:tc>
          <w:tcPr>
            <w:tcW w:w="140" w:type="dxa"/>
            <w:vAlign w:val="bottom"/>
            <w:shd w:val="clear" w:color="auto" w:fill="CCEEFF"/>
          </w:tcPr>
          <w:p>
            <w:pPr>
              <w:spacing w:after="0"/>
              <w:rPr>
                <w:sz w:val="22"/>
                <w:szCs w:val="2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287,339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13,100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14,063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322,688</w:t>
            </w:r>
          </w:p>
        </w:tc>
        <w:tc>
          <w:tcPr>
            <w:tcW w:w="0" w:type="dxa"/>
            <w:vAlign w:val="bottom"/>
          </w:tcPr>
          <w:p>
            <w:pPr>
              <w:spacing w:after="0"/>
              <w:rPr>
                <w:sz w:val="1"/>
                <w:szCs w:val="1"/>
                <w:color w:val="auto"/>
              </w:rPr>
            </w:pPr>
          </w:p>
        </w:tc>
      </w:tr>
      <w:tr>
        <w:trPr>
          <w:trHeight w:val="122"/>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President</w:t>
            </w:r>
          </w:p>
        </w:tc>
        <w:tc>
          <w:tcPr>
            <w:tcW w:w="1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1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255,240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19,750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284,490</w:t>
            </w:r>
          </w:p>
        </w:tc>
        <w:tc>
          <w:tcPr>
            <w:tcW w:w="0" w:type="dxa"/>
            <w:vAlign w:val="bottom"/>
          </w:tcPr>
          <w:p>
            <w:pPr>
              <w:spacing w:after="0"/>
              <w:rPr>
                <w:sz w:val="1"/>
                <w:szCs w:val="1"/>
                <w:color w:val="auto"/>
              </w:rPr>
            </w:pPr>
          </w:p>
        </w:tc>
      </w:tr>
      <w:tr>
        <w:trPr>
          <w:trHeight w:val="225"/>
        </w:trPr>
        <w:tc>
          <w:tcPr>
            <w:tcW w:w="1600" w:type="dxa"/>
            <w:vAlign w:val="bottom"/>
          </w:tcPr>
          <w:p>
            <w:pPr>
              <w:ind w:left="20"/>
              <w:spacing w:after="0"/>
              <w:rPr>
                <w:sz w:val="20"/>
                <w:szCs w:val="20"/>
                <w:color w:val="auto"/>
              </w:rPr>
            </w:pPr>
            <w:r>
              <w:rPr>
                <w:rFonts w:ascii="Arial" w:cs="Arial" w:eastAsia="Arial" w:hAnsi="Arial"/>
                <w:sz w:val="17"/>
                <w:szCs w:val="17"/>
                <w:color w:val="auto"/>
              </w:rPr>
              <w:t>Matthew J.</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2023</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287,115</w:t>
            </w:r>
          </w:p>
        </w:tc>
        <w:tc>
          <w:tcPr>
            <w:tcW w:w="32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color w:val="auto"/>
              </w:rPr>
              <w:t>7,550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ind w:right="15"/>
              <w:spacing w:after="0"/>
              <w:rPr>
                <w:sz w:val="20"/>
                <w:szCs w:val="20"/>
                <w:color w:val="auto"/>
              </w:rPr>
            </w:pPr>
            <w:r>
              <w:rPr>
                <w:rFonts w:ascii="Arial" w:cs="Arial" w:eastAsia="Arial" w:hAnsi="Arial"/>
                <w:sz w:val="17"/>
                <w:szCs w:val="17"/>
                <w:color w:val="auto"/>
              </w:rPr>
              <w:t>16,313</w:t>
            </w:r>
          </w:p>
        </w:tc>
        <w:tc>
          <w:tcPr>
            <w:tcW w:w="220" w:type="dxa"/>
            <w:vAlign w:val="bottom"/>
            <w:gridSpan w:val="2"/>
            <w:vMerge w:val="restart"/>
          </w:tcPr>
          <w:p>
            <w:pPr>
              <w:ind w:left="120"/>
              <w:spacing w:after="0"/>
              <w:rPr>
                <w:sz w:val="20"/>
                <w:szCs w:val="20"/>
                <w:color w:val="auto"/>
              </w:rPr>
            </w:pPr>
            <w:r>
              <w:rPr>
                <w:rFonts w:ascii="Arial" w:cs="Arial" w:eastAsia="Arial" w:hAnsi="Arial"/>
                <w:sz w:val="17"/>
                <w:szCs w:val="17"/>
                <w:color w:val="auto"/>
                <w:w w:val="84"/>
              </w:rPr>
              <w:t>$</w:t>
            </w:r>
          </w:p>
        </w:tc>
        <w:tc>
          <w:tcPr>
            <w:tcW w:w="1120" w:type="dxa"/>
            <w:vAlign w:val="bottom"/>
            <w:vMerge w:val="restart"/>
          </w:tcPr>
          <w:p>
            <w:pPr>
              <w:jc w:val="right"/>
              <w:ind w:right="15"/>
              <w:spacing w:after="0"/>
              <w:rPr>
                <w:sz w:val="20"/>
                <w:szCs w:val="20"/>
                <w:color w:val="auto"/>
              </w:rPr>
            </w:pPr>
            <w:r>
              <w:rPr>
                <w:rFonts w:ascii="Arial" w:cs="Arial" w:eastAsia="Arial" w:hAnsi="Arial"/>
                <w:sz w:val="17"/>
                <w:szCs w:val="17"/>
                <w:color w:val="auto"/>
              </w:rPr>
              <w:t>4,761</w:t>
            </w:r>
          </w:p>
        </w:tc>
        <w:tc>
          <w:tcPr>
            <w:tcW w:w="30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8,613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324,352</w:t>
            </w:r>
          </w:p>
        </w:tc>
        <w:tc>
          <w:tcPr>
            <w:tcW w:w="0" w:type="dxa"/>
            <w:vAlign w:val="bottom"/>
          </w:tcPr>
          <w:p>
            <w:pPr>
              <w:spacing w:after="0"/>
              <w:rPr>
                <w:sz w:val="1"/>
                <w:szCs w:val="1"/>
                <w:color w:val="auto"/>
              </w:rPr>
            </w:pPr>
          </w:p>
        </w:tc>
      </w:tr>
      <w:tr>
        <w:trPr>
          <w:trHeight w:val="108"/>
        </w:trPr>
        <w:tc>
          <w:tcPr>
            <w:tcW w:w="1600" w:type="dxa"/>
            <w:vAlign w:val="bottom"/>
            <w:vMerge w:val="restart"/>
          </w:tcPr>
          <w:p>
            <w:pPr>
              <w:ind w:left="20"/>
              <w:spacing w:after="0"/>
              <w:rPr>
                <w:sz w:val="20"/>
                <w:szCs w:val="20"/>
                <w:color w:val="auto"/>
              </w:rPr>
            </w:pPr>
            <w:r>
              <w:rPr>
                <w:rFonts w:ascii="Arial" w:cs="Arial" w:eastAsia="Arial" w:hAnsi="Arial"/>
                <w:sz w:val="17"/>
                <w:szCs w:val="17"/>
                <w:color w:val="auto"/>
              </w:rPr>
              <w:t>Kurtenbach</w:t>
            </w:r>
          </w:p>
        </w:tc>
        <w:tc>
          <w:tcPr>
            <w:tcW w:w="82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600" w:type="dxa"/>
            <w:vAlign w:val="bottom"/>
          </w:tcPr>
          <w:p>
            <w:pPr>
              <w:ind w:left="20"/>
              <w:spacing w:after="0"/>
              <w:rPr>
                <w:sz w:val="20"/>
                <w:szCs w:val="20"/>
                <w:color w:val="auto"/>
              </w:rPr>
            </w:pPr>
            <w:r>
              <w:rPr>
                <w:rFonts w:ascii="Arial" w:cs="Arial" w:eastAsia="Arial" w:hAnsi="Arial"/>
                <w:sz w:val="17"/>
                <w:szCs w:val="17"/>
                <w:color w:val="auto"/>
              </w:rPr>
              <w:t>Vice President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276,546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13,100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14,063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312,005</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245,340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9,500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19,750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274,590</w:t>
            </w:r>
          </w:p>
        </w:tc>
        <w:tc>
          <w:tcPr>
            <w:tcW w:w="0" w:type="dxa"/>
            <w:vAlign w:val="bottom"/>
          </w:tcPr>
          <w:p>
            <w:pPr>
              <w:spacing w:after="0"/>
              <w:rPr>
                <w:sz w:val="1"/>
                <w:szCs w:val="1"/>
                <w:color w:val="auto"/>
              </w:rPr>
            </w:pPr>
          </w:p>
        </w:tc>
      </w:tr>
      <w:tr>
        <w:trPr>
          <w:trHeight w:val="45"/>
        </w:trPr>
        <w:tc>
          <w:tcPr>
            <w:tcW w:w="16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Carla S. Gatzke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244,292</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7,550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16,313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3,113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278,597</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Vice President and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13,100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14,063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269,752</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Secretary</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208,980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9,500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19,750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238,230</w:t>
            </w:r>
          </w:p>
        </w:tc>
        <w:tc>
          <w:tcPr>
            <w:tcW w:w="0" w:type="dxa"/>
            <w:vAlign w:val="bottom"/>
          </w:tcPr>
          <w:p>
            <w:pPr>
              <w:spacing w:after="0"/>
              <w:rPr>
                <w:sz w:val="1"/>
                <w:szCs w:val="1"/>
                <w:color w:val="auto"/>
              </w:rPr>
            </w:pPr>
          </w:p>
        </w:tc>
      </w:tr>
      <w:tr>
        <w:trPr>
          <w:trHeight w:val="45"/>
        </w:trPr>
        <w:tc>
          <w:tcPr>
            <w:tcW w:w="1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1000" w:right="400" w:hanging="426"/>
        <w:spacing w:after="0" w:line="290"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restricted stock units granted under the Daktronics, Inc.2020 Stock Incentive Plan (the "2020 Plan") for fiscal 2021, 2022 and 2023. In accordance with Accounting Standards Codification ("ASC") 718, the amount is calculated based on the grant date fair value of the award. Refer to "Note 10. Shareholders' Equity and Share-Based Compensation" of the Notes to our Consolidated Financial Statements included in this Form 10-K for a discussion of the assumptions used in calculating the amount under ASC 718.</w:t>
      </w:r>
    </w:p>
    <w:p>
      <w:pPr>
        <w:spacing w:after="0" w:line="109" w:lineRule="exact"/>
        <w:rPr>
          <w:rFonts w:ascii="Arial" w:cs="Arial" w:eastAsia="Arial" w:hAnsi="Arial"/>
          <w:sz w:val="16"/>
          <w:szCs w:val="16"/>
          <w:color w:val="auto"/>
        </w:rPr>
      </w:pPr>
    </w:p>
    <w:p>
      <w:pPr>
        <w:jc w:val="both"/>
        <w:ind w:left="1000" w:right="400" w:hanging="426"/>
        <w:spacing w:after="0" w:line="24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stock options granted under the 2020 Plan for fiscal 2021, fiscal 2022, and fiscal 2023. The value of the option awards is calculated based on the grant date fair value of the award in accordance with ASC 718. Refer to "Note 10. Shareholders' Equity and Share-Based Compensation" of the Notes to our Consolidated Financial Statements included in this Form 10-K for a discussion of the assumptions used in calculating the amount under ASC 718.</w:t>
      </w:r>
    </w:p>
    <w:p>
      <w:pPr>
        <w:spacing w:after="0" w:line="140" w:lineRule="exact"/>
        <w:rPr>
          <w:rFonts w:ascii="Arial" w:cs="Arial" w:eastAsia="Arial" w:hAnsi="Arial"/>
          <w:sz w:val="18"/>
          <w:szCs w:val="18"/>
          <w:color w:val="auto"/>
        </w:rPr>
      </w:pPr>
    </w:p>
    <w:p>
      <w:pPr>
        <w:jc w:val="both"/>
        <w:ind w:left="1000" w:right="400" w:hanging="426"/>
        <w:spacing w:after="0" w:line="24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below, non-equity-based incentive compensation payments are based upon the achievement of certain operating margin targets for fiscal 2021, 2022, and 2023.</w:t>
      </w:r>
    </w:p>
    <w:p>
      <w:pPr>
        <w:spacing w:after="0" w:line="141" w:lineRule="exact"/>
        <w:rPr>
          <w:rFonts w:ascii="Arial" w:cs="Arial" w:eastAsia="Arial" w:hAnsi="Arial"/>
          <w:sz w:val="18"/>
          <w:szCs w:val="18"/>
          <w:color w:val="auto"/>
        </w:rPr>
      </w:pPr>
    </w:p>
    <w:p>
      <w:pPr>
        <w:ind w:left="1000" w:right="400" w:hanging="42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Internal Revenue Code (the "Code").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fiscal 2023, the principal components of our executive compensation program consisted of the following, each of which is addressed below in greater detail: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 w:hanging="376"/>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920" w:hanging="376"/>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225" w:lineRule="exact"/>
        <w:rPr>
          <w:rFonts w:ascii="Arial" w:cs="Arial" w:eastAsia="Arial" w:hAnsi="Arial"/>
          <w:sz w:val="18"/>
          <w:szCs w:val="18"/>
          <w:color w:val="auto"/>
        </w:rPr>
      </w:pPr>
    </w:p>
    <w:p>
      <w:pPr>
        <w:ind w:left="920" w:hanging="376"/>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equity-based compensation plan, and</w:t>
      </w:r>
    </w:p>
    <w:p>
      <w:pPr>
        <w:spacing w:after="0" w:line="225" w:lineRule="exact"/>
        <w:rPr>
          <w:rFonts w:ascii="Arial" w:cs="Arial" w:eastAsia="Arial" w:hAnsi="Arial"/>
          <w:sz w:val="18"/>
          <w:szCs w:val="18"/>
          <w:color w:val="auto"/>
        </w:rPr>
      </w:pPr>
    </w:p>
    <w:p>
      <w:pPr>
        <w:ind w:left="920" w:hanging="376"/>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benefits.</w:t>
      </w: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salary reflects each executive's responsibility, capability and performance. Base salary is determined based on the benchmarking</w:t>
      </w:r>
      <w:r>
        <w:rPr>
          <w:rFonts w:ascii="Arial" w:cs="Arial" w:eastAsia="Arial" w:hAnsi="Arial"/>
          <w:sz w:val="18"/>
          <w:szCs w:val="18"/>
          <w:i w:val="1"/>
          <w:iCs w:val="1"/>
          <w:color w:val="auto"/>
        </w:rPr>
        <w:t xml:space="preserve"> </w:t>
      </w:r>
      <w:r>
        <w:rPr>
          <w:rFonts w:ascii="Arial" w:cs="Arial" w:eastAsia="Arial" w:hAnsi="Arial"/>
          <w:sz w:val="18"/>
          <w:szCs w:val="18"/>
          <w:color w:val="auto"/>
        </w:rPr>
        <w:t>data for the executive's responsibilities, the executive's experience, and the executive's performance and the impact of such performance on our business results.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also takes into account the Company's financial performance, and it has in the past limited executive pay changes based on business or economic conditions. The Compensation Committee also considers the recommendations of the CEO for other Named Executive Officers.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in response to the potential impacts of the COVID-19 pandemic on the Company's business, Mr. Reece A. Kurtenbach and Ms. Sheila M. Anderson reduced their base salaries by 15%, and the other Named Executive Officers elected to reduce their base salaries by 10%. Executive pay was reinstated beginning in fiscal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Non-Equity-Based Incentive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purpose of our non-equity-based incentive compensation plan is to focus the executive team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five months of base salary to eight months of base salary for each executive officer. The maximum level of the variable cash compensation is 120 percent of the targeted level of variable cash compensation.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Compensation Committee's preference for a material level of executive compensation that varies with the Company's performance. The Compensation Committee selected the operating margin measure for the formula because they believe it is the most appropriate indicator of performance that will drive long-term shareholder value, and it is consistent with our corporate strategies.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4"/>
          </w:tcPr>
          <w:p>
            <w:pPr>
              <w:spacing w:after="0"/>
              <w:rPr>
                <w:sz w:val="20"/>
                <w:szCs w:val="20"/>
                <w:color w:val="auto"/>
              </w:rPr>
            </w:pPr>
            <w:r>
              <w:rPr>
                <w:rFonts w:ascii="Arial" w:cs="Arial" w:eastAsia="Arial" w:hAnsi="Arial"/>
                <w:sz w:val="18"/>
                <w:szCs w:val="18"/>
                <w:color w:val="auto"/>
                <w:w w:val="91"/>
              </w:rPr>
              <w:t>The various payout percentages based on operating margins are as follows:</w:t>
            </w:r>
          </w:p>
        </w:tc>
        <w:tc>
          <w:tcPr>
            <w:tcW w:w="48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86"/>
        </w:trPr>
        <w:tc>
          <w:tcPr>
            <w:tcW w:w="140" w:type="dxa"/>
            <w:vAlign w:val="bottom"/>
          </w:tcPr>
          <w:p>
            <w:pPr>
              <w:spacing w:after="0"/>
              <w:rPr>
                <w:sz w:val="24"/>
                <w:szCs w:val="24"/>
                <w:color w:val="auto"/>
              </w:rPr>
            </w:pPr>
          </w:p>
        </w:tc>
        <w:tc>
          <w:tcPr>
            <w:tcW w:w="5440" w:type="dxa"/>
            <w:vAlign w:val="bottom"/>
            <w:gridSpan w:val="3"/>
          </w:tcPr>
          <w:p>
            <w:pPr>
              <w:ind w:left="1600"/>
              <w:spacing w:after="0"/>
              <w:rPr>
                <w:sz w:val="20"/>
                <w:szCs w:val="20"/>
                <w:color w:val="auto"/>
              </w:rPr>
            </w:pPr>
            <w:r>
              <w:rPr>
                <w:rFonts w:ascii="Arial" w:cs="Arial" w:eastAsia="Arial" w:hAnsi="Arial"/>
                <w:sz w:val="18"/>
                <w:szCs w:val="18"/>
                <w:color w:val="auto"/>
              </w:rPr>
              <w:t>Operating Margin</w:t>
            </w:r>
          </w:p>
        </w:tc>
        <w:tc>
          <w:tcPr>
            <w:tcW w:w="530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Percentage of Targeted Non-equity Incentive Compensation</w:t>
            </w:r>
          </w:p>
        </w:tc>
      </w:tr>
      <w:tr>
        <w:trPr>
          <w:trHeight w:val="27"/>
        </w:trPr>
        <w:tc>
          <w:tcPr>
            <w:tcW w:w="14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544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Less than 2.5 %</w:t>
            </w:r>
          </w:p>
        </w:tc>
        <w:tc>
          <w:tcPr>
            <w:tcW w:w="53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43"/>
        </w:trPr>
        <w:tc>
          <w:tcPr>
            <w:tcW w:w="140" w:type="dxa"/>
            <w:vAlign w:val="bottom"/>
          </w:tcPr>
          <w:p>
            <w:pPr>
              <w:spacing w:after="0"/>
              <w:rPr>
                <w:sz w:val="21"/>
                <w:szCs w:val="21"/>
                <w:color w:val="auto"/>
              </w:rPr>
            </w:pPr>
          </w:p>
        </w:tc>
        <w:tc>
          <w:tcPr>
            <w:tcW w:w="5440" w:type="dxa"/>
            <w:vAlign w:val="bottom"/>
            <w:gridSpan w:val="3"/>
          </w:tcPr>
          <w:p>
            <w:pPr>
              <w:jc w:val="right"/>
              <w:ind w:right="760"/>
              <w:spacing w:after="0"/>
              <w:rPr>
                <w:sz w:val="20"/>
                <w:szCs w:val="20"/>
                <w:color w:val="auto"/>
              </w:rPr>
            </w:pPr>
            <w:r>
              <w:rPr>
                <w:rFonts w:ascii="Arial" w:cs="Arial" w:eastAsia="Arial" w:hAnsi="Arial"/>
                <w:sz w:val="18"/>
                <w:szCs w:val="18"/>
                <w:color w:val="auto"/>
              </w:rPr>
              <w:t>2.5 to 5.0 %</w:t>
            </w:r>
          </w:p>
        </w:tc>
        <w:tc>
          <w:tcPr>
            <w:tcW w:w="5300" w:type="dxa"/>
            <w:vAlign w:val="bottom"/>
            <w:gridSpan w:val="2"/>
          </w:tcPr>
          <w:p>
            <w:pPr>
              <w:jc w:val="right"/>
              <w:ind w:right="280"/>
              <w:spacing w:after="0"/>
              <w:rPr>
                <w:sz w:val="20"/>
                <w:szCs w:val="20"/>
                <w:color w:val="auto"/>
              </w:rPr>
            </w:pPr>
            <w:r>
              <w:rPr>
                <w:rFonts w:ascii="Arial" w:cs="Arial" w:eastAsia="Arial" w:hAnsi="Arial"/>
                <w:sz w:val="18"/>
                <w:szCs w:val="18"/>
                <w:color w:val="auto"/>
              </w:rPr>
              <w:t>0.0 to 25.0 %</w:t>
            </w:r>
          </w:p>
        </w:tc>
      </w:tr>
      <w:tr>
        <w:trPr>
          <w:trHeight w:val="27"/>
        </w:trPr>
        <w:tc>
          <w:tcPr>
            <w:tcW w:w="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544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5.0 to 7.5 %</w:t>
            </w:r>
          </w:p>
        </w:tc>
        <w:tc>
          <w:tcPr>
            <w:tcW w:w="5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 to 60.0 %</w:t>
            </w:r>
          </w:p>
        </w:tc>
      </w:tr>
      <w:tr>
        <w:trPr>
          <w:trHeight w:val="243"/>
        </w:trPr>
        <w:tc>
          <w:tcPr>
            <w:tcW w:w="140" w:type="dxa"/>
            <w:vAlign w:val="bottom"/>
          </w:tcPr>
          <w:p>
            <w:pPr>
              <w:spacing w:after="0"/>
              <w:rPr>
                <w:sz w:val="21"/>
                <w:szCs w:val="21"/>
                <w:color w:val="auto"/>
              </w:rPr>
            </w:pPr>
          </w:p>
        </w:tc>
        <w:tc>
          <w:tcPr>
            <w:tcW w:w="5440" w:type="dxa"/>
            <w:vAlign w:val="bottom"/>
            <w:gridSpan w:val="3"/>
          </w:tcPr>
          <w:p>
            <w:pPr>
              <w:jc w:val="right"/>
              <w:ind w:right="760"/>
              <w:spacing w:after="0"/>
              <w:rPr>
                <w:sz w:val="20"/>
                <w:szCs w:val="20"/>
                <w:color w:val="auto"/>
              </w:rPr>
            </w:pPr>
            <w:r>
              <w:rPr>
                <w:rFonts w:ascii="Arial" w:cs="Arial" w:eastAsia="Arial" w:hAnsi="Arial"/>
                <w:sz w:val="18"/>
                <w:szCs w:val="18"/>
                <w:color w:val="auto"/>
              </w:rPr>
              <w:t>7.5 to 10.0 %</w:t>
            </w:r>
          </w:p>
        </w:tc>
        <w:tc>
          <w:tcPr>
            <w:tcW w:w="5300" w:type="dxa"/>
            <w:vAlign w:val="bottom"/>
            <w:gridSpan w:val="2"/>
          </w:tcPr>
          <w:p>
            <w:pPr>
              <w:jc w:val="right"/>
              <w:ind w:right="280"/>
              <w:spacing w:after="0"/>
              <w:rPr>
                <w:sz w:val="20"/>
                <w:szCs w:val="20"/>
                <w:color w:val="auto"/>
              </w:rPr>
            </w:pPr>
            <w:r>
              <w:rPr>
                <w:rFonts w:ascii="Arial" w:cs="Arial" w:eastAsia="Arial" w:hAnsi="Arial"/>
                <w:sz w:val="18"/>
                <w:szCs w:val="18"/>
                <w:color w:val="auto"/>
              </w:rPr>
              <w:t>60.0 to 100.0 %</w:t>
            </w:r>
          </w:p>
        </w:tc>
      </w:tr>
      <w:tr>
        <w:trPr>
          <w:trHeight w:val="27"/>
        </w:trPr>
        <w:tc>
          <w:tcPr>
            <w:tcW w:w="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54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10.0 to 12.5 %</w:t>
            </w:r>
          </w:p>
        </w:tc>
        <w:tc>
          <w:tcPr>
            <w:tcW w:w="5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 to 120.0 %</w:t>
            </w:r>
          </w:p>
        </w:tc>
      </w:tr>
      <w:tr>
        <w:trPr>
          <w:trHeight w:val="27"/>
        </w:trPr>
        <w:tc>
          <w:tcPr>
            <w:tcW w:w="140" w:type="dxa"/>
            <w:vAlign w:val="bottom"/>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2023, the Named Executive Officers were eligible for non-equity-based incentive compensation if the maximum payout of 120 percent of target was achieved as follows: CEO - 90 percent of his base salary; Chief Financial Officer - 65 percent of her base salary; Vice President and Secretary - 50 percent of her base salary; and all other Named Executives Officers - 65 percent of his or her base salary. For fiscal 2023, there was a total of $29,362 of non-equity-based incentive compensation for Named Executive Officers and none in fiscal 2022 and fiscal 2021.</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offer long-term incentives to our executives and align the interests of employees more</w:t>
      </w:r>
      <w:r>
        <w:rPr>
          <w:rFonts w:ascii="Arial" w:cs="Arial" w:eastAsia="Arial" w:hAnsi="Arial"/>
          <w:sz w:val="18"/>
          <w:szCs w:val="18"/>
          <w:i w:val="1"/>
          <w:iCs w:val="1"/>
          <w:color w:val="auto"/>
        </w:rPr>
        <w:t xml:space="preserve"> </w:t>
      </w:r>
      <w:r>
        <w:rPr>
          <w:rFonts w:ascii="Arial" w:cs="Arial" w:eastAsia="Arial" w:hAnsi="Arial"/>
          <w:sz w:val="18"/>
          <w:szCs w:val="18"/>
          <w:color w:val="auto"/>
        </w:rPr>
        <w:t>closely with those of our shareholders.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year, the Board, based on recommendations of the Compensation Committee, determines the number of shares that may be subject to equity awards for all employees, including the Named Executive Officers. The total number of shares subject to equity awards is constrained by the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 estimate of a percentage of total payroll expense. The Compensation Committee and the Board generally follow a practice of calculating the equity grant valuation limit based on the share price on the date of the Compensation Committee meeting at which the equity grants are determined by the Compensation Committee for recommendation to the Board to assure that the valuation limit is consistent with the approximate dilution limit of one percent. The Compensation Committee then allocates these equity grants to the Named Executive Officers, and the CEO allocates equity grants to selected employees. To facilitate the grant of stock options to employees and other executive officers, the Board authorized the CEO to grant individual stock options and restricted stock units during fiscal 2023, subject to the guidelines and limitations imposed by the Compensation Committee.</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Compensation Committee also considers trends in equity-based compensation, the mix of the type of equity grants, and the number of our shares that are available for equity grants. The Compensation Committee and the Board also generally follow a practice of allocating similar equity grants to each of the Named Executive Officers, with some variation based on responsibilities and experience. The allocation to the Named Executive Officers is based on historical grants, the value of past grants, and the Company’s performance, all of which are subject to the objectives listed under the section of this Form 10-K entitled "Compensation Discussion and Analysis - Role of Compensation Committee, Philosophy and Objectives."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fiscal 2023, the Compensation Committee determined that each Named Executive Officer would be allocated equity grants for approximately 13,750 shares of common stock, with a ratio of 4.5-to-1 of incentive stock options to restricted stock units. The Compensation Committee determined that Mr. Reece A. Kurtenbach should receive a grant of approximately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Compensation Committee determined that the valuation of the equity grants, based on the grant date fair value as determined under ASC 718, would be limited to approximately $1.3 million for all employees, including the Named Executive Officers. The value of the restricted stock units was equal to 46.5 percent of the value of the stock options for executives, as determined under the fair value provisions of ASC 718. For fiscal 2023, all equity grants to employees were made under the 2020 Plan.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common stock as reported on The Nasdaq Global Select Market on the date of grant, which is defined in the 2020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 with 20 percent of the restricted stock units vesting each year following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post-retirement health coverage, or similar benefits for our executives or employees.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Code. At the discretion of the Board, we may make matching contributions equal to a percentage of the salary deduction contributions or other discretionary amounts. For fiscal year 2021, the matching contribution program was suspended because of the COVID-19 pandemic. Effective for fiscal year 2022, the matching contribution program was reinstated. We paid $3.0 million in fiscal 2023 and $2.6 million in fiscal 2022 in matching contributions. Contributions to the 401(k) Plan on behalf of the Named Executive Officers are described in the table entitled "Summary Compensation Table – Fiscal 2023."</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Code. The ESPP allows employees to purchase shares of common stock, subject to annual limitations, at a price equal to 85 percent of the lower of the fair market value of the common stock at the beginning or the end of each six-month offering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Treatment</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We account for equity-based compensation paid to employees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w:t>
      </w:r>
    </w:p>
    <w:p>
      <w:pPr>
        <w:spacing w:after="0" w:line="184"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Section 162(m) of the Code generally disallows a tax deduction to a public company for compensation in excess of $1 million paid to a company's chief executive officer and the four other most highly 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of the Code has not been material to our compensation decisions.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GRANTS OF PLAN-BASED AWARDS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All other stock</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All other option</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Grant date</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awards: number</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awards: number of</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w w:val="91"/>
              </w:rPr>
              <w:t>Exercise or base</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fair value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6"/>
          </w:tcPr>
          <w:p>
            <w:pPr>
              <w:jc w:val="center"/>
              <w:spacing w:after="0"/>
              <w:rPr>
                <w:sz w:val="20"/>
                <w:szCs w:val="20"/>
                <w:color w:val="auto"/>
              </w:rPr>
            </w:pPr>
            <w:r>
              <w:rPr>
                <w:rFonts w:ascii="Arial" w:cs="Arial" w:eastAsia="Arial" w:hAnsi="Arial"/>
                <w:sz w:val="17"/>
                <w:szCs w:val="17"/>
                <w:color w:val="auto"/>
                <w:w w:val="91"/>
              </w:rPr>
              <w:t>Estimated future payouts under non-equity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w w:val="91"/>
              </w:rPr>
              <w:t>of shares of stock</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securities underlying</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price of option</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of stock</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595"/>
              <w:spacing w:after="0"/>
              <w:rPr>
                <w:sz w:val="20"/>
                <w:szCs w:val="20"/>
                <w:color w:val="auto"/>
              </w:rPr>
            </w:pPr>
            <w:r>
              <w:rPr>
                <w:rFonts w:ascii="Arial" w:cs="Arial" w:eastAsia="Arial" w:hAnsi="Arial"/>
                <w:sz w:val="17"/>
                <w:szCs w:val="17"/>
                <w:color w:val="auto"/>
                <w:w w:val="91"/>
              </w:rPr>
              <w:t>incentive plan awards(1)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or units</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options</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87"/>
              </w:rPr>
              <w:t>awards</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and option</w:t>
            </w:r>
          </w:p>
        </w:tc>
        <w:tc>
          <w:tcPr>
            <w:tcW w:w="0" w:type="dxa"/>
            <w:vAlign w:val="bottom"/>
          </w:tcPr>
          <w:p>
            <w:pPr>
              <w:spacing w:after="0"/>
              <w:rPr>
                <w:sz w:val="1"/>
                <w:szCs w:val="1"/>
                <w:color w:val="auto"/>
              </w:rPr>
            </w:pPr>
          </w:p>
        </w:tc>
      </w:tr>
      <w:tr>
        <w:trPr>
          <w:trHeight w:val="31"/>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880" w:type="dxa"/>
            <w:vAlign w:val="bottom"/>
            <w:gridSpan w:val="2"/>
            <w:vMerge w:val="restart"/>
          </w:tcPr>
          <w:p>
            <w:pPr>
              <w:ind w:left="20"/>
              <w:spacing w:after="0"/>
              <w:rPr>
                <w:sz w:val="20"/>
                <w:szCs w:val="20"/>
                <w:color w:val="auto"/>
              </w:rPr>
            </w:pPr>
            <w:r>
              <w:rPr>
                <w:rFonts w:ascii="Arial" w:cs="Arial" w:eastAsia="Arial" w:hAnsi="Arial"/>
                <w:sz w:val="17"/>
                <w:szCs w:val="17"/>
                <w:color w:val="auto"/>
              </w:rPr>
              <w:t>Name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awards ($)</w:t>
            </w:r>
          </w:p>
        </w:tc>
        <w:tc>
          <w:tcPr>
            <w:tcW w:w="0" w:type="dxa"/>
            <w:vAlign w:val="bottom"/>
          </w:tcPr>
          <w:p>
            <w:pPr>
              <w:spacing w:after="0"/>
              <w:rPr>
                <w:sz w:val="1"/>
                <w:szCs w:val="1"/>
                <w:color w:val="auto"/>
              </w:rPr>
            </w:pPr>
          </w:p>
        </w:tc>
      </w:tr>
      <w:tr>
        <w:trPr>
          <w:trHeight w:val="108"/>
        </w:trPr>
        <w:tc>
          <w:tcPr>
            <w:tcW w:w="1880" w:type="dxa"/>
            <w:vAlign w:val="bottom"/>
            <w:gridSpan w:val="2"/>
            <w:vMerge w:val="continue"/>
          </w:tcPr>
          <w:p>
            <w:pPr>
              <w:spacing w:after="0"/>
              <w:rPr>
                <w:sz w:val="9"/>
                <w:szCs w:val="9"/>
                <w:color w:val="auto"/>
              </w:rPr>
            </w:pPr>
          </w:p>
        </w:tc>
        <w:tc>
          <w:tcPr>
            <w:tcW w:w="3180" w:type="dxa"/>
            <w:vAlign w:val="bottom"/>
            <w:gridSpan w:val="6"/>
            <w:vMerge w:val="restart"/>
          </w:tcPr>
          <w:p>
            <w:pPr>
              <w:jc w:val="right"/>
              <w:spacing w:after="0"/>
              <w:rPr>
                <w:sz w:val="20"/>
                <w:szCs w:val="20"/>
                <w:color w:val="auto"/>
              </w:rPr>
            </w:pPr>
            <w:r>
              <w:rPr>
                <w:rFonts w:ascii="Arial" w:cs="Arial" w:eastAsia="Arial" w:hAnsi="Arial"/>
                <w:sz w:val="17"/>
                <w:szCs w:val="17"/>
                <w:color w:val="auto"/>
              </w:rPr>
              <w:t>Threshold ($)   Target ($)   Maximum ($)</w:t>
            </w:r>
          </w:p>
        </w:tc>
        <w:tc>
          <w:tcPr>
            <w:tcW w:w="80" w:type="dxa"/>
            <w:vAlign w:val="bottom"/>
          </w:tcPr>
          <w:p>
            <w:pPr>
              <w:spacing w:after="0"/>
              <w:rPr>
                <w:sz w:val="9"/>
                <w:szCs w:val="9"/>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7"/>
                <w:szCs w:val="17"/>
                <w:color w:val="auto"/>
              </w:rPr>
              <w:t>Grant Date</w:t>
            </w:r>
          </w:p>
        </w:tc>
        <w:tc>
          <w:tcPr>
            <w:tcW w:w="1260" w:type="dxa"/>
            <w:vAlign w:val="bottom"/>
            <w:vMerge w:val="restart"/>
          </w:tcPr>
          <w:p>
            <w:pPr>
              <w:jc w:val="center"/>
              <w:spacing w:after="0"/>
              <w:rPr>
                <w:sz w:val="20"/>
                <w:szCs w:val="20"/>
                <w:color w:val="auto"/>
              </w:rPr>
            </w:pPr>
            <w:r>
              <w:rPr>
                <w:rFonts w:ascii="Arial" w:cs="Arial" w:eastAsia="Arial" w:hAnsi="Arial"/>
                <w:sz w:val="17"/>
                <w:szCs w:val="17"/>
                <w:color w:val="auto"/>
                <w:w w:val="96"/>
              </w:rPr>
              <w:t>(#)(2)</w:t>
            </w:r>
          </w:p>
        </w:tc>
        <w:tc>
          <w:tcPr>
            <w:tcW w:w="158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w w:val="94"/>
              </w:rPr>
              <w:t>(#) (3)</w:t>
            </w:r>
          </w:p>
        </w:tc>
        <w:tc>
          <w:tcPr>
            <w:tcW w:w="10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7"/>
                <w:szCs w:val="17"/>
                <w:color w:val="auto"/>
                <w:w w:val="90"/>
              </w:rPr>
              <w:t>($/share)(4)</w:t>
            </w:r>
          </w:p>
        </w:tc>
        <w:tc>
          <w:tcPr>
            <w:tcW w:w="94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w w:val="96"/>
              </w:rPr>
              <w:t>(5)</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Reece A. Kurtenbach</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83,600</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334,400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401,280</w:t>
            </w:r>
          </w:p>
        </w:tc>
        <w:tc>
          <w:tcPr>
            <w:tcW w:w="96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9/8/2022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24,165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51,347</w:t>
            </w: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7"/>
                <w:szCs w:val="17"/>
                <w:color w:val="auto"/>
              </w:rPr>
              <w:t>Sheila M. Anderson</w:t>
            </w:r>
          </w:p>
        </w:tc>
        <w:tc>
          <w:tcPr>
            <w:tcW w:w="1080" w:type="dxa"/>
            <w:vAlign w:val="bottom"/>
          </w:tcPr>
          <w:p>
            <w:pPr>
              <w:jc w:val="right"/>
              <w:spacing w:after="0"/>
              <w:rPr>
                <w:sz w:val="20"/>
                <w:szCs w:val="20"/>
                <w:color w:val="auto"/>
              </w:rPr>
            </w:pPr>
            <w:r>
              <w:rPr>
                <w:rFonts w:ascii="Arial" w:cs="Arial" w:eastAsia="Arial" w:hAnsi="Arial"/>
                <w:sz w:val="17"/>
                <w:szCs w:val="17"/>
                <w:color w:val="auto"/>
              </w:rPr>
              <w:t>37,171</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148,683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178,420</w:t>
            </w:r>
          </w:p>
        </w:tc>
        <w:tc>
          <w:tcPr>
            <w:tcW w:w="960" w:type="dxa"/>
            <w:vAlign w:val="bottom"/>
            <w:gridSpan w:val="2"/>
          </w:tcPr>
          <w:p>
            <w:pPr>
              <w:jc w:val="right"/>
              <w:ind w:right="155"/>
              <w:spacing w:after="0"/>
              <w:rPr>
                <w:sz w:val="20"/>
                <w:szCs w:val="20"/>
                <w:color w:val="auto"/>
              </w:rPr>
            </w:pPr>
            <w:r>
              <w:rPr>
                <w:rFonts w:ascii="Arial" w:cs="Arial" w:eastAsia="Arial" w:hAnsi="Arial"/>
                <w:sz w:val="17"/>
                <w:szCs w:val="17"/>
                <w:color w:val="auto"/>
              </w:rPr>
              <w:t>9/8/2022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11,250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3.02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23,863</w:t>
            </w: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Bradley T. Wiemann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41,085</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164,342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197,210</w:t>
            </w:r>
          </w:p>
        </w:tc>
        <w:tc>
          <w:tcPr>
            <w:tcW w:w="96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9/8/2022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23,863</w:t>
            </w:r>
          </w:p>
        </w:tc>
        <w:tc>
          <w:tcPr>
            <w:tcW w:w="0" w:type="dxa"/>
            <w:vAlign w:val="bottom"/>
          </w:tcPr>
          <w:p>
            <w:pPr>
              <w:spacing w:after="0"/>
              <w:rPr>
                <w:sz w:val="1"/>
                <w:szCs w:val="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7"/>
                <w:szCs w:val="17"/>
                <w:color w:val="auto"/>
              </w:rPr>
              <w:t>Matthew J. Kurtenbach</w:t>
            </w:r>
          </w:p>
        </w:tc>
        <w:tc>
          <w:tcPr>
            <w:tcW w:w="1080" w:type="dxa"/>
            <w:vAlign w:val="bottom"/>
          </w:tcPr>
          <w:p>
            <w:pPr>
              <w:jc w:val="right"/>
              <w:spacing w:after="0"/>
              <w:rPr>
                <w:sz w:val="20"/>
                <w:szCs w:val="20"/>
                <w:color w:val="auto"/>
              </w:rPr>
            </w:pPr>
            <w:r>
              <w:rPr>
                <w:rFonts w:ascii="Arial" w:cs="Arial" w:eastAsia="Arial" w:hAnsi="Arial"/>
                <w:sz w:val="17"/>
                <w:szCs w:val="17"/>
                <w:color w:val="auto"/>
              </w:rPr>
              <w:t>39,677</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158,708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190,450</w:t>
            </w:r>
          </w:p>
        </w:tc>
        <w:tc>
          <w:tcPr>
            <w:tcW w:w="960" w:type="dxa"/>
            <w:vAlign w:val="bottom"/>
            <w:gridSpan w:val="2"/>
          </w:tcPr>
          <w:p>
            <w:pPr>
              <w:jc w:val="right"/>
              <w:ind w:right="155"/>
              <w:spacing w:after="0"/>
              <w:rPr>
                <w:sz w:val="20"/>
                <w:szCs w:val="20"/>
                <w:color w:val="auto"/>
              </w:rPr>
            </w:pPr>
            <w:r>
              <w:rPr>
                <w:rFonts w:ascii="Arial" w:cs="Arial" w:eastAsia="Arial" w:hAnsi="Arial"/>
                <w:sz w:val="17"/>
                <w:szCs w:val="17"/>
                <w:color w:val="auto"/>
              </w:rPr>
              <w:t>9/8/2022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11,250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3.02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23,863</w:t>
            </w:r>
          </w:p>
        </w:tc>
        <w:tc>
          <w:tcPr>
            <w:tcW w:w="0" w:type="dxa"/>
            <w:vAlign w:val="bottom"/>
          </w:tcPr>
          <w:p>
            <w:pPr>
              <w:spacing w:after="0"/>
              <w:rPr>
                <w:sz w:val="1"/>
                <w:szCs w:val="1"/>
                <w:color w:val="auto"/>
              </w:rPr>
            </w:pPr>
          </w:p>
        </w:tc>
      </w:tr>
      <w:tr>
        <w:trPr>
          <w:trHeight w:val="31"/>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Carla S. Gatzke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25,938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103,750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124,500</w:t>
            </w:r>
          </w:p>
        </w:tc>
        <w:tc>
          <w:tcPr>
            <w:tcW w:w="9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9/8/2022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23,863</w:t>
            </w:r>
          </w:p>
        </w:tc>
        <w:tc>
          <w:tcPr>
            <w:tcW w:w="0" w:type="dxa"/>
            <w:vAlign w:val="bottom"/>
          </w:tcPr>
          <w:p>
            <w:pPr>
              <w:spacing w:after="0"/>
              <w:rPr>
                <w:sz w:val="1"/>
                <w:szCs w:val="1"/>
                <w:color w:val="auto"/>
              </w:rPr>
            </w:pPr>
          </w:p>
        </w:tc>
      </w:tr>
      <w:tr>
        <w:trPr>
          <w:trHeight w:val="31"/>
        </w:trPr>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1000" w:right="400" w:hanging="426"/>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Form 10-K entitled "Compensation Discussion and Analysis - Elements of Compensation."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000" w:hanging="426"/>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2023 under the 2020 Plan. The units vest as to 20 percent of the shares one year after the date of grant and as to an additional 20 percent in each succeeding year, but only if the Named Executive Officer is then an employee of the Company.</w:t>
      </w:r>
    </w:p>
    <w:p>
      <w:pPr>
        <w:spacing w:after="0" w:line="143" w:lineRule="exact"/>
        <w:rPr>
          <w:rFonts w:ascii="Arial" w:cs="Arial" w:eastAsia="Arial" w:hAnsi="Arial"/>
          <w:sz w:val="18"/>
          <w:szCs w:val="18"/>
          <w:color w:val="auto"/>
        </w:rPr>
      </w:pPr>
    </w:p>
    <w:p>
      <w:pPr>
        <w:jc w:val="both"/>
        <w:ind w:left="1000" w:hanging="426"/>
        <w:spacing w:after="0" w:line="248"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2023 under the 2020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41" w:lineRule="exact"/>
        <w:rPr>
          <w:rFonts w:ascii="Arial" w:cs="Arial" w:eastAsia="Arial" w:hAnsi="Arial"/>
          <w:sz w:val="18"/>
          <w:szCs w:val="18"/>
          <w:color w:val="auto"/>
        </w:rPr>
      </w:pPr>
    </w:p>
    <w:p>
      <w:pPr>
        <w:ind w:left="1000" w:hanging="426"/>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2020 Plan.</w:t>
      </w:r>
    </w:p>
    <w:p>
      <w:pPr>
        <w:spacing w:after="0" w:line="129" w:lineRule="exact"/>
        <w:rPr>
          <w:rFonts w:ascii="Arial" w:cs="Arial" w:eastAsia="Arial" w:hAnsi="Arial"/>
          <w:sz w:val="18"/>
          <w:szCs w:val="18"/>
          <w:color w:val="auto"/>
        </w:rPr>
      </w:pPr>
    </w:p>
    <w:p>
      <w:pPr>
        <w:jc w:val="both"/>
        <w:ind w:left="1000" w:hanging="426"/>
        <w:spacing w:after="0" w:line="27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full grant date fair value determined pursuant to ASC 718 as reflected in our financial statements, based on the number of shares subject to the options and restricted stock unit awards granted and the closing price of the common stock as quoted on The Nasdaq Global Select Market on the date of grant, which was $3.02 per share on September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information about unexercised options and restricted stock units that have not vested that were held as of April 29, 2023 by the Named Executive Officers: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OUTSTANDING EQUITY AWARDS AT FISCAL YEAR-END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p>
      <w:pPr>
        <w:spacing w:after="0" w:line="26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w w:val="98"/>
              </w:rPr>
              <w:t>Option Awards(1)</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right"/>
              <w:ind w:right="695"/>
              <w:spacing w:after="0"/>
              <w:rPr>
                <w:sz w:val="20"/>
                <w:szCs w:val="20"/>
                <w:color w:val="auto"/>
              </w:rPr>
            </w:pPr>
            <w:r>
              <w:rPr>
                <w:rFonts w:ascii="Arial" w:cs="Arial" w:eastAsia="Arial" w:hAnsi="Arial"/>
                <w:sz w:val="17"/>
                <w:szCs w:val="17"/>
                <w:color w:val="auto"/>
              </w:rPr>
              <w:t>Stock Awards</w:t>
            </w:r>
          </w:p>
        </w:tc>
      </w:tr>
      <w:tr>
        <w:trPr>
          <w:trHeight w:val="31"/>
        </w:trPr>
        <w:tc>
          <w:tcPr>
            <w:tcW w:w="20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2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Number of</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Number of</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Securities</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88"/>
              </w:rPr>
              <w:t>Securities</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Market Value of</w:t>
            </w:r>
          </w:p>
        </w:tc>
      </w:tr>
      <w:tr>
        <w:trPr>
          <w:trHeight w:val="203"/>
        </w:trPr>
        <w:tc>
          <w:tcPr>
            <w:tcW w:w="2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5"/>
              </w:rPr>
              <w:t>Underlying</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5"/>
              </w:rPr>
              <w:t>Underlying</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Shares or Units</w:t>
            </w:r>
          </w:p>
        </w:tc>
        <w:tc>
          <w:tcPr>
            <w:tcW w:w="1240" w:type="dxa"/>
            <w:vAlign w:val="bottom"/>
          </w:tcPr>
          <w:p>
            <w:pPr>
              <w:jc w:val="center"/>
              <w:spacing w:after="0"/>
              <w:rPr>
                <w:sz w:val="20"/>
                <w:szCs w:val="20"/>
                <w:color w:val="auto"/>
              </w:rPr>
            </w:pPr>
            <w:r>
              <w:rPr>
                <w:rFonts w:ascii="Arial" w:cs="Arial" w:eastAsia="Arial" w:hAnsi="Arial"/>
                <w:sz w:val="17"/>
                <w:szCs w:val="17"/>
                <w:color w:val="auto"/>
                <w:w w:val="88"/>
              </w:rPr>
              <w:t>Shares or Units</w:t>
            </w:r>
          </w:p>
        </w:tc>
      </w:tr>
      <w:tr>
        <w:trPr>
          <w:trHeight w:val="203"/>
        </w:trPr>
        <w:tc>
          <w:tcPr>
            <w:tcW w:w="2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0"/>
              </w:rPr>
              <w:t>Unexercised</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0"/>
              </w:rPr>
              <w:t>Unexercised</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3"/>
              </w:rPr>
              <w:t>of Stock that</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of Stock That</w:t>
            </w:r>
          </w:p>
        </w:tc>
      </w:tr>
      <w:tr>
        <w:trPr>
          <w:trHeight w:val="203"/>
        </w:trPr>
        <w:tc>
          <w:tcPr>
            <w:tcW w:w="2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2"/>
              </w:rPr>
              <w:t>Options (#)</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2"/>
              </w:rPr>
              <w:t>Options (#)</w:t>
            </w:r>
          </w:p>
        </w:tc>
        <w:tc>
          <w:tcPr>
            <w:tcW w:w="1300" w:type="dxa"/>
            <w:vAlign w:val="bottom"/>
          </w:tcPr>
          <w:p>
            <w:pPr>
              <w:jc w:val="right"/>
              <w:spacing w:after="0"/>
              <w:rPr>
                <w:sz w:val="20"/>
                <w:szCs w:val="20"/>
                <w:color w:val="auto"/>
              </w:rPr>
            </w:pPr>
            <w:r>
              <w:rPr>
                <w:rFonts w:ascii="Arial" w:cs="Arial" w:eastAsia="Arial" w:hAnsi="Arial"/>
                <w:sz w:val="17"/>
                <w:szCs w:val="17"/>
                <w:color w:val="auto"/>
              </w:rPr>
              <w:t>Option Exercise</w:t>
            </w:r>
          </w:p>
        </w:tc>
        <w:tc>
          <w:tcPr>
            <w:tcW w:w="1320" w:type="dxa"/>
            <w:vAlign w:val="bottom"/>
          </w:tcPr>
          <w:p>
            <w:pPr>
              <w:jc w:val="center"/>
              <w:ind w:left="35"/>
              <w:spacing w:after="0"/>
              <w:rPr>
                <w:sz w:val="20"/>
                <w:szCs w:val="20"/>
                <w:color w:val="auto"/>
              </w:rPr>
            </w:pPr>
            <w:r>
              <w:rPr>
                <w:rFonts w:ascii="Arial" w:cs="Arial" w:eastAsia="Arial" w:hAnsi="Arial"/>
                <w:sz w:val="17"/>
                <w:szCs w:val="17"/>
                <w:color w:val="auto"/>
                <w:w w:val="95"/>
              </w:rPr>
              <w:t>Option</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Have Not Vested</w:t>
            </w:r>
          </w:p>
        </w:tc>
        <w:tc>
          <w:tcPr>
            <w:tcW w:w="1240" w:type="dxa"/>
            <w:vAlign w:val="bottom"/>
          </w:tcPr>
          <w:p>
            <w:pPr>
              <w:jc w:val="center"/>
              <w:spacing w:after="0"/>
              <w:rPr>
                <w:sz w:val="20"/>
                <w:szCs w:val="20"/>
                <w:color w:val="auto"/>
              </w:rPr>
            </w:pPr>
            <w:r>
              <w:rPr>
                <w:rFonts w:ascii="Arial" w:cs="Arial" w:eastAsia="Arial" w:hAnsi="Arial"/>
                <w:sz w:val="17"/>
                <w:szCs w:val="17"/>
                <w:color w:val="auto"/>
                <w:w w:val="90"/>
              </w:rPr>
              <w:t>Have Not Vested</w:t>
            </w:r>
          </w:p>
        </w:tc>
      </w:tr>
      <w:tr>
        <w:trPr>
          <w:trHeight w:val="216"/>
        </w:trPr>
        <w:tc>
          <w:tcPr>
            <w:tcW w:w="2020" w:type="dxa"/>
            <w:vAlign w:val="bottom"/>
          </w:tcPr>
          <w:p>
            <w:pPr>
              <w:ind w:left="20"/>
              <w:spacing w:after="0"/>
              <w:rPr>
                <w:sz w:val="20"/>
                <w:szCs w:val="20"/>
                <w:color w:val="auto"/>
              </w:rPr>
            </w:pPr>
            <w:r>
              <w:rPr>
                <w:rFonts w:ascii="Arial" w:cs="Arial" w:eastAsia="Arial" w:hAnsi="Arial"/>
                <w:sz w:val="17"/>
                <w:szCs w:val="17"/>
                <w:color w:val="auto"/>
              </w:rPr>
              <w:t>Name</w:t>
            </w:r>
          </w:p>
        </w:tc>
        <w:tc>
          <w:tcPr>
            <w:tcW w:w="1220" w:type="dxa"/>
            <w:vAlign w:val="bottom"/>
          </w:tcPr>
          <w:p>
            <w:pPr>
              <w:ind w:left="240"/>
              <w:spacing w:after="0"/>
              <w:rPr>
                <w:sz w:val="20"/>
                <w:szCs w:val="20"/>
                <w:color w:val="auto"/>
              </w:rPr>
            </w:pPr>
            <w:r>
              <w:rPr>
                <w:rFonts w:ascii="Arial" w:cs="Arial" w:eastAsia="Arial" w:hAnsi="Arial"/>
                <w:sz w:val="17"/>
                <w:szCs w:val="17"/>
                <w:color w:val="auto"/>
              </w:rPr>
              <w:t>Grant Date</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Exercisable</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0"/>
              </w:rPr>
              <w:t>Unexercisable</w:t>
            </w:r>
          </w:p>
        </w:tc>
        <w:tc>
          <w:tcPr>
            <w:tcW w:w="1300" w:type="dxa"/>
            <w:vAlign w:val="bottom"/>
          </w:tcPr>
          <w:p>
            <w:pPr>
              <w:jc w:val="right"/>
              <w:ind w:right="215"/>
              <w:spacing w:after="0"/>
              <w:rPr>
                <w:sz w:val="20"/>
                <w:szCs w:val="20"/>
                <w:color w:val="auto"/>
              </w:rPr>
            </w:pPr>
            <w:r>
              <w:rPr>
                <w:rFonts w:ascii="Arial" w:cs="Arial" w:eastAsia="Arial" w:hAnsi="Arial"/>
                <w:sz w:val="17"/>
                <w:szCs w:val="17"/>
                <w:color w:val="auto"/>
              </w:rPr>
              <w:t>Price ($)</w:t>
            </w:r>
          </w:p>
        </w:tc>
        <w:tc>
          <w:tcPr>
            <w:tcW w:w="1320" w:type="dxa"/>
            <w:vAlign w:val="bottom"/>
          </w:tcPr>
          <w:p>
            <w:pPr>
              <w:jc w:val="center"/>
              <w:ind w:left="35"/>
              <w:spacing w:after="0"/>
              <w:rPr>
                <w:sz w:val="20"/>
                <w:szCs w:val="20"/>
                <w:color w:val="auto"/>
              </w:rPr>
            </w:pPr>
            <w:r>
              <w:rPr>
                <w:rFonts w:ascii="Arial" w:cs="Arial" w:eastAsia="Arial" w:hAnsi="Arial"/>
                <w:sz w:val="17"/>
                <w:szCs w:val="17"/>
                <w:color w:val="auto"/>
                <w:w w:val="92"/>
              </w:rPr>
              <w:t>Expiration Date</w:t>
            </w:r>
          </w:p>
        </w:tc>
        <w:tc>
          <w:tcPr>
            <w:tcW w:w="1360" w:type="dxa"/>
            <w:vAlign w:val="bottom"/>
            <w:gridSpan w:val="2"/>
          </w:tcPr>
          <w:p>
            <w:pPr>
              <w:jc w:val="center"/>
              <w:spacing w:after="0"/>
              <w:rPr>
                <w:sz w:val="20"/>
                <w:szCs w:val="20"/>
                <w:color w:val="auto"/>
              </w:rPr>
            </w:pPr>
            <w:r>
              <w:rPr>
                <w:rFonts w:ascii="Arial" w:cs="Arial" w:eastAsia="Arial" w:hAnsi="Arial"/>
                <w:sz w:val="17"/>
                <w:szCs w:val="17"/>
                <w:color w:val="auto"/>
                <w:w w:val="96"/>
              </w:rPr>
              <w:t>(#)(2)</w:t>
            </w:r>
          </w:p>
        </w:tc>
        <w:tc>
          <w:tcPr>
            <w:tcW w:w="1240" w:type="dxa"/>
            <w:vAlign w:val="bottom"/>
          </w:tcPr>
          <w:p>
            <w:pPr>
              <w:jc w:val="center"/>
              <w:spacing w:after="0"/>
              <w:rPr>
                <w:sz w:val="20"/>
                <w:szCs w:val="20"/>
                <w:color w:val="auto"/>
              </w:rPr>
            </w:pPr>
            <w:r>
              <w:rPr>
                <w:rFonts w:ascii="Arial" w:cs="Arial" w:eastAsia="Arial" w:hAnsi="Arial"/>
                <w:sz w:val="17"/>
                <w:szCs w:val="17"/>
                <w:color w:val="auto"/>
                <w:w w:val="96"/>
              </w:rPr>
              <w:t>($)(3)</w:t>
            </w:r>
          </w:p>
        </w:tc>
      </w:tr>
      <w:tr>
        <w:trPr>
          <w:trHeight w:val="31"/>
        </w:trPr>
        <w:tc>
          <w:tcPr>
            <w:tcW w:w="2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Reece A. Kurtenbach</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8/22/2013</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08/22/23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9/1/2013</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08/22/23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20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9/4/2014</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09/04/24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9/3/2015</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09/03/25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9/1/2016</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09/01/26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8/31/2017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08/31/27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9/6/2018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09/06/28</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20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9/5/2019</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09/05/29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9/3/2020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09/03/30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9/2/2021</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09/02/31</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9/8/2022</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24,165</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09/08/32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306"/>
        </w:trPr>
        <w:tc>
          <w:tcPr>
            <w:tcW w:w="20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16,200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77,922</w:t>
            </w:r>
          </w:p>
        </w:tc>
      </w:tr>
      <w:tr>
        <w:trPr>
          <w:trHeight w:val="219"/>
        </w:trPr>
        <w:tc>
          <w:tcPr>
            <w:tcW w:w="20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Sheila M. Anderson</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8/22/2013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6,870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11.05</w:t>
            </w:r>
          </w:p>
        </w:tc>
        <w:tc>
          <w:tcPr>
            <w:tcW w:w="1320" w:type="dxa"/>
            <w:vAlign w:val="bottom"/>
            <w:tcBorders>
              <w:top w:val="single" w:sz="8" w:color="auto"/>
            </w:tcBorders>
          </w:tcPr>
          <w:p>
            <w:pPr>
              <w:jc w:val="center"/>
              <w:ind w:left="15"/>
              <w:spacing w:after="0"/>
              <w:rPr>
                <w:sz w:val="20"/>
                <w:szCs w:val="20"/>
                <w:color w:val="auto"/>
              </w:rPr>
            </w:pPr>
            <w:r>
              <w:rPr>
                <w:rFonts w:ascii="Arial" w:cs="Arial" w:eastAsia="Arial" w:hAnsi="Arial"/>
                <w:sz w:val="17"/>
                <w:szCs w:val="17"/>
                <w:color w:val="auto"/>
                <w:w w:val="93"/>
              </w:rPr>
              <w:t>08/22/23</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9/4/2014</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13.31</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09/04/24</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9/3/2015</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8.51</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09/03/25</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9/1/2016</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9.57</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09/01/26</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2"/>
              </w:rPr>
              <w:t>8/31/2017</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9.63</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08/31/27</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9/6/2018</w:t>
            </w:r>
          </w:p>
        </w:tc>
        <w:tc>
          <w:tcPr>
            <w:tcW w:w="1320" w:type="dxa"/>
            <w:vAlign w:val="bottom"/>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tcPr>
          <w:p>
            <w:pPr>
              <w:jc w:val="right"/>
              <w:spacing w:after="0"/>
              <w:rPr>
                <w:sz w:val="20"/>
                <w:szCs w:val="20"/>
                <w:color w:val="auto"/>
              </w:rPr>
            </w:pPr>
            <w:r>
              <w:rPr>
                <w:rFonts w:ascii="Arial" w:cs="Arial" w:eastAsia="Arial" w:hAnsi="Arial"/>
                <w:sz w:val="17"/>
                <w:szCs w:val="17"/>
                <w:color w:val="auto"/>
              </w:rPr>
              <w:t>1,250</w:t>
            </w:r>
          </w:p>
        </w:tc>
        <w:tc>
          <w:tcPr>
            <w:tcW w:w="1300" w:type="dxa"/>
            <w:vAlign w:val="bottom"/>
          </w:tcPr>
          <w:p>
            <w:pPr>
              <w:jc w:val="right"/>
              <w:spacing w:after="0"/>
              <w:rPr>
                <w:sz w:val="20"/>
                <w:szCs w:val="20"/>
                <w:color w:val="auto"/>
              </w:rPr>
            </w:pPr>
            <w:r>
              <w:rPr>
                <w:rFonts w:ascii="Arial" w:cs="Arial" w:eastAsia="Arial" w:hAnsi="Arial"/>
                <w:sz w:val="17"/>
                <w:szCs w:val="17"/>
                <w:color w:val="auto"/>
              </w:rPr>
              <w:t>7.83</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09/06/28</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20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9/5/2019</w:t>
            </w:r>
          </w:p>
        </w:tc>
        <w:tc>
          <w:tcPr>
            <w:tcW w:w="1320" w:type="dxa"/>
            <w:vAlign w:val="bottom"/>
          </w:tcPr>
          <w:p>
            <w:pPr>
              <w:jc w:val="right"/>
              <w:spacing w:after="0"/>
              <w:rPr>
                <w:sz w:val="20"/>
                <w:szCs w:val="20"/>
                <w:color w:val="auto"/>
              </w:rPr>
            </w:pPr>
            <w:r>
              <w:rPr>
                <w:rFonts w:ascii="Arial" w:cs="Arial" w:eastAsia="Arial" w:hAnsi="Arial"/>
                <w:sz w:val="17"/>
                <w:szCs w:val="17"/>
                <w:color w:val="auto"/>
              </w:rPr>
              <w:t>3,750</w:t>
            </w:r>
          </w:p>
        </w:tc>
        <w:tc>
          <w:tcPr>
            <w:tcW w:w="1320" w:type="dxa"/>
            <w:vAlign w:val="bottom"/>
          </w:tcPr>
          <w:p>
            <w:pPr>
              <w:jc w:val="right"/>
              <w:spacing w:after="0"/>
              <w:rPr>
                <w:sz w:val="20"/>
                <w:szCs w:val="20"/>
                <w:color w:val="auto"/>
              </w:rPr>
            </w:pPr>
            <w:r>
              <w:rPr>
                <w:rFonts w:ascii="Arial" w:cs="Arial" w:eastAsia="Arial" w:hAnsi="Arial"/>
                <w:sz w:val="17"/>
                <w:szCs w:val="17"/>
                <w:color w:val="auto"/>
              </w:rPr>
              <w:t>2,500</w:t>
            </w:r>
          </w:p>
        </w:tc>
        <w:tc>
          <w:tcPr>
            <w:tcW w:w="1300" w:type="dxa"/>
            <w:vAlign w:val="bottom"/>
          </w:tcPr>
          <w:p>
            <w:pPr>
              <w:jc w:val="right"/>
              <w:spacing w:after="0"/>
              <w:rPr>
                <w:sz w:val="20"/>
                <w:szCs w:val="20"/>
                <w:color w:val="auto"/>
              </w:rPr>
            </w:pPr>
            <w:r>
              <w:rPr>
                <w:rFonts w:ascii="Arial" w:cs="Arial" w:eastAsia="Arial" w:hAnsi="Arial"/>
                <w:sz w:val="17"/>
                <w:szCs w:val="17"/>
                <w:color w:val="auto"/>
              </w:rPr>
              <w:t>7.47</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09/05/29</w:t>
            </w:r>
          </w:p>
        </w:tc>
        <w:tc>
          <w:tcPr>
            <w:tcW w:w="100" w:type="dxa"/>
            <w:vAlign w:val="bottom"/>
          </w:tcPr>
          <w:p>
            <w:pPr>
              <w:spacing w:after="0"/>
              <w:rPr>
                <w:sz w:val="23"/>
                <w:szCs w:val="23"/>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9/3/2020</w:t>
            </w:r>
          </w:p>
        </w:tc>
        <w:tc>
          <w:tcPr>
            <w:tcW w:w="1320" w:type="dxa"/>
            <w:vAlign w:val="bottom"/>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00" w:type="dxa"/>
            <w:vAlign w:val="bottom"/>
          </w:tcPr>
          <w:p>
            <w:pPr>
              <w:jc w:val="right"/>
              <w:spacing w:after="0"/>
              <w:rPr>
                <w:sz w:val="20"/>
                <w:szCs w:val="20"/>
                <w:color w:val="auto"/>
              </w:rPr>
            </w:pPr>
            <w:r>
              <w:rPr>
                <w:rFonts w:ascii="Arial" w:cs="Arial" w:eastAsia="Arial" w:hAnsi="Arial"/>
                <w:sz w:val="17"/>
                <w:szCs w:val="17"/>
                <w:color w:val="auto"/>
              </w:rPr>
              <w:t>4.11</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09/03/30</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9/2/2021</w:t>
            </w:r>
          </w:p>
        </w:tc>
        <w:tc>
          <w:tcPr>
            <w:tcW w:w="1320" w:type="dxa"/>
            <w:vAlign w:val="bottom"/>
          </w:tcPr>
          <w:p>
            <w:pPr>
              <w:jc w:val="right"/>
              <w:spacing w:after="0"/>
              <w:rPr>
                <w:sz w:val="20"/>
                <w:szCs w:val="20"/>
                <w:color w:val="auto"/>
              </w:rPr>
            </w:pPr>
            <w:r>
              <w:rPr>
                <w:rFonts w:ascii="Arial" w:cs="Arial" w:eastAsia="Arial" w:hAnsi="Arial"/>
                <w:sz w:val="17"/>
                <w:szCs w:val="17"/>
                <w:color w:val="auto"/>
              </w:rPr>
              <w:t>1,250</w:t>
            </w:r>
          </w:p>
        </w:tc>
        <w:tc>
          <w:tcPr>
            <w:tcW w:w="1320" w:type="dxa"/>
            <w:vAlign w:val="bottom"/>
          </w:tcPr>
          <w:p>
            <w:pPr>
              <w:jc w:val="right"/>
              <w:spacing w:after="0"/>
              <w:rPr>
                <w:sz w:val="20"/>
                <w:szCs w:val="20"/>
                <w:color w:val="auto"/>
              </w:rPr>
            </w:pPr>
            <w:r>
              <w:rPr>
                <w:rFonts w:ascii="Arial" w:cs="Arial" w:eastAsia="Arial" w:hAnsi="Arial"/>
                <w:sz w:val="17"/>
                <w:szCs w:val="17"/>
                <w:color w:val="auto"/>
              </w:rPr>
              <w:t>5,000</w:t>
            </w:r>
          </w:p>
        </w:tc>
        <w:tc>
          <w:tcPr>
            <w:tcW w:w="1300" w:type="dxa"/>
            <w:vAlign w:val="bottom"/>
          </w:tcPr>
          <w:p>
            <w:pPr>
              <w:jc w:val="right"/>
              <w:spacing w:after="0"/>
              <w:rPr>
                <w:sz w:val="20"/>
                <w:szCs w:val="20"/>
                <w:color w:val="auto"/>
              </w:rPr>
            </w:pPr>
            <w:r>
              <w:rPr>
                <w:rFonts w:ascii="Arial" w:cs="Arial" w:eastAsia="Arial" w:hAnsi="Arial"/>
                <w:sz w:val="17"/>
                <w:szCs w:val="17"/>
                <w:color w:val="auto"/>
              </w:rPr>
              <w:t>5.66</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09/02/31</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9/8/2022</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11,250</w:t>
            </w:r>
          </w:p>
        </w:tc>
        <w:tc>
          <w:tcPr>
            <w:tcW w:w="1300" w:type="dxa"/>
            <w:vAlign w:val="bottom"/>
          </w:tcPr>
          <w:p>
            <w:pPr>
              <w:jc w:val="right"/>
              <w:spacing w:after="0"/>
              <w:rPr>
                <w:sz w:val="20"/>
                <w:szCs w:val="20"/>
                <w:color w:val="auto"/>
              </w:rPr>
            </w:pPr>
            <w:r>
              <w:rPr>
                <w:rFonts w:ascii="Arial" w:cs="Arial" w:eastAsia="Arial" w:hAnsi="Arial"/>
                <w:sz w:val="17"/>
                <w:szCs w:val="17"/>
                <w:color w:val="auto"/>
              </w:rPr>
              <w:t>3.02</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09/08/32</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ind w:left="1140"/>
              <w:spacing w:after="0"/>
              <w:rPr>
                <w:sz w:val="20"/>
                <w:szCs w:val="20"/>
                <w:color w:val="auto"/>
              </w:rPr>
            </w:pPr>
            <w:r>
              <w:rPr>
                <w:rFonts w:ascii="Arial" w:cs="Arial" w:eastAsia="Arial" w:hAnsi="Arial"/>
                <w:sz w:val="17"/>
                <w:szCs w:val="17"/>
                <w:color w:val="auto"/>
                <w:w w:val="93"/>
              </w:rPr>
              <w:t>—</w:t>
            </w:r>
          </w:p>
        </w:tc>
        <w:tc>
          <w:tcPr>
            <w:tcW w:w="1360" w:type="dxa"/>
            <w:vAlign w:val="bottom"/>
            <w:gridSpan w:val="2"/>
          </w:tcPr>
          <w:p>
            <w:pPr>
              <w:jc w:val="right"/>
              <w:ind w:right="35"/>
              <w:spacing w:after="0"/>
              <w:rPr>
                <w:sz w:val="20"/>
                <w:szCs w:val="20"/>
                <w:color w:val="auto"/>
              </w:rPr>
            </w:pPr>
            <w:r>
              <w:rPr>
                <w:rFonts w:ascii="Arial" w:cs="Arial" w:eastAsia="Arial" w:hAnsi="Arial"/>
                <w:sz w:val="17"/>
                <w:szCs w:val="17"/>
                <w:color w:val="auto"/>
              </w:rPr>
              <w:t>7,500</w:t>
            </w:r>
          </w:p>
        </w:tc>
        <w:tc>
          <w:tcPr>
            <w:tcW w:w="1240" w:type="dxa"/>
            <w:vAlign w:val="bottom"/>
          </w:tcPr>
          <w:p>
            <w:pPr>
              <w:jc w:val="right"/>
              <w:spacing w:after="0"/>
              <w:rPr>
                <w:sz w:val="20"/>
                <w:szCs w:val="20"/>
                <w:color w:val="auto"/>
              </w:rPr>
            </w:pPr>
            <w:r>
              <w:rPr>
                <w:rFonts w:ascii="Arial" w:cs="Arial" w:eastAsia="Arial" w:hAnsi="Arial"/>
                <w:sz w:val="17"/>
                <w:szCs w:val="17"/>
                <w:color w:val="auto"/>
              </w:rPr>
              <w:t>36,075</w:t>
            </w:r>
          </w:p>
        </w:tc>
      </w:tr>
      <w:tr>
        <w:trPr>
          <w:trHeight w:val="45"/>
        </w:trPr>
        <w:tc>
          <w:tcPr>
            <w:tcW w:w="20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Bradley T. Wiemann</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8/22/2013</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08/22/23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9/4/2014</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09/04/24</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9/3/2015</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09/03/25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9/1/2016</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09/01/26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8/31/2017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08/31/27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20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9/6/2018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09/06/28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9/5/2019</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09/05/29</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9/3/2020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09/03/30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9/2/2021</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09/02/31</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9/8/2022</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3"/>
              </w:rPr>
              <w:t>09/08/32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306"/>
        </w:trPr>
        <w:tc>
          <w:tcPr>
            <w:tcW w:w="20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7"/>
                <w:szCs w:val="17"/>
                <w:color w:val="auto"/>
                <w:w w:val="93"/>
              </w:rPr>
              <w:t>—</w:t>
            </w:r>
          </w:p>
        </w:tc>
        <w:tc>
          <w:tcPr>
            <w:tcW w:w="13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7,500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36,075</w:t>
            </w:r>
          </w:p>
        </w:tc>
      </w:tr>
      <w:tr>
        <w:trPr>
          <w:trHeight w:val="219"/>
        </w:trPr>
        <w:tc>
          <w:tcPr>
            <w:tcW w:w="20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Matthew J. Kurtenbach</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8/22/2013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10,500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11.05</w:t>
            </w:r>
          </w:p>
        </w:tc>
        <w:tc>
          <w:tcPr>
            <w:tcW w:w="1320" w:type="dxa"/>
            <w:vAlign w:val="bottom"/>
            <w:tcBorders>
              <w:top w:val="single" w:sz="8" w:color="auto"/>
            </w:tcBorders>
          </w:tcPr>
          <w:p>
            <w:pPr>
              <w:jc w:val="center"/>
              <w:ind w:left="15"/>
              <w:spacing w:after="0"/>
              <w:rPr>
                <w:sz w:val="20"/>
                <w:szCs w:val="20"/>
                <w:color w:val="auto"/>
              </w:rPr>
            </w:pPr>
            <w:r>
              <w:rPr>
                <w:rFonts w:ascii="Arial" w:cs="Arial" w:eastAsia="Arial" w:hAnsi="Arial"/>
                <w:sz w:val="17"/>
                <w:szCs w:val="17"/>
                <w:color w:val="auto"/>
                <w:w w:val="93"/>
              </w:rPr>
              <w:t>08/22/23</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9/4/2014</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13.31</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09/04/24</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9/3/2015</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8.51</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09/03/25</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3"/>
              </w:rPr>
              <w:t>9/1/2016</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9.57</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09/01/26</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2"/>
              </w:rPr>
              <w:t>8/31/2017</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9.63</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w w:val="93"/>
              </w:rPr>
              <w:t>08/31/27</w:t>
            </w:r>
          </w:p>
        </w:tc>
        <w:tc>
          <w:tcPr>
            <w:tcW w:w="10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ectPr>
          <w:pgSz w:w="11900" w:h="16838" w:orient="portrait"/>
          <w:cols w:equalWidth="0" w:num="1">
            <w:col w:w="11240"/>
          </w:cols>
          <w:pgMar w:left="320" w:top="125" w:right="339" w:bottom="777"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777"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0"/>
              </w:rPr>
              <w:t>9/6/2018</w:t>
            </w:r>
          </w:p>
        </w:tc>
        <w:tc>
          <w:tcPr>
            <w:tcW w:w="1260" w:type="dxa"/>
            <w:vAlign w:val="bottom"/>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tcPr>
          <w:p>
            <w:pPr>
              <w:jc w:val="right"/>
              <w:spacing w:after="0"/>
              <w:rPr>
                <w:sz w:val="20"/>
                <w:szCs w:val="20"/>
                <w:color w:val="auto"/>
              </w:rPr>
            </w:pPr>
            <w:r>
              <w:rPr>
                <w:rFonts w:ascii="Arial" w:cs="Arial" w:eastAsia="Arial" w:hAnsi="Arial"/>
                <w:sz w:val="17"/>
                <w:szCs w:val="17"/>
                <w:color w:val="auto"/>
              </w:rPr>
              <w:t>1,250</w:t>
            </w:r>
          </w:p>
        </w:tc>
        <w:tc>
          <w:tcPr>
            <w:tcW w:w="1340" w:type="dxa"/>
            <w:vAlign w:val="bottom"/>
          </w:tcPr>
          <w:p>
            <w:pPr>
              <w:jc w:val="right"/>
              <w:spacing w:after="0"/>
              <w:rPr>
                <w:sz w:val="20"/>
                <w:szCs w:val="20"/>
                <w:color w:val="auto"/>
              </w:rPr>
            </w:pPr>
            <w:r>
              <w:rPr>
                <w:rFonts w:ascii="Arial" w:cs="Arial" w:eastAsia="Arial" w:hAnsi="Arial"/>
                <w:sz w:val="17"/>
                <w:szCs w:val="17"/>
                <w:color w:val="auto"/>
              </w:rPr>
              <w:t>7.83</w:t>
            </w:r>
          </w:p>
        </w:tc>
        <w:tc>
          <w:tcPr>
            <w:tcW w:w="1060" w:type="dxa"/>
            <w:vAlign w:val="bottom"/>
          </w:tcPr>
          <w:p>
            <w:pPr>
              <w:jc w:val="right"/>
              <w:spacing w:after="0"/>
              <w:rPr>
                <w:sz w:val="20"/>
                <w:szCs w:val="20"/>
                <w:color w:val="auto"/>
              </w:rPr>
            </w:pPr>
            <w:r>
              <w:rPr>
                <w:rFonts w:ascii="Arial" w:cs="Arial" w:eastAsia="Arial" w:hAnsi="Arial"/>
                <w:sz w:val="17"/>
                <w:szCs w:val="17"/>
                <w:color w:val="auto"/>
              </w:rPr>
              <w:t>09/06/28</w:t>
            </w:r>
          </w:p>
        </w:tc>
        <w:tc>
          <w:tcPr>
            <w:tcW w:w="660" w:type="dxa"/>
            <w:vAlign w:val="bottom"/>
          </w:tcPr>
          <w:p>
            <w:pPr>
              <w:spacing w:after="0"/>
              <w:rPr>
                <w:sz w:val="18"/>
                <w:szCs w:val="18"/>
                <w:color w:val="auto"/>
              </w:rPr>
            </w:pPr>
          </w:p>
        </w:tc>
        <w:tc>
          <w:tcPr>
            <w:tcW w:w="12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0"/>
              </w:rPr>
              <w:t>9/5/2019</w:t>
            </w:r>
          </w:p>
        </w:tc>
        <w:tc>
          <w:tcPr>
            <w:tcW w:w="1260" w:type="dxa"/>
            <w:vAlign w:val="bottom"/>
          </w:tcPr>
          <w:p>
            <w:pPr>
              <w:jc w:val="right"/>
              <w:spacing w:after="0"/>
              <w:rPr>
                <w:sz w:val="20"/>
                <w:szCs w:val="20"/>
                <w:color w:val="auto"/>
              </w:rPr>
            </w:pPr>
            <w:r>
              <w:rPr>
                <w:rFonts w:ascii="Arial" w:cs="Arial" w:eastAsia="Arial" w:hAnsi="Arial"/>
                <w:sz w:val="17"/>
                <w:szCs w:val="17"/>
                <w:color w:val="auto"/>
              </w:rPr>
              <w:t>3,750</w:t>
            </w:r>
          </w:p>
        </w:tc>
        <w:tc>
          <w:tcPr>
            <w:tcW w:w="1320" w:type="dxa"/>
            <w:vAlign w:val="bottom"/>
          </w:tcPr>
          <w:p>
            <w:pPr>
              <w:jc w:val="right"/>
              <w:spacing w:after="0"/>
              <w:rPr>
                <w:sz w:val="20"/>
                <w:szCs w:val="20"/>
                <w:color w:val="auto"/>
              </w:rPr>
            </w:pPr>
            <w:r>
              <w:rPr>
                <w:rFonts w:ascii="Arial" w:cs="Arial" w:eastAsia="Arial" w:hAnsi="Arial"/>
                <w:sz w:val="17"/>
                <w:szCs w:val="17"/>
                <w:color w:val="auto"/>
              </w:rPr>
              <w:t>2,500</w:t>
            </w:r>
          </w:p>
        </w:tc>
        <w:tc>
          <w:tcPr>
            <w:tcW w:w="1340" w:type="dxa"/>
            <w:vAlign w:val="bottom"/>
          </w:tcPr>
          <w:p>
            <w:pPr>
              <w:jc w:val="right"/>
              <w:spacing w:after="0"/>
              <w:rPr>
                <w:sz w:val="20"/>
                <w:szCs w:val="20"/>
                <w:color w:val="auto"/>
              </w:rPr>
            </w:pPr>
            <w:r>
              <w:rPr>
                <w:rFonts w:ascii="Arial" w:cs="Arial" w:eastAsia="Arial" w:hAnsi="Arial"/>
                <w:sz w:val="17"/>
                <w:szCs w:val="17"/>
                <w:color w:val="auto"/>
              </w:rPr>
              <w:t>7.47</w:t>
            </w:r>
          </w:p>
        </w:tc>
        <w:tc>
          <w:tcPr>
            <w:tcW w:w="1060" w:type="dxa"/>
            <w:vAlign w:val="bottom"/>
          </w:tcPr>
          <w:p>
            <w:pPr>
              <w:jc w:val="right"/>
              <w:spacing w:after="0"/>
              <w:rPr>
                <w:sz w:val="20"/>
                <w:szCs w:val="20"/>
                <w:color w:val="auto"/>
              </w:rPr>
            </w:pPr>
            <w:r>
              <w:rPr>
                <w:rFonts w:ascii="Arial" w:cs="Arial" w:eastAsia="Arial" w:hAnsi="Arial"/>
                <w:sz w:val="17"/>
                <w:szCs w:val="17"/>
                <w:color w:val="auto"/>
              </w:rPr>
              <w:t>09/05/29</w:t>
            </w:r>
          </w:p>
        </w:tc>
        <w:tc>
          <w:tcPr>
            <w:tcW w:w="660" w:type="dxa"/>
            <w:vAlign w:val="bottom"/>
          </w:tcPr>
          <w:p>
            <w:pPr>
              <w:spacing w:after="0"/>
              <w:rPr>
                <w:sz w:val="22"/>
                <w:szCs w:val="22"/>
                <w:color w:val="auto"/>
              </w:rPr>
            </w:pPr>
          </w:p>
        </w:tc>
        <w:tc>
          <w:tcPr>
            <w:tcW w:w="12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0"/>
              </w:rPr>
              <w:t>9/3/2020</w:t>
            </w:r>
          </w:p>
        </w:tc>
        <w:tc>
          <w:tcPr>
            <w:tcW w:w="1260" w:type="dxa"/>
            <w:vAlign w:val="bottom"/>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tcPr>
          <w:p>
            <w:pPr>
              <w:jc w:val="right"/>
              <w:spacing w:after="0"/>
              <w:rPr>
                <w:sz w:val="20"/>
                <w:szCs w:val="20"/>
                <w:color w:val="auto"/>
              </w:rPr>
            </w:pPr>
            <w:r>
              <w:rPr>
                <w:rFonts w:ascii="Arial" w:cs="Arial" w:eastAsia="Arial" w:hAnsi="Arial"/>
                <w:sz w:val="17"/>
                <w:szCs w:val="17"/>
                <w:color w:val="auto"/>
              </w:rPr>
              <w:t>7,500</w:t>
            </w:r>
          </w:p>
        </w:tc>
        <w:tc>
          <w:tcPr>
            <w:tcW w:w="1340" w:type="dxa"/>
            <w:vAlign w:val="bottom"/>
          </w:tcPr>
          <w:p>
            <w:pPr>
              <w:jc w:val="right"/>
              <w:spacing w:after="0"/>
              <w:rPr>
                <w:sz w:val="20"/>
                <w:szCs w:val="20"/>
                <w:color w:val="auto"/>
              </w:rPr>
            </w:pPr>
            <w:r>
              <w:rPr>
                <w:rFonts w:ascii="Arial" w:cs="Arial" w:eastAsia="Arial" w:hAnsi="Arial"/>
                <w:sz w:val="17"/>
                <w:szCs w:val="17"/>
                <w:color w:val="auto"/>
              </w:rPr>
              <w:t>4.11</w:t>
            </w:r>
          </w:p>
        </w:tc>
        <w:tc>
          <w:tcPr>
            <w:tcW w:w="1060" w:type="dxa"/>
            <w:vAlign w:val="bottom"/>
          </w:tcPr>
          <w:p>
            <w:pPr>
              <w:jc w:val="right"/>
              <w:spacing w:after="0"/>
              <w:rPr>
                <w:sz w:val="20"/>
                <w:szCs w:val="20"/>
                <w:color w:val="auto"/>
              </w:rPr>
            </w:pPr>
            <w:r>
              <w:rPr>
                <w:rFonts w:ascii="Arial" w:cs="Arial" w:eastAsia="Arial" w:hAnsi="Arial"/>
                <w:sz w:val="17"/>
                <w:szCs w:val="17"/>
                <w:color w:val="auto"/>
              </w:rPr>
              <w:t>09/03/30</w:t>
            </w:r>
          </w:p>
        </w:tc>
        <w:tc>
          <w:tcPr>
            <w:tcW w:w="660" w:type="dxa"/>
            <w:vAlign w:val="bottom"/>
          </w:tcPr>
          <w:p>
            <w:pPr>
              <w:spacing w:after="0"/>
              <w:rPr>
                <w:sz w:val="22"/>
                <w:szCs w:val="22"/>
                <w:color w:val="auto"/>
              </w:rPr>
            </w:pPr>
          </w:p>
        </w:tc>
        <w:tc>
          <w:tcPr>
            <w:tcW w:w="12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20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0"/>
              </w:rPr>
              <w:t>9/2/2021</w:t>
            </w:r>
          </w:p>
        </w:tc>
        <w:tc>
          <w:tcPr>
            <w:tcW w:w="1260" w:type="dxa"/>
            <w:vAlign w:val="bottom"/>
          </w:tcPr>
          <w:p>
            <w:pPr>
              <w:jc w:val="right"/>
              <w:spacing w:after="0"/>
              <w:rPr>
                <w:sz w:val="20"/>
                <w:szCs w:val="20"/>
                <w:color w:val="auto"/>
              </w:rPr>
            </w:pPr>
            <w:r>
              <w:rPr>
                <w:rFonts w:ascii="Arial" w:cs="Arial" w:eastAsia="Arial" w:hAnsi="Arial"/>
                <w:sz w:val="17"/>
                <w:szCs w:val="17"/>
                <w:color w:val="auto"/>
              </w:rPr>
              <w:t>1,250</w:t>
            </w:r>
          </w:p>
        </w:tc>
        <w:tc>
          <w:tcPr>
            <w:tcW w:w="1320" w:type="dxa"/>
            <w:vAlign w:val="bottom"/>
          </w:tcPr>
          <w:p>
            <w:pPr>
              <w:jc w:val="right"/>
              <w:spacing w:after="0"/>
              <w:rPr>
                <w:sz w:val="20"/>
                <w:szCs w:val="20"/>
                <w:color w:val="auto"/>
              </w:rPr>
            </w:pPr>
            <w:r>
              <w:rPr>
                <w:rFonts w:ascii="Arial" w:cs="Arial" w:eastAsia="Arial" w:hAnsi="Arial"/>
                <w:sz w:val="17"/>
                <w:szCs w:val="17"/>
                <w:color w:val="auto"/>
              </w:rPr>
              <w:t>5,000</w:t>
            </w:r>
          </w:p>
        </w:tc>
        <w:tc>
          <w:tcPr>
            <w:tcW w:w="1340" w:type="dxa"/>
            <w:vAlign w:val="bottom"/>
          </w:tcPr>
          <w:p>
            <w:pPr>
              <w:jc w:val="right"/>
              <w:spacing w:after="0"/>
              <w:rPr>
                <w:sz w:val="20"/>
                <w:szCs w:val="20"/>
                <w:color w:val="auto"/>
              </w:rPr>
            </w:pPr>
            <w:r>
              <w:rPr>
                <w:rFonts w:ascii="Arial" w:cs="Arial" w:eastAsia="Arial" w:hAnsi="Arial"/>
                <w:sz w:val="17"/>
                <w:szCs w:val="17"/>
                <w:color w:val="auto"/>
              </w:rPr>
              <w:t>5.66</w:t>
            </w:r>
          </w:p>
        </w:tc>
        <w:tc>
          <w:tcPr>
            <w:tcW w:w="1060" w:type="dxa"/>
            <w:vAlign w:val="bottom"/>
          </w:tcPr>
          <w:p>
            <w:pPr>
              <w:jc w:val="right"/>
              <w:spacing w:after="0"/>
              <w:rPr>
                <w:sz w:val="20"/>
                <w:szCs w:val="20"/>
                <w:color w:val="auto"/>
              </w:rPr>
            </w:pPr>
            <w:r>
              <w:rPr>
                <w:rFonts w:ascii="Arial" w:cs="Arial" w:eastAsia="Arial" w:hAnsi="Arial"/>
                <w:sz w:val="17"/>
                <w:szCs w:val="17"/>
                <w:color w:val="auto"/>
              </w:rPr>
              <w:t>09/02/31</w:t>
            </w:r>
          </w:p>
        </w:tc>
        <w:tc>
          <w:tcPr>
            <w:tcW w:w="660" w:type="dxa"/>
            <w:vAlign w:val="bottom"/>
          </w:tcPr>
          <w:p>
            <w:pPr>
              <w:spacing w:after="0"/>
              <w:rPr>
                <w:sz w:val="23"/>
                <w:szCs w:val="23"/>
                <w:color w:val="auto"/>
              </w:rPr>
            </w:pPr>
          </w:p>
        </w:tc>
        <w:tc>
          <w:tcPr>
            <w:tcW w:w="12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0"/>
              </w:rPr>
              <w:t>9/8/2022</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11,250</w:t>
            </w:r>
          </w:p>
        </w:tc>
        <w:tc>
          <w:tcPr>
            <w:tcW w:w="1340" w:type="dxa"/>
            <w:vAlign w:val="bottom"/>
          </w:tcPr>
          <w:p>
            <w:pPr>
              <w:jc w:val="right"/>
              <w:spacing w:after="0"/>
              <w:rPr>
                <w:sz w:val="20"/>
                <w:szCs w:val="20"/>
                <w:color w:val="auto"/>
              </w:rPr>
            </w:pPr>
            <w:r>
              <w:rPr>
                <w:rFonts w:ascii="Arial" w:cs="Arial" w:eastAsia="Arial" w:hAnsi="Arial"/>
                <w:sz w:val="17"/>
                <w:szCs w:val="17"/>
                <w:color w:val="auto"/>
              </w:rPr>
              <w:t>3.02</w:t>
            </w:r>
          </w:p>
        </w:tc>
        <w:tc>
          <w:tcPr>
            <w:tcW w:w="1060" w:type="dxa"/>
            <w:vAlign w:val="bottom"/>
          </w:tcPr>
          <w:p>
            <w:pPr>
              <w:jc w:val="right"/>
              <w:spacing w:after="0"/>
              <w:rPr>
                <w:sz w:val="20"/>
                <w:szCs w:val="20"/>
                <w:color w:val="auto"/>
              </w:rPr>
            </w:pPr>
            <w:r>
              <w:rPr>
                <w:rFonts w:ascii="Arial" w:cs="Arial" w:eastAsia="Arial" w:hAnsi="Arial"/>
                <w:sz w:val="17"/>
                <w:szCs w:val="17"/>
                <w:color w:val="auto"/>
              </w:rPr>
              <w:t>09/08/32</w:t>
            </w:r>
          </w:p>
        </w:tc>
        <w:tc>
          <w:tcPr>
            <w:tcW w:w="660" w:type="dxa"/>
            <w:vAlign w:val="bottom"/>
          </w:tcPr>
          <w:p>
            <w:pPr>
              <w:spacing w:after="0"/>
              <w:rPr>
                <w:sz w:val="22"/>
                <w:szCs w:val="22"/>
                <w:color w:val="auto"/>
              </w:rPr>
            </w:pPr>
          </w:p>
        </w:tc>
        <w:tc>
          <w:tcPr>
            <w:tcW w:w="12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35"/>
              <w:spacing w:after="0"/>
              <w:rPr>
                <w:sz w:val="20"/>
                <w:szCs w:val="20"/>
                <w:color w:val="auto"/>
              </w:rPr>
            </w:pPr>
            <w:r>
              <w:rPr>
                <w:rFonts w:ascii="Arial" w:cs="Arial" w:eastAsia="Arial" w:hAnsi="Arial"/>
                <w:sz w:val="17"/>
                <w:szCs w:val="17"/>
                <w:color w:val="auto"/>
              </w:rPr>
              <w:t>7,500</w:t>
            </w:r>
          </w:p>
        </w:tc>
        <w:tc>
          <w:tcPr>
            <w:tcW w:w="960" w:type="dxa"/>
            <w:vAlign w:val="bottom"/>
          </w:tcPr>
          <w:p>
            <w:pPr>
              <w:jc w:val="right"/>
              <w:spacing w:after="0"/>
              <w:rPr>
                <w:sz w:val="20"/>
                <w:szCs w:val="20"/>
                <w:color w:val="auto"/>
              </w:rPr>
            </w:pPr>
            <w:r>
              <w:rPr>
                <w:rFonts w:ascii="Arial" w:cs="Arial" w:eastAsia="Arial" w:hAnsi="Arial"/>
                <w:sz w:val="17"/>
                <w:szCs w:val="17"/>
                <w:color w:val="auto"/>
              </w:rPr>
              <w:t>36,075</w:t>
            </w:r>
          </w:p>
        </w:tc>
      </w:tr>
      <w:tr>
        <w:trPr>
          <w:trHeight w:val="31"/>
        </w:trPr>
        <w:tc>
          <w:tcPr>
            <w:tcW w:w="2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Carla S. Gatzke</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8/22/2013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08/22/23</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9/4/2014</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09/04/24</w:t>
            </w: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20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9/3/2015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09/03/25</w:t>
            </w:r>
          </w:p>
        </w:tc>
        <w:tc>
          <w:tcPr>
            <w:tcW w:w="6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9/1/2016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09/01/26</w:t>
            </w: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8/31/2017</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08/31/27</w:t>
            </w: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9/6/2018</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09/06/28</w:t>
            </w: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9/5/2019</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09/05/29</w:t>
            </w: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20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9/3/2020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09/03/30</w:t>
            </w: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20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9/2/2021</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09/02/31</w:t>
            </w:r>
          </w:p>
        </w:tc>
        <w:tc>
          <w:tcPr>
            <w:tcW w:w="6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20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9/8/2022</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09/08/32</w:t>
            </w: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8"/>
        </w:trPr>
        <w:tc>
          <w:tcPr>
            <w:tcW w:w="20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rPr>
              <w:t>7,500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36,075</w:t>
            </w:r>
          </w:p>
        </w:tc>
      </w:tr>
      <w:tr>
        <w:trPr>
          <w:trHeight w:val="20"/>
        </w:trPr>
        <w:tc>
          <w:tcPr>
            <w:tcW w:w="20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ind w:left="1000" w:right="400" w:hanging="42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pacing w:after="0" w:line="129" w:lineRule="exact"/>
        <w:rPr>
          <w:rFonts w:ascii="Arial" w:cs="Arial" w:eastAsia="Arial" w:hAnsi="Arial"/>
          <w:sz w:val="18"/>
          <w:szCs w:val="18"/>
          <w:color w:val="auto"/>
        </w:rPr>
      </w:pPr>
    </w:p>
    <w:p>
      <w:pPr>
        <w:ind w:left="1000" w:right="400" w:hanging="42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116" w:lineRule="exact"/>
        <w:rPr>
          <w:rFonts w:ascii="Arial" w:cs="Arial" w:eastAsia="Arial" w:hAnsi="Arial"/>
          <w:sz w:val="18"/>
          <w:szCs w:val="18"/>
          <w:color w:val="auto"/>
        </w:rPr>
      </w:pPr>
    </w:p>
    <w:p>
      <w:pPr>
        <w:ind w:left="1000" w:right="400" w:hanging="42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Determined by multiplying the Company's $4.81 per share closing stock price as reported on The Nasdaq Global Select Market on April 29, 2023, which was the last business day of fiscal 2023, by the number of shares subject to the award.</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the exercise of stock options by and the vesting of restricted stock awards during fiscal 2023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OPTION EXERCISES AND STOCK VESTED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p>
      <w:pPr>
        <w:spacing w:after="0" w:line="310"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3320" w:type="dxa"/>
            <w:vAlign w:val="bottom"/>
            <w:gridSpan w:val="3"/>
          </w:tcPr>
          <w:p>
            <w:pPr>
              <w:ind w:left="1120"/>
              <w:spacing w:after="0"/>
              <w:rPr>
                <w:sz w:val="20"/>
                <w:szCs w:val="20"/>
                <w:color w:val="auto"/>
              </w:rPr>
            </w:pPr>
            <w:r>
              <w:rPr>
                <w:rFonts w:ascii="Arial" w:cs="Arial" w:eastAsia="Arial" w:hAnsi="Arial"/>
                <w:sz w:val="18"/>
                <w:szCs w:val="18"/>
                <w:color w:val="auto"/>
              </w:rPr>
              <w:t>Option Awards</w:t>
            </w:r>
          </w:p>
        </w:tc>
        <w:tc>
          <w:tcPr>
            <w:tcW w:w="200" w:type="dxa"/>
            <w:vAlign w:val="bottom"/>
          </w:tcPr>
          <w:p>
            <w:pPr>
              <w:spacing w:after="0"/>
              <w:rPr>
                <w:sz w:val="20"/>
                <w:szCs w:val="20"/>
                <w:color w:val="auto"/>
              </w:rPr>
            </w:pPr>
          </w:p>
        </w:tc>
        <w:tc>
          <w:tcPr>
            <w:tcW w:w="3300" w:type="dxa"/>
            <w:vAlign w:val="bottom"/>
            <w:gridSpan w:val="3"/>
          </w:tcPr>
          <w:p>
            <w:pPr>
              <w:jc w:val="right"/>
              <w:ind w:right="1050"/>
              <w:spacing w:after="0"/>
              <w:rPr>
                <w:sz w:val="20"/>
                <w:szCs w:val="20"/>
                <w:color w:val="auto"/>
              </w:rPr>
            </w:pPr>
            <w:r>
              <w:rPr>
                <w:rFonts w:ascii="Arial" w:cs="Arial" w:eastAsia="Arial" w:hAnsi="Arial"/>
                <w:sz w:val="18"/>
                <w:szCs w:val="18"/>
                <w:color w:val="auto"/>
              </w:rPr>
              <w:t>Stock Awards</w:t>
            </w:r>
          </w:p>
        </w:tc>
      </w:tr>
      <w:tr>
        <w:trPr>
          <w:trHeight w:val="27"/>
        </w:trPr>
        <w:tc>
          <w:tcPr>
            <w:tcW w:w="26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2"/>
        </w:trPr>
        <w:tc>
          <w:tcPr>
            <w:tcW w:w="26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6"/>
        </w:trPr>
        <w:tc>
          <w:tcPr>
            <w:tcW w:w="26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Acquired on</w:t>
            </w:r>
          </w:p>
        </w:tc>
        <w:tc>
          <w:tcPr>
            <w:tcW w:w="200" w:type="dxa"/>
            <w:vAlign w:val="bottom"/>
          </w:tcPr>
          <w:p>
            <w:pPr>
              <w:spacing w:after="0"/>
              <w:rPr>
                <w:sz w:val="18"/>
                <w:szCs w:val="18"/>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w w:val="97"/>
              </w:rPr>
              <w:t>Value Realized on</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Acquired on</w:t>
            </w: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w w:val="97"/>
              </w:rPr>
              <w:t>Value Realized on</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Name</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Exercise (#)</w:t>
            </w:r>
          </w:p>
        </w:tc>
        <w:tc>
          <w:tcPr>
            <w:tcW w:w="200" w:type="dxa"/>
            <w:vAlign w:val="bottom"/>
          </w:tcPr>
          <w:p>
            <w:pPr>
              <w:spacing w:after="0"/>
              <w:rPr>
                <w:sz w:val="20"/>
                <w:szCs w:val="20"/>
                <w:color w:val="auto"/>
              </w:rPr>
            </w:pPr>
          </w:p>
        </w:tc>
        <w:tc>
          <w:tcPr>
            <w:tcW w:w="1560" w:type="dxa"/>
            <w:vAlign w:val="bottom"/>
          </w:tcPr>
          <w:p>
            <w:pPr>
              <w:ind w:left="260"/>
              <w:spacing w:after="0"/>
              <w:rPr>
                <w:sz w:val="20"/>
                <w:szCs w:val="20"/>
                <w:color w:val="auto"/>
              </w:rPr>
            </w:pPr>
            <w:r>
              <w:rPr>
                <w:rFonts w:ascii="Arial" w:cs="Arial" w:eastAsia="Arial" w:hAnsi="Arial"/>
                <w:sz w:val="18"/>
                <w:szCs w:val="18"/>
                <w:color w:val="auto"/>
              </w:rPr>
              <w:t>Exercise($)(1)</w:t>
            </w:r>
          </w:p>
        </w:tc>
        <w:tc>
          <w:tcPr>
            <w:tcW w:w="2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Vesting(#)</w:t>
            </w:r>
          </w:p>
        </w:tc>
        <w:tc>
          <w:tcPr>
            <w:tcW w:w="20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Vesting($)(2)</w:t>
            </w:r>
          </w:p>
        </w:tc>
      </w:tr>
      <w:tr>
        <w:trPr>
          <w:trHeight w:val="27"/>
        </w:trPr>
        <w:tc>
          <w:tcPr>
            <w:tcW w:w="2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Reece A. Kurtenbach</w:t>
            </w:r>
          </w:p>
        </w:tc>
        <w:tc>
          <w:tcPr>
            <w:tcW w:w="15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23,239</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Sheila M. Anderson</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10,946</w:t>
            </w:r>
          </w:p>
        </w:tc>
      </w:tr>
      <w:tr>
        <w:trPr>
          <w:trHeight w:val="27"/>
        </w:trPr>
        <w:tc>
          <w:tcPr>
            <w:tcW w:w="2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5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10,946</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Matthew J. Kurtenbach</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10,946</w:t>
            </w:r>
          </w:p>
        </w:tc>
      </w:tr>
      <w:tr>
        <w:trPr>
          <w:trHeight w:val="27"/>
        </w:trPr>
        <w:tc>
          <w:tcPr>
            <w:tcW w:w="2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10,736</w:t>
            </w:r>
          </w:p>
        </w:tc>
      </w:tr>
      <w:tr>
        <w:trPr>
          <w:trHeight w:val="27"/>
        </w:trPr>
        <w:tc>
          <w:tcPr>
            <w:tcW w:w="26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left="1000" w:right="400" w:hanging="426"/>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the common stock on the date of exercise and the per share exercise price of the option multiplied by the number of shares acquired upon exercise.</w:t>
      </w:r>
    </w:p>
    <w:p>
      <w:pPr>
        <w:spacing w:after="0" w:line="116" w:lineRule="exact"/>
        <w:rPr>
          <w:rFonts w:ascii="Arial" w:cs="Arial" w:eastAsia="Arial" w:hAnsi="Arial"/>
          <w:sz w:val="18"/>
          <w:szCs w:val="18"/>
          <w:color w:val="auto"/>
        </w:rPr>
      </w:pPr>
    </w:p>
    <w:p>
      <w:pPr>
        <w:ind w:left="1000" w:hanging="42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The table below reflects the compensation that would be paid to each of our Named Executive Officers in the event of termination of such executive’s employment. The amounts shown assume that such termination was effective as of April 29, 2023,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actual separation from the Company. In addition, there may be re-negotiation of the payments upon any termination of employment or change in control.</w:t>
      </w:r>
    </w:p>
    <w:p>
      <w:pPr>
        <w:spacing w:after="0" w:line="1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Under the 2020 Plan, all options and restricted stock units immediately vest upon a "change in control", as that term is defined in the 2020 Plan. The 2007 Plan and 2015 Plan have expired, but there are awards outstanding under the 2007 Plan and 2015 Plan that are governed by their terms. Upon a termination of employment for any reason, and consistent with our employment policies which apply to all employees, we are obligated to pay for accrued and unused vacation time, which would then be payable in a lump sum.</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8"/>
              </w:rPr>
              <w:t>Termination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4"/>
              </w:rPr>
              <w:t>Termination for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w w:val="93"/>
              </w:rPr>
              <w:t>Termination due to</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1"/>
              </w:rPr>
              <w:t>without cause or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cause or for good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2320" w:type="dxa"/>
            <w:vAlign w:val="bottom"/>
          </w:tcPr>
          <w:p>
            <w:pPr>
              <w:ind w:left="90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w w:val="90"/>
              </w:rPr>
              <w:t>change in control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3"/>
              </w:rPr>
              <w:t>good reason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3"/>
              </w:rPr>
              <w:t>reason</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Death</w:t>
            </w: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Reece A. Kurtenbach</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vesting</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105,787</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445"/>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Sheila M. Anderson</w:t>
            </w:r>
          </w:p>
        </w:tc>
        <w:tc>
          <w:tcPr>
            <w:tcW w:w="10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Restricted stock unit vesting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73,258</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33,683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33,683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33,683</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vesting</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58,100</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445"/>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Matthew J. Kurtenbach</w:t>
            </w:r>
          </w:p>
        </w:tc>
        <w:tc>
          <w:tcPr>
            <w:tcW w:w="10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Restricted stock unit vesting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83,948</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44,373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44,373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vesting</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r>
        <w:trPr>
          <w:trHeight w:val="27"/>
        </w:trPr>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1000" w:right="400" w:hanging="426"/>
        <w:spacing w:after="0" w:line="25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$4.81 per share closing price of the common stock as reported on The Nasdaq Global Select Market as of April 29, 2023, which was the last business day of fiscal 2023, and the exercise price of the option multiplied by the number of shares subject to the option.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Post-Employment Payments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do not provide pension arrangements, post-retirement health coverage or non-qualified defined contribution plans to any of our employees.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Compensation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the compensation paid to and earned by our Directors for the fiscal year ended April 29, 2023:</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4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FISCAL YEAR 2023 DIRECTOR COMPENSATION</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72"/>
        </w:trPr>
        <w:tc>
          <w:tcPr>
            <w:tcW w:w="2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Fees Earned or Paid</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89"/>
              </w:rPr>
              <w:t>Total Compensation</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Name(1)</w:t>
            </w:r>
          </w:p>
        </w:tc>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in Cash ($)</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Stock Awards ($) (2)</w:t>
            </w:r>
          </w:p>
        </w:tc>
        <w:tc>
          <w:tcPr>
            <w:tcW w:w="18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P. Friel</w:t>
            </w:r>
          </w:p>
        </w:tc>
        <w:tc>
          <w:tcPr>
            <w:tcW w:w="3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63,000</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123,000</w:t>
            </w: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Kevin P. McDermott</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67,625</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127,625</w:t>
            </w:r>
          </w:p>
        </w:tc>
      </w:tr>
      <w:tr>
        <w:trPr>
          <w:trHeight w:val="27"/>
        </w:trPr>
        <w:tc>
          <w:tcPr>
            <w:tcW w:w="2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 José-Marie Griffiths</w:t>
            </w:r>
          </w:p>
        </w:tc>
        <w:tc>
          <w:tcPr>
            <w:tcW w:w="3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59,875</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119,875</w:t>
            </w: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Shereta D. Williams</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60,375</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120,375</w:t>
            </w:r>
          </w:p>
        </w:tc>
      </w:tr>
      <w:tr>
        <w:trPr>
          <w:trHeight w:val="27"/>
        </w:trPr>
        <w:tc>
          <w:tcPr>
            <w:tcW w:w="2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Lance D. Bultena</w:t>
            </w:r>
          </w:p>
        </w:tc>
        <w:tc>
          <w:tcPr>
            <w:tcW w:w="3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121,625</w:t>
            </w: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Howard I. Atkins (3)</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14,125</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114,125</w:t>
            </w:r>
          </w:p>
        </w:tc>
      </w:tr>
      <w:tr>
        <w:trPr>
          <w:trHeight w:val="27"/>
        </w:trPr>
        <w:tc>
          <w:tcPr>
            <w:tcW w:w="2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Andrew D. Siegel (4)</w:t>
            </w:r>
          </w:p>
        </w:tc>
        <w:tc>
          <w:tcPr>
            <w:tcW w:w="3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28,250</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88,250</w:t>
            </w: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James B. Morgan (5)</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28,875</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28,875</w:t>
            </w:r>
          </w:p>
        </w:tc>
      </w:tr>
    </w:tbl>
    <w:p>
      <w:pPr>
        <w:spacing w:after="0" w:line="364" w:lineRule="exact"/>
        <w:rPr>
          <w:sz w:val="20"/>
          <w:szCs w:val="20"/>
          <w:color w:val="auto"/>
        </w:rPr>
      </w:pPr>
    </w:p>
    <w:p>
      <w:pPr>
        <w:jc w:val="both"/>
        <w:ind w:left="1000" w:right="280" w:hanging="426"/>
        <w:spacing w:after="0" w:line="248"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CEO since September 1, 2013, was a Named Executive Officer during fiscal 2023 and therefore his compensation is reported in the appropriate tables within the section of this Form 10-K entitled "Executive Compensation."</w:t>
      </w:r>
    </w:p>
    <w:p>
      <w:pPr>
        <w:spacing w:after="0" w:line="141" w:lineRule="exact"/>
        <w:rPr>
          <w:rFonts w:ascii="Arial" w:cs="Arial" w:eastAsia="Arial" w:hAnsi="Arial"/>
          <w:sz w:val="18"/>
          <w:szCs w:val="18"/>
          <w:color w:val="auto"/>
        </w:rPr>
      </w:pPr>
    </w:p>
    <w:p>
      <w:pPr>
        <w:jc w:val="both"/>
        <w:ind w:left="1000" w:right="280" w:hanging="426"/>
        <w:spacing w:after="0" w:line="267"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$60,000 represents September 8, 2022 grants of 19,867 restricted shares of our common stock to each of the Directors named in the table, excluding Howard L. Atkins, with a grant date fair value of $3.02, which vest on August 23, 2023 if they are then Directors of the Company. The $100,000 represents April 18, 2023 grant of 17,667 restricted shares of our common stock to Howard I. Atkins with a grant date fair value of $5.66, which vest on August 23, 2023 if he is then a Director of the Company. The dollar amounts in this column of the table were computed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w:t>
      </w:r>
    </w:p>
    <w:p>
      <w:pPr>
        <w:spacing w:after="0" w:line="33" w:lineRule="exact"/>
        <w:rPr>
          <w:rFonts w:ascii="Arial" w:cs="Arial" w:eastAsia="Arial" w:hAnsi="Arial"/>
          <w:sz w:val="17"/>
          <w:szCs w:val="17"/>
          <w:color w:val="auto"/>
        </w:rPr>
      </w:pPr>
    </w:p>
    <w:p>
      <w:pPr>
        <w:ind w:left="1000" w:hanging="42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Joined as Director on December 7, 2022.</w:t>
      </w:r>
    </w:p>
    <w:p>
      <w:pPr>
        <w:spacing w:after="0" w:line="76" w:lineRule="exact"/>
        <w:rPr>
          <w:rFonts w:ascii="Arial" w:cs="Arial" w:eastAsia="Arial" w:hAnsi="Arial"/>
          <w:sz w:val="18"/>
          <w:szCs w:val="18"/>
          <w:color w:val="auto"/>
        </w:rPr>
      </w:pPr>
    </w:p>
    <w:p>
      <w:pPr>
        <w:ind w:left="1000" w:hanging="42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Joined as Director on September 7, 2022.</w:t>
      </w:r>
    </w:p>
    <w:p>
      <w:pPr>
        <w:spacing w:after="0" w:line="90" w:lineRule="exact"/>
        <w:rPr>
          <w:rFonts w:ascii="Arial" w:cs="Arial" w:eastAsia="Arial" w:hAnsi="Arial"/>
          <w:sz w:val="18"/>
          <w:szCs w:val="18"/>
          <w:color w:val="auto"/>
        </w:rPr>
      </w:pPr>
    </w:p>
    <w:p>
      <w:pPr>
        <w:ind w:left="1000" w:hanging="42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Retired as Director on September 7, 2022.</w:t>
      </w:r>
    </w:p>
    <w:p>
      <w:pPr>
        <w:spacing w:after="0" w:line="356" w:lineRule="exact"/>
        <w:rPr>
          <w:sz w:val="20"/>
          <w:szCs w:val="20"/>
          <w:color w:val="auto"/>
        </w:rPr>
      </w:pPr>
    </w:p>
    <w:p>
      <w:pPr>
        <w:jc w:val="both"/>
        <w:ind w:left="140"/>
        <w:spacing w:after="0" w:line="266" w:lineRule="auto"/>
        <w:rPr>
          <w:sz w:val="20"/>
          <w:szCs w:val="20"/>
          <w:color w:val="auto"/>
        </w:rPr>
      </w:pPr>
      <w:r>
        <w:rPr>
          <w:rFonts w:ascii="Arial" w:cs="Arial" w:eastAsia="Arial" w:hAnsi="Arial"/>
          <w:sz w:val="18"/>
          <w:szCs w:val="18"/>
          <w:b w:val="1"/>
          <w:bCs w:val="1"/>
          <w:color w:val="auto"/>
        </w:rPr>
        <w:t>Independent Director Fees</w:t>
      </w:r>
      <w:r>
        <w:rPr>
          <w:rFonts w:ascii="Arial" w:cs="Arial" w:eastAsia="Arial" w:hAnsi="Arial"/>
          <w:sz w:val="18"/>
          <w:szCs w:val="18"/>
          <w:color w:val="auto"/>
        </w:rPr>
        <w:t>. For fiscal 2023, each Independent Director received an annual retainer of $41,625. In addition, each Independent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$2,500 per meeting for each Board meeting attended. The following table describes the annual retainers paid for fiscal 2023 to each Independent Director for Board Committee membership participation:</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78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85"/>
        </w:trPr>
        <w:tc>
          <w:tcPr>
            <w:tcW w:w="14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6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Chair</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w w:val="91"/>
              </w:rPr>
              <w:t>Other Members</w:t>
            </w:r>
          </w:p>
        </w:tc>
      </w:tr>
      <w:tr>
        <w:trPr>
          <w:trHeight w:val="27"/>
        </w:trPr>
        <w:tc>
          <w:tcPr>
            <w:tcW w:w="140" w:type="dxa"/>
            <w:vAlign w:val="bottom"/>
          </w:tcPr>
          <w:p>
            <w:pPr>
              <w:spacing w:after="0"/>
              <w:rPr>
                <w:sz w:val="2"/>
                <w:szCs w:val="2"/>
                <w:color w:val="auto"/>
              </w:rPr>
            </w:pPr>
          </w:p>
        </w:tc>
        <w:tc>
          <w:tcPr>
            <w:tcW w:w="7740" w:type="dxa"/>
            <w:vAlign w:val="bottom"/>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Committee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7,250</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r>
      <w:tr>
        <w:trPr>
          <w:trHeight w:val="243"/>
        </w:trPr>
        <w:tc>
          <w:tcPr>
            <w:tcW w:w="140" w:type="dxa"/>
            <w:vAlign w:val="bottom"/>
          </w:tcPr>
          <w:p>
            <w:pPr>
              <w:spacing w:after="0"/>
              <w:rPr>
                <w:sz w:val="21"/>
                <w:szCs w:val="21"/>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6,750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7"/>
        </w:trPr>
        <w:tc>
          <w:tcPr>
            <w:tcW w:w="140" w:type="dxa"/>
            <w:vAlign w:val="bottom"/>
          </w:tcPr>
          <w:p>
            <w:pPr>
              <w:spacing w:after="0"/>
              <w:rPr>
                <w:sz w:val="2"/>
                <w:szCs w:val="2"/>
                <w:color w:val="auto"/>
              </w:rPr>
            </w:pPr>
          </w:p>
        </w:tc>
        <w:tc>
          <w:tcPr>
            <w:tcW w:w="77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6,750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r>
      <w:tr>
        <w:trPr>
          <w:trHeight w:val="243"/>
        </w:trPr>
        <w:tc>
          <w:tcPr>
            <w:tcW w:w="140" w:type="dxa"/>
            <w:vAlign w:val="bottom"/>
          </w:tcPr>
          <w:p>
            <w:pPr>
              <w:spacing w:after="0"/>
              <w:rPr>
                <w:sz w:val="21"/>
                <w:szCs w:val="21"/>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8,750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2023 Director Compensation".</w:t>
      </w:r>
    </w:p>
    <w:p>
      <w:pPr>
        <w:spacing w:after="0" w:line="221"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each Director is expected to achieve a target of 5,000 shares owned, excluding shares subject to options. Directors have five years from the date they first become a member of the Board to achieve this level of ownership. As of June 30, 2023, all Directors were in compliance with these guidelines.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2023, none of our executive officers served on the board of directors or compensation committee of another company that had an executive officer who served on our Board of Directors or our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Introduction. </w:t>
      </w:r>
      <w:r>
        <w:rPr>
          <w:rFonts w:ascii="Arial" w:cs="Arial" w:eastAsia="Arial" w:hAnsi="Arial"/>
          <w:sz w:val="17"/>
          <w:szCs w:val="17"/>
          <w:color w:val="auto"/>
        </w:rPr>
        <w:t>The following discussion should be read in conjunction with the various tables and accompanying narrative disclosure appearing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Form 10-K.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had previously voted that such say-on-pay votes be held annually. As a result, a proposal presented to the Company’s shareholders at the 2023 annual meeting of shareholders will seek our shareholders’ input on our executive compensation program.</w:t>
      </w:r>
    </w:p>
    <w:p>
      <w:pPr>
        <w:spacing w:after="0" w:line="17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Executive Summary. </w:t>
      </w:r>
      <w:r>
        <w:rPr>
          <w:rFonts w:ascii="Arial" w:cs="Arial" w:eastAsia="Arial" w:hAnsi="Arial"/>
          <w:sz w:val="18"/>
          <w:szCs w:val="18"/>
          <w:color w:val="auto"/>
        </w:rPr>
        <w:t>Our executive compensation program, developed by management and approved by the Compensation Committee,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simple (easily understood) and team-based, focused on a few key performance metrics, and balanced among:</w:t>
      </w:r>
    </w:p>
    <w:p>
      <w:pPr>
        <w:spacing w:after="0" w:line="206" w:lineRule="exact"/>
        <w:rPr>
          <w:sz w:val="20"/>
          <w:szCs w:val="20"/>
          <w:color w:val="auto"/>
        </w:rPr>
      </w:pPr>
    </w:p>
    <w:p>
      <w:pPr>
        <w:ind w:left="920" w:hanging="376"/>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25" w:lineRule="exact"/>
        <w:rPr>
          <w:rFonts w:ascii="Arial" w:cs="Arial" w:eastAsia="Arial" w:hAnsi="Arial"/>
          <w:sz w:val="18"/>
          <w:szCs w:val="18"/>
          <w:color w:val="auto"/>
        </w:rPr>
      </w:pPr>
    </w:p>
    <w:p>
      <w:pPr>
        <w:ind w:left="920" w:hanging="376"/>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225" w:lineRule="exact"/>
        <w:rPr>
          <w:rFonts w:ascii="Arial" w:cs="Arial" w:eastAsia="Arial" w:hAnsi="Arial"/>
          <w:sz w:val="18"/>
          <w:szCs w:val="18"/>
          <w:color w:val="auto"/>
        </w:rPr>
      </w:pPr>
    </w:p>
    <w:p>
      <w:pPr>
        <w:ind w:left="920" w:hanging="376"/>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and stock performance; and</w:t>
      </w:r>
    </w:p>
    <w:p>
      <w:pPr>
        <w:spacing w:after="0" w:line="225" w:lineRule="exact"/>
        <w:rPr>
          <w:rFonts w:ascii="Arial" w:cs="Arial" w:eastAsia="Arial" w:hAnsi="Arial"/>
          <w:sz w:val="18"/>
          <w:szCs w:val="18"/>
          <w:color w:val="auto"/>
        </w:rPr>
      </w:pPr>
    </w:p>
    <w:p>
      <w:pPr>
        <w:ind w:left="920" w:hanging="376"/>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37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65"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Company's financial performance for the fiscal year ended April 29, 2023 included a decrease in orders of 19.5 percent to $681 million. Fiscal 2022 saw a record number of orders from pent-up demand after COVID, and orders for fiscal 2023 continue to be strong. In addition, macroeconomic and geopolitical conditions caused the decline in orders in the International business unit. The year-over-year growth in net sales was driven by fulfilling orders in backlog and continued order bookings. Sales growth was driven by strong market demand, increased capacity, and realization of price increases implemented beginning in late fiscal year 2022. We have seen stabilizing and improving supply chain conditions and have invested in automated machinery and equipment and in labor capacity to increase the rate of conversion of orders into sales, creating more throughput in our factories. Financial metrics for fiscal 2023 included a 1.5 percent return 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a 3.6 percent return on beginning shareholders' equity. Operating margin was 2.8 percent as a percent of sales for fiscal 2023 as compared to 0.7 percent as a percent of sales for fiscal 2022 due to part supply disruptions during fiscal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to executive compensation during the last fiscal year were mainly due to maintaining the competitiveness of our compensation program. In addition, executive pay was reinstated beginning in fiscal 2022, after an April 1, 2020 reduction in executive compensation in response to the uncertainty, longevity, and severity of the effects of the COVID-19 pandemic would have had on Daktronics' business.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Role of Compensation Committee, Philosophy and Objectives. </w:t>
      </w:r>
      <w:r>
        <w:rPr>
          <w:rFonts w:ascii="Arial" w:cs="Arial" w:eastAsia="Arial" w:hAnsi="Arial"/>
          <w:sz w:val="17"/>
          <w:szCs w:val="17"/>
          <w:color w:val="auto"/>
        </w:rPr>
        <w:t>The Compensation Committee has the responsibility for guiding our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philosophy and overseeing the design of our executive compensation programs. In arriving at the appropriate levels of pay and incentive opportunities, the Compensation Committee reviews our compensation philosophy and trends in our peer group to assure that our executive compensation program is competitive to effectively recruit and retain talented management, focus our executives to achieve short- and long-range corporate objectives, and align the interests of the executives with the interests of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bases its executive compensation decisions on the following philosophies:</w:t>
      </w:r>
    </w:p>
    <w:p>
      <w:pPr>
        <w:spacing w:after="0" w:line="266" w:lineRule="exact"/>
        <w:rPr>
          <w:sz w:val="20"/>
          <w:szCs w:val="20"/>
          <w:color w:val="auto"/>
        </w:rPr>
      </w:pPr>
    </w:p>
    <w:p>
      <w:pPr>
        <w:ind w:left="980" w:right="160" w:hanging="406"/>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29" w:lineRule="exact"/>
        <w:rPr>
          <w:rFonts w:ascii="Arial" w:cs="Arial" w:eastAsia="Arial" w:hAnsi="Arial"/>
          <w:sz w:val="18"/>
          <w:szCs w:val="18"/>
          <w:color w:val="auto"/>
        </w:rPr>
      </w:pPr>
    </w:p>
    <w:p>
      <w:pPr>
        <w:ind w:left="980" w:hanging="406"/>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225" w:lineRule="exact"/>
        <w:rPr>
          <w:rFonts w:ascii="Arial" w:cs="Arial" w:eastAsia="Arial" w:hAnsi="Arial"/>
          <w:sz w:val="18"/>
          <w:szCs w:val="18"/>
          <w:color w:val="auto"/>
        </w:rPr>
      </w:pPr>
    </w:p>
    <w:p>
      <w:pPr>
        <w:ind w:left="980" w:right="160" w:hanging="406"/>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spacing w:after="0" w:line="116" w:lineRule="exact"/>
        <w:rPr>
          <w:rFonts w:ascii="Arial" w:cs="Arial" w:eastAsia="Arial" w:hAnsi="Arial"/>
          <w:sz w:val="18"/>
          <w:szCs w:val="18"/>
          <w:color w:val="auto"/>
        </w:rPr>
      </w:pPr>
    </w:p>
    <w:p>
      <w:pPr>
        <w:ind w:left="920" w:hanging="376"/>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annually reviews each executive's compensation. The Compensation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306" w:lineRule="exact"/>
        <w:rPr>
          <w:sz w:val="20"/>
          <w:szCs w:val="20"/>
          <w:color w:val="auto"/>
        </w:rPr>
      </w:pPr>
    </w:p>
    <w:p>
      <w:pPr>
        <w:ind w:left="980" w:hanging="40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25" w:lineRule="exact"/>
        <w:rPr>
          <w:rFonts w:ascii="Arial" w:cs="Arial" w:eastAsia="Arial" w:hAnsi="Arial"/>
          <w:sz w:val="18"/>
          <w:szCs w:val="18"/>
          <w:color w:val="auto"/>
        </w:rPr>
      </w:pPr>
    </w:p>
    <w:p>
      <w:pPr>
        <w:ind w:left="980" w:hanging="40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225" w:lineRule="exact"/>
        <w:rPr>
          <w:rFonts w:ascii="Arial" w:cs="Arial" w:eastAsia="Arial" w:hAnsi="Arial"/>
          <w:sz w:val="18"/>
          <w:szCs w:val="18"/>
          <w:color w:val="auto"/>
        </w:rPr>
      </w:pPr>
    </w:p>
    <w:p>
      <w:pPr>
        <w:ind w:left="980" w:hanging="40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225" w:lineRule="exact"/>
        <w:rPr>
          <w:rFonts w:ascii="Arial" w:cs="Arial" w:eastAsia="Arial" w:hAnsi="Arial"/>
          <w:sz w:val="18"/>
          <w:szCs w:val="18"/>
          <w:color w:val="auto"/>
        </w:rPr>
      </w:pPr>
    </w:p>
    <w:p>
      <w:pPr>
        <w:ind w:left="980" w:hanging="40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base salary reflects the pay the Compensation Committee believes is appropriate for each executive's responsibility, capability and performance. The non-equity-based incentive compensation is designed to focus the executive team on the Company-wide goals and objectives, which focus on growth in revenue and reductions in costs in order to achieve and sustain a target operating margin. 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shares of common stock in the Company and thereby align executives' interests with our shareholders' interests.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considers both internal equity and market competitiveness. We compare executive pay to the compensation of other key managers and employees at the Company. As described below, we also compare overall</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executive compensation to comparison companies and to salary database information. The Compensation Committee believes that equitable and competitive compensation, as well as leader development and promotion-from-within, are essential to retain high-performing executives. Our currently employed Named Executive Officers have an average of 31.6 years of experience with Daktronics.</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fiscal 2023, our Named Executive Officers were Reece A. Kurtenbach, Chair, President and CEO; Sheila M. Anderson, Chief Financial Officer and Treasurer; Bradley T. Wiemann, Executive Vice President; Matthew J. Kurtenbach, Vice President of Manufacturing; and Carla S. Gatzke, Vice President of Human Resources and Secretary.</w:t>
      </w:r>
    </w:p>
    <w:p>
      <w:pPr>
        <w:spacing w:after="0" w:line="180"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b w:val="1"/>
          <w:bCs w:val="1"/>
          <w:color w:val="auto"/>
        </w:rPr>
        <w:t xml:space="preserve">Role of Executive Officers in Compensation Decisions. </w:t>
      </w:r>
      <w:r>
        <w:rPr>
          <w:rFonts w:ascii="Arial" w:cs="Arial" w:eastAsia="Arial" w:hAnsi="Arial"/>
          <w:sz w:val="17"/>
          <w:szCs w:val="17"/>
          <w:color w:val="auto"/>
        </w:rPr>
        <w:t>Our CEO and Vice President of Human Resources present to the Compensation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recommendations for the salary, non-equity-based incentive compensation, and equity-based compensation grants for the Named Executive Officers. The Compensation Committee considers these recommendations and accepts or adjusts them, in whole or in part. The CEO and Vice President of Human Resources are not present for the discussions or determinations about their own compensation, but they generally participate in the discussions regarding other executive officers’ compensation. The Chair of the Compensation Committee presents the Compensation Committee’s findings regarding compensation for executive officers to the Board. Based on such input, the Board reviews and generally approves and adopts the Committee's recommendations regarding the executives' compensation plan.</w:t>
      </w:r>
    </w:p>
    <w:p>
      <w:pPr>
        <w:spacing w:after="0" w:line="172"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Benchmarking. </w:t>
      </w:r>
      <w:r>
        <w:rPr>
          <w:rFonts w:ascii="Arial" w:cs="Arial" w:eastAsia="Arial" w:hAnsi="Arial"/>
          <w:sz w:val="18"/>
          <w:szCs w:val="18"/>
          <w:color w:val="auto"/>
        </w:rPr>
        <w:t>In making decisions regarding elements and amounts of compensation, the Compensation Committee considers the compensation paid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officers at similar levels and responsibilities. These are public companies in our geographical area with revenues of between $250 million and $1 billion and with a focus on manufacturing or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Apogee Enterprises, Inc.</w:t>
            </w:r>
          </w:p>
        </w:tc>
        <w:tc>
          <w:tcPr>
            <w:tcW w:w="3800" w:type="dxa"/>
            <w:vAlign w:val="bottom"/>
          </w:tcPr>
          <w:p>
            <w:pPr>
              <w:ind w:left="1000"/>
              <w:spacing w:after="0"/>
              <w:rPr>
                <w:sz w:val="20"/>
                <w:szCs w:val="20"/>
                <w:color w:val="auto"/>
              </w:rPr>
            </w:pPr>
            <w:r>
              <w:rPr>
                <w:rFonts w:ascii="Arial" w:cs="Arial" w:eastAsia="Arial" w:hAnsi="Arial"/>
                <w:sz w:val="18"/>
                <w:szCs w:val="18"/>
                <w:color w:val="auto"/>
              </w:rPr>
              <w:t>Hawkins, Inc.</w:t>
            </w:r>
          </w:p>
        </w:tc>
        <w:tc>
          <w:tcPr>
            <w:tcW w:w="3020" w:type="dxa"/>
            <w:vAlign w:val="bottom"/>
          </w:tcPr>
          <w:p>
            <w:pPr>
              <w:ind w:left="860"/>
              <w:spacing w:after="0"/>
              <w:rPr>
                <w:sz w:val="20"/>
                <w:szCs w:val="20"/>
                <w:color w:val="auto"/>
              </w:rPr>
            </w:pPr>
            <w:r>
              <w:rPr>
                <w:rFonts w:ascii="Arial" w:cs="Arial" w:eastAsia="Arial" w:hAnsi="Arial"/>
                <w:sz w:val="18"/>
                <w:szCs w:val="18"/>
                <w:color w:val="auto"/>
              </w:rPr>
              <w:t>Johnson Outdoors Inc</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Badger Meter, Inc.</w:t>
            </w:r>
          </w:p>
        </w:tc>
        <w:tc>
          <w:tcPr>
            <w:tcW w:w="3800" w:type="dxa"/>
            <w:vAlign w:val="bottom"/>
          </w:tcPr>
          <w:p>
            <w:pPr>
              <w:ind w:left="1000"/>
              <w:spacing w:after="0"/>
              <w:rPr>
                <w:sz w:val="20"/>
                <w:szCs w:val="20"/>
                <w:color w:val="auto"/>
              </w:rPr>
            </w:pPr>
            <w:r>
              <w:rPr>
                <w:rFonts w:ascii="Arial" w:cs="Arial" w:eastAsia="Arial" w:hAnsi="Arial"/>
                <w:sz w:val="18"/>
                <w:szCs w:val="18"/>
                <w:color w:val="auto"/>
              </w:rPr>
              <w:t>iMedia Brands, Inc.</w:t>
            </w:r>
          </w:p>
        </w:tc>
        <w:tc>
          <w:tcPr>
            <w:tcW w:w="3020" w:type="dxa"/>
            <w:vAlign w:val="bottom"/>
          </w:tcPr>
          <w:p>
            <w:pPr>
              <w:ind w:left="860"/>
              <w:spacing w:after="0"/>
              <w:rPr>
                <w:sz w:val="20"/>
                <w:szCs w:val="20"/>
                <w:color w:val="auto"/>
              </w:rPr>
            </w:pPr>
            <w:r>
              <w:rPr>
                <w:rFonts w:ascii="Arial" w:cs="Arial" w:eastAsia="Arial" w:hAnsi="Arial"/>
                <w:sz w:val="18"/>
                <w:szCs w:val="18"/>
                <w:color w:val="auto"/>
              </w:rPr>
              <w:t>Manitowoc Co Inc.</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Bio-Techne Corporation</w:t>
            </w:r>
          </w:p>
        </w:tc>
        <w:tc>
          <w:tcPr>
            <w:tcW w:w="3800" w:type="dxa"/>
            <w:vAlign w:val="bottom"/>
          </w:tcPr>
          <w:p>
            <w:pPr>
              <w:ind w:left="1000"/>
              <w:spacing w:after="0"/>
              <w:rPr>
                <w:sz w:val="20"/>
                <w:szCs w:val="20"/>
                <w:color w:val="auto"/>
              </w:rPr>
            </w:pPr>
            <w:r>
              <w:rPr>
                <w:rFonts w:ascii="Arial" w:cs="Arial" w:eastAsia="Arial" w:hAnsi="Arial"/>
                <w:sz w:val="18"/>
                <w:szCs w:val="18"/>
                <w:color w:val="auto"/>
              </w:rPr>
              <w:t>Tennant Company</w:t>
            </w:r>
          </w:p>
        </w:tc>
        <w:tc>
          <w:tcPr>
            <w:tcW w:w="3020" w:type="dxa"/>
            <w:vAlign w:val="bottom"/>
          </w:tcPr>
          <w:p>
            <w:pPr>
              <w:ind w:left="860"/>
              <w:spacing w:after="0"/>
              <w:rPr>
                <w:sz w:val="20"/>
                <w:szCs w:val="20"/>
                <w:color w:val="auto"/>
              </w:rPr>
            </w:pPr>
            <w:r>
              <w:rPr>
                <w:rFonts w:ascii="Arial" w:cs="Arial" w:eastAsia="Arial" w:hAnsi="Arial"/>
                <w:sz w:val="18"/>
                <w:szCs w:val="18"/>
                <w:color w:val="auto"/>
              </w:rPr>
              <w:t>Proto Labs Inc.</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Douglas Dynamics Inc</w:t>
            </w:r>
          </w:p>
        </w:tc>
        <w:tc>
          <w:tcPr>
            <w:tcW w:w="3800" w:type="dxa"/>
            <w:vAlign w:val="bottom"/>
          </w:tcPr>
          <w:p>
            <w:pPr>
              <w:ind w:left="1000"/>
              <w:spacing w:after="0"/>
              <w:rPr>
                <w:sz w:val="20"/>
                <w:szCs w:val="20"/>
                <w:color w:val="auto"/>
              </w:rPr>
            </w:pPr>
            <w:r>
              <w:rPr>
                <w:rFonts w:ascii="Arial" w:cs="Arial" w:eastAsia="Arial" w:hAnsi="Arial"/>
                <w:sz w:val="18"/>
                <w:szCs w:val="18"/>
                <w:color w:val="auto"/>
              </w:rPr>
              <w:t>Lindsay Corporation</w:t>
            </w:r>
          </w:p>
        </w:tc>
        <w:tc>
          <w:tcPr>
            <w:tcW w:w="3020" w:type="dxa"/>
            <w:vAlign w:val="bottom"/>
          </w:tcPr>
          <w:p>
            <w:pPr>
              <w:ind w:left="860"/>
              <w:spacing w:after="0"/>
              <w:rPr>
                <w:sz w:val="20"/>
                <w:szCs w:val="20"/>
                <w:color w:val="auto"/>
              </w:rPr>
            </w:pPr>
            <w:r>
              <w:rPr>
                <w:rFonts w:ascii="Arial" w:cs="Arial" w:eastAsia="Arial" w:hAnsi="Arial"/>
                <w:sz w:val="18"/>
                <w:szCs w:val="18"/>
                <w:color w:val="auto"/>
              </w:rPr>
              <w:t>Strattec Security Corp.</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Raven Industries, Inc.</w:t>
            </w:r>
          </w:p>
        </w:tc>
        <w:tc>
          <w:tcPr>
            <w:tcW w:w="3800" w:type="dxa"/>
            <w:vAlign w:val="bottom"/>
          </w:tcPr>
          <w:p>
            <w:pPr>
              <w:ind w:left="1000"/>
              <w:spacing w:after="0"/>
              <w:rPr>
                <w:sz w:val="20"/>
                <w:szCs w:val="20"/>
                <w:color w:val="auto"/>
              </w:rPr>
            </w:pPr>
            <w:r>
              <w:rPr>
                <w:rFonts w:ascii="Arial" w:cs="Arial" w:eastAsia="Arial" w:hAnsi="Arial"/>
                <w:sz w:val="18"/>
                <w:szCs w:val="18"/>
                <w:color w:val="auto"/>
              </w:rPr>
              <w:t>Enerpac Tool Group Corp.</w:t>
            </w:r>
          </w:p>
        </w:tc>
        <w:tc>
          <w:tcPr>
            <w:tcW w:w="3020" w:type="dxa"/>
            <w:vAlign w:val="bottom"/>
          </w:tcPr>
          <w:p>
            <w:pPr>
              <w:ind w:left="860"/>
              <w:spacing w:after="0"/>
              <w:rPr>
                <w:sz w:val="20"/>
                <w:szCs w:val="20"/>
                <w:color w:val="auto"/>
              </w:rPr>
            </w:pPr>
            <w:r>
              <w:rPr>
                <w:rFonts w:ascii="Arial" w:cs="Arial" w:eastAsia="Arial" w:hAnsi="Arial"/>
                <w:sz w:val="18"/>
                <w:szCs w:val="18"/>
                <w:color w:val="auto"/>
                <w:w w:val="93"/>
              </w:rPr>
              <w:t>Mayville Engineering Co Inc.</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Graco, Inc.</w:t>
            </w:r>
          </w:p>
        </w:tc>
        <w:tc>
          <w:tcPr>
            <w:tcW w:w="3800" w:type="dxa"/>
            <w:vAlign w:val="bottom"/>
          </w:tcPr>
          <w:p>
            <w:pPr>
              <w:ind w:left="1000"/>
              <w:spacing w:after="0"/>
              <w:rPr>
                <w:sz w:val="20"/>
                <w:szCs w:val="20"/>
                <w:color w:val="auto"/>
              </w:rPr>
            </w:pPr>
            <w:r>
              <w:rPr>
                <w:rFonts w:ascii="Arial" w:cs="Arial" w:eastAsia="Arial" w:hAnsi="Arial"/>
                <w:sz w:val="18"/>
                <w:szCs w:val="18"/>
                <w:color w:val="auto"/>
              </w:rPr>
              <w:t>Flexsteel Industries Inc.</w:t>
            </w:r>
          </w:p>
        </w:tc>
        <w:tc>
          <w:tcPr>
            <w:tcW w:w="3020" w:type="dxa"/>
            <w:vAlign w:val="bottom"/>
          </w:tcPr>
          <w:p>
            <w:pPr>
              <w:ind w:left="860"/>
              <w:spacing w:after="0"/>
              <w:rPr>
                <w:sz w:val="20"/>
                <w:szCs w:val="20"/>
                <w:color w:val="auto"/>
              </w:rPr>
            </w:pPr>
            <w:r>
              <w:rPr>
                <w:rFonts w:ascii="Arial" w:cs="Arial" w:eastAsia="Arial" w:hAnsi="Arial"/>
                <w:sz w:val="18"/>
                <w:szCs w:val="18"/>
                <w:color w:val="auto"/>
              </w:rPr>
              <w:t>MTS Systems Corp</w:t>
            </w:r>
          </w:p>
        </w:tc>
      </w:tr>
    </w:tbl>
    <w:p>
      <w:pPr>
        <w:spacing w:after="0" w:line="200" w:lineRule="exact"/>
        <w:rPr>
          <w:sz w:val="20"/>
          <w:szCs w:val="20"/>
          <w:color w:val="auto"/>
        </w:rPr>
      </w:pPr>
    </w:p>
    <w:p>
      <w:pPr>
        <w:spacing w:after="0" w:line="32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Compensation Committee also considers compensation data from the Economic Research Institute, which takes into consideration company size, geography, base salary and variable cash compensation but excludes equity incentive compensation information.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Compensation Committee believes that its executive compensation is sufficiently conservative, as well as appropriately competitive, so as not to require an external consultant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reviewed and discussed the section of this Form 10-K entitled "Compensation Discussion and Analysis" with management. Based on such review and discussions, the Compensation Committee recommended to the Board that the Compensation Discussion and Analysis be included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John P. Friel, Chair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Dr. José-Marie Griffiths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Shereta D. Williams</w:t>
      </w:r>
    </w:p>
    <w:p>
      <w:pPr>
        <w:spacing w:after="0"/>
        <w:rPr>
          <w:sz w:val="20"/>
          <w:szCs w:val="20"/>
          <w:color w:val="auto"/>
        </w:rPr>
      </w:pPr>
      <w:r>
        <w:rPr>
          <w:rFonts w:ascii="Arial" w:cs="Arial" w:eastAsia="Arial" w:hAnsi="Arial"/>
          <w:sz w:val="18"/>
          <w:szCs w:val="18"/>
          <w:color w:val="auto"/>
        </w:rPr>
        <w:t>Howard I. Atkins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left="140" w:right="12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common stock as of June 30, 2023 by each of our Directors; by each Named Executive Officer named in the Summary Compensation Table; by all Named Executive Officers, and all Directors as a group; and by each shareholder who is known by us to own beneficially more than five percent of our outstanding common stock.</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6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Amount and</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6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Nature of</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w:t>
            </w:r>
          </w:p>
        </w:tc>
      </w:tr>
      <w:tr>
        <w:trPr>
          <w:trHeight w:val="216"/>
        </w:trPr>
        <w:tc>
          <w:tcPr>
            <w:tcW w:w="6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Beneficial</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r>
      <w:tr>
        <w:trPr>
          <w:trHeight w:val="25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Name and Address of Beneficial Owners</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w:t>
            </w:r>
          </w:p>
        </w:tc>
        <w:tc>
          <w:tcPr>
            <w:tcW w:w="6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Ownership(1)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Shares(2)</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5% Beneficial Owners:</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Dimensional Fund Advisors LP</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2,472,089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Building One, 6300 Bee Cave Road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Austin, TX 78746</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Alta Fox Opportunities Fund, LP</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2,292,736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640 Taylor Street, Ste 2522</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Fort Worth, TX 76102</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 Aelred J. Kurtenbach</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2,781,499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Daktronics, Inc. 401(k) Plan</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2,465,803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Directors, and Director Nominee:</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Reece A. Kurtenbach</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721,036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Howard I. Atkins</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Kevin P. McDermott</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98,482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P. Friel</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93,834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Dr. José-Marie Griffiths</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44,016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Shereta D. Williams</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Lance D. Bultena</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30,026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Sheila M. Anderson</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101,782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Bradley T. Wiemann</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203,131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J. Kurtenbach</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332,311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Carla S. Gatzke</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830,898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6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D. Siegel</w:t>
            </w:r>
          </w:p>
        </w:tc>
        <w:tc>
          <w:tcPr>
            <w:tcW w:w="7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1,295,659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64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6"/>
              </w:rPr>
              <w:t>All Directors and all Named Executive Officers as a group (12 persons, consisting of</w:t>
            </w: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those named above)</w:t>
            </w: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3,798,868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8.3 %</w:t>
            </w:r>
          </w:p>
        </w:tc>
      </w:tr>
    </w:tbl>
    <w:p>
      <w:pPr>
        <w:spacing w:after="0" w:line="94" w:lineRule="exact"/>
        <w:rPr>
          <w:sz w:val="20"/>
          <w:szCs w:val="20"/>
          <w:color w:val="auto"/>
        </w:rPr>
      </w:pPr>
    </w:p>
    <w:p>
      <w:pPr>
        <w:ind w:left="280" w:hanging="14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65" w:lineRule="exact"/>
        <w:rPr>
          <w:rFonts w:ascii="Arial" w:cs="Arial" w:eastAsia="Arial" w:hAnsi="Arial"/>
          <w:sz w:val="18"/>
          <w:szCs w:val="18"/>
          <w:color w:val="auto"/>
        </w:rPr>
      </w:pPr>
    </w:p>
    <w:p>
      <w:pPr>
        <w:ind w:left="1200" w:hanging="622"/>
        <w:spacing w:after="0"/>
        <w:tabs>
          <w:tab w:leader="none" w:pos="1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w:t>
      </w:r>
    </w:p>
    <w:p>
      <w:pPr>
        <w:spacing w:after="0" w:line="225" w:lineRule="exact"/>
        <w:rPr>
          <w:rFonts w:ascii="Arial" w:cs="Arial" w:eastAsia="Arial" w:hAnsi="Arial"/>
          <w:sz w:val="18"/>
          <w:szCs w:val="18"/>
          <w:color w:val="auto"/>
        </w:rPr>
      </w:pPr>
    </w:p>
    <w:p>
      <w:pPr>
        <w:jc w:val="both"/>
        <w:ind w:left="1200" w:right="180" w:hanging="622"/>
        <w:spacing w:after="0" w:line="246" w:lineRule="auto"/>
        <w:tabs>
          <w:tab w:leader="none" w:pos="1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Applicable percentage ownership is based on 45,703,283 shares of common stock outstanding as of June 30, 2023.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June 30, 2023, and restricted stock units that are scheduled to vest within 60 days of June 30, 2023. We did not deem these shares outstanding, however, for the purpose of computing the percentage ownership of any other person.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hanging="622"/>
        <w:spacing w:after="0" w:line="261" w:lineRule="auto"/>
        <w:tabs>
          <w:tab w:leader="none" w:pos="1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144,483 shares subject to options, 33,538 shares held through the 401(k) Plan, 17,400 shares held by his spouse, 44,800 shares held by his children, and 5,400 shares of restricted stock which vest within 60 days from June 30, 2023.</w:t>
      </w:r>
    </w:p>
    <w:p>
      <w:pPr>
        <w:spacing w:after="0" w:line="130" w:lineRule="exact"/>
        <w:rPr>
          <w:rFonts w:ascii="Arial" w:cs="Arial" w:eastAsia="Arial" w:hAnsi="Arial"/>
          <w:sz w:val="18"/>
          <w:szCs w:val="18"/>
          <w:color w:val="auto"/>
        </w:rPr>
      </w:pPr>
    </w:p>
    <w:p>
      <w:pPr>
        <w:ind w:left="1200" w:hanging="622"/>
        <w:spacing w:after="0"/>
        <w:tabs>
          <w:tab w:leader="none" w:pos="1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17,667 shares of restricted stock which vest on August 23, 2023.</w:t>
      </w:r>
    </w:p>
    <w:p>
      <w:pPr>
        <w:spacing w:after="0" w:line="225" w:lineRule="exact"/>
        <w:rPr>
          <w:rFonts w:ascii="Arial" w:cs="Arial" w:eastAsia="Arial" w:hAnsi="Arial"/>
          <w:sz w:val="18"/>
          <w:szCs w:val="18"/>
          <w:color w:val="auto"/>
        </w:rPr>
      </w:pPr>
    </w:p>
    <w:p>
      <w:pPr>
        <w:ind w:left="1200" w:hanging="622"/>
        <w:spacing w:after="0"/>
        <w:tabs>
          <w:tab w:leader="none" w:pos="1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19,867 shares of restricted stock which vest on August 23, 2023.</w:t>
      </w:r>
    </w:p>
    <w:p>
      <w:pPr>
        <w:spacing w:after="0" w:line="225" w:lineRule="exact"/>
        <w:rPr>
          <w:rFonts w:ascii="Arial" w:cs="Arial" w:eastAsia="Arial" w:hAnsi="Arial"/>
          <w:sz w:val="18"/>
          <w:szCs w:val="18"/>
          <w:color w:val="auto"/>
        </w:rPr>
      </w:pPr>
    </w:p>
    <w:p>
      <w:pPr>
        <w:ind w:left="1200" w:hanging="622"/>
        <w:spacing w:after="0"/>
        <w:tabs>
          <w:tab w:leader="none" w:pos="1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19,867 shares of restricted stock which vest on August 23, 2023.</w:t>
      </w:r>
    </w:p>
    <w:p>
      <w:pPr>
        <w:spacing w:after="0" w:line="225" w:lineRule="exact"/>
        <w:rPr>
          <w:rFonts w:ascii="Arial" w:cs="Arial" w:eastAsia="Arial" w:hAnsi="Arial"/>
          <w:sz w:val="18"/>
          <w:szCs w:val="18"/>
          <w:color w:val="auto"/>
        </w:rPr>
      </w:pPr>
    </w:p>
    <w:p>
      <w:pPr>
        <w:ind w:left="1200" w:hanging="622"/>
        <w:spacing w:after="0"/>
        <w:tabs>
          <w:tab w:leader="none" w:pos="1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19,867 shares of restricted stock which vest on August 23, 2023.</w:t>
      </w:r>
    </w:p>
    <w:p>
      <w:pPr>
        <w:spacing w:after="0" w:line="225" w:lineRule="exact"/>
        <w:rPr>
          <w:rFonts w:ascii="Arial" w:cs="Arial" w:eastAsia="Arial" w:hAnsi="Arial"/>
          <w:sz w:val="18"/>
          <w:szCs w:val="18"/>
          <w:color w:val="auto"/>
        </w:rPr>
      </w:pPr>
    </w:p>
    <w:p>
      <w:pPr>
        <w:ind w:left="1120" w:hanging="576"/>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19,867 shares of restricted stock which vest on August 23, 2023.</w:t>
      </w:r>
    </w:p>
    <w:p>
      <w:pPr>
        <w:spacing w:after="0" w:line="225" w:lineRule="exact"/>
        <w:rPr>
          <w:rFonts w:ascii="Arial" w:cs="Arial" w:eastAsia="Arial" w:hAnsi="Arial"/>
          <w:sz w:val="18"/>
          <w:szCs w:val="18"/>
          <w:color w:val="auto"/>
        </w:rPr>
      </w:pPr>
    </w:p>
    <w:p>
      <w:pPr>
        <w:ind w:left="1200" w:hanging="622"/>
        <w:spacing w:after="0"/>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Includes 19,867 shares of restricted stock which vest on August 23, 2023.</w:t>
      </w:r>
    </w:p>
    <w:p>
      <w:pPr>
        <w:spacing w:after="0" w:line="211" w:lineRule="exact"/>
        <w:rPr>
          <w:rFonts w:ascii="Arial" w:cs="Arial" w:eastAsia="Arial" w:hAnsi="Arial"/>
          <w:sz w:val="18"/>
          <w:szCs w:val="18"/>
          <w:color w:val="auto"/>
        </w:rPr>
      </w:pPr>
    </w:p>
    <w:p>
      <w:pPr>
        <w:ind w:left="1200" w:hanging="622"/>
        <w:spacing w:after="0" w:line="277"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Includes 59,120 shares subject to options, 8,532 shares held through the 401(k) Plan and 2,500 shares of restricted stock which vest within 60 days from June 30, 2023.</w:t>
      </w:r>
    </w:p>
    <w:p>
      <w:pPr>
        <w:spacing w:after="0" w:line="116" w:lineRule="exact"/>
        <w:rPr>
          <w:rFonts w:ascii="Arial" w:cs="Arial" w:eastAsia="Arial" w:hAnsi="Arial"/>
          <w:sz w:val="18"/>
          <w:szCs w:val="18"/>
          <w:color w:val="auto"/>
        </w:rPr>
      </w:pPr>
    </w:p>
    <w:p>
      <w:pPr>
        <w:ind w:left="1200" w:hanging="622"/>
        <w:spacing w:after="0" w:line="261"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Includes 59,750 shares subject to options, 597 shares held by his spouse and 2,500 shares of restricted stock which vest within 60 days from June 30, 2023.</w:t>
      </w:r>
    </w:p>
    <w:p>
      <w:pPr>
        <w:spacing w:after="0" w:line="130" w:lineRule="exact"/>
        <w:rPr>
          <w:rFonts w:ascii="Arial" w:cs="Arial" w:eastAsia="Arial" w:hAnsi="Arial"/>
          <w:sz w:val="18"/>
          <w:szCs w:val="18"/>
          <w:color w:val="auto"/>
        </w:rPr>
      </w:pPr>
    </w:p>
    <w:p>
      <w:pPr>
        <w:ind w:left="1200" w:hanging="622"/>
        <w:spacing w:after="0" w:line="261"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Includes 59,750 shares subject to options, 16,098 shares held through 401(k) Plan, 39,100 shares held by his children and 2,500 shares of restricted stock which vest within 60 days from June 30, 2023.</w:t>
      </w:r>
    </w:p>
    <w:p>
      <w:pPr>
        <w:spacing w:after="0" w:line="130" w:lineRule="exact"/>
        <w:rPr>
          <w:rFonts w:ascii="Arial" w:cs="Arial" w:eastAsia="Arial" w:hAnsi="Arial"/>
          <w:sz w:val="18"/>
          <w:szCs w:val="18"/>
          <w:color w:val="auto"/>
        </w:rPr>
      </w:pPr>
    </w:p>
    <w:p>
      <w:pPr>
        <w:ind w:left="1200" w:hanging="622"/>
        <w:spacing w:after="0" w:line="277"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Includes 56,600 shares subject to options, 176,604 shares held through the 401(k) Plan, 90,000 shares held by her spouse, 15,005 shares held by her child and 2,500 shares of restricted stock with which vest within 60 days from June 30, 2023.</w:t>
      </w:r>
    </w:p>
    <w:p>
      <w:pPr>
        <w:spacing w:after="0" w:line="143" w:lineRule="exact"/>
        <w:rPr>
          <w:rFonts w:ascii="Arial" w:cs="Arial" w:eastAsia="Arial" w:hAnsi="Arial"/>
          <w:sz w:val="18"/>
          <w:szCs w:val="18"/>
          <w:color w:val="auto"/>
        </w:rPr>
      </w:pPr>
    </w:p>
    <w:p>
      <w:pPr>
        <w:ind w:left="1200" w:hanging="622"/>
        <w:spacing w:after="0" w:line="261"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Consists of 1,275,392 shares owned by Prairieland Holdco, LLC ("PLH"). Mr. Siegel is the sole member and president of Prairieland MM, LLC. which is the manager of PLH.</w:t>
      </w:r>
    </w:p>
    <w:p>
      <w:pPr>
        <w:spacing w:after="0" w:line="130" w:lineRule="exact"/>
        <w:rPr>
          <w:rFonts w:ascii="Arial" w:cs="Arial" w:eastAsia="Arial" w:hAnsi="Arial"/>
          <w:sz w:val="18"/>
          <w:szCs w:val="18"/>
          <w:color w:val="auto"/>
        </w:rPr>
      </w:pPr>
    </w:p>
    <w:p>
      <w:pPr>
        <w:ind w:left="1200" w:hanging="623"/>
        <w:spacing w:after="0" w:line="261"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five percent of the outstanding shares of the Company's common stock.</w:t>
      </w:r>
    </w:p>
    <w:p>
      <w:pPr>
        <w:spacing w:after="0" w:line="130" w:lineRule="exact"/>
        <w:rPr>
          <w:rFonts w:ascii="Arial" w:cs="Arial" w:eastAsia="Arial" w:hAnsi="Arial"/>
          <w:sz w:val="18"/>
          <w:szCs w:val="18"/>
          <w:color w:val="auto"/>
        </w:rPr>
      </w:pPr>
    </w:p>
    <w:p>
      <w:pPr>
        <w:jc w:val="both"/>
        <w:ind w:left="1200" w:hanging="623"/>
        <w:spacing w:after="0" w:line="256"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Securities and Exchange Commission (the "SEC") on February 10, 2023. As set forth in the Schedule 13G/A, Dimensional Fund Advisors LP has sole voting power as to 2,402,791 of these shares and sole dispositive power as to all 2,472,089 shares.</w:t>
      </w:r>
    </w:p>
    <w:p>
      <w:pPr>
        <w:spacing w:after="0" w:line="134" w:lineRule="exact"/>
        <w:rPr>
          <w:rFonts w:ascii="Arial" w:cs="Arial" w:eastAsia="Arial" w:hAnsi="Arial"/>
          <w:sz w:val="18"/>
          <w:szCs w:val="18"/>
          <w:color w:val="auto"/>
        </w:rPr>
      </w:pPr>
    </w:p>
    <w:p>
      <w:pPr>
        <w:jc w:val="both"/>
        <w:ind w:left="1200" w:hanging="623"/>
        <w:spacing w:after="0" w:line="258" w:lineRule="auto"/>
        <w:tabs>
          <w:tab w:leader="none" w:pos="12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Data based on Amendment No. 3 (“Amendment No. 3”) to the Schedule 13D filed by Alta Fox Opportunities Fund, LP and its affiliates named therein with the SEC on June 9, 2023. As set forth in Amendment No. 3, the number of shares of common stock set forth in the table includes 246,653 shares currently issuable upon the conversion of the Convertible Note. Also as set forth in Amendment No. 3, Alta Fox Opportunities Fund, LP has sole voting power and sole dispositive power as to none of the shares set forth in the table. In addition, as set forth in Amendment No. 3, and based on other information provided by the shareholder, the following persons may be deemed to be beneficial owners of the shares of the Company’s common stock owned by the Investor, and the Investor shares voting and dispositive powers with such persons as to such shares: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00" w:right="180" w:hanging="622"/>
        <w:spacing w:after="0" w:line="249"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848,488 shares held by his spouse, Irene Kurtenbach, and 721,675 shares held in Medary Creek LLLP. Medary Creek LLLP is a limited liability limited partnership of which Aelred and Irene Kurtenbach are the general partners. The address for Aelred and Irene Kurtenbach and Medary Creek LLLP is 47209 220th Street, Brookings, SD 57006. Aelred J. Kurtenbach is a founder of the Company and its former Chairperson, President and Chief Executive Officer.</w:t>
      </w:r>
    </w:p>
    <w:p>
      <w:pPr>
        <w:spacing w:after="0" w:line="18"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7"/>
          <w:szCs w:val="17"/>
          <w:color w:val="auto"/>
        </w:rPr>
        <w:t>The common stock held by the 401(k) Plan and allocated to the 401(k) Plan participants are voted by the trustee of the 401(k) Plan</w:t>
      </w:r>
    </w:p>
    <w:p>
      <w:pPr>
        <w:spacing w:after="0" w:line="34" w:lineRule="exact"/>
        <w:rPr>
          <w:rFonts w:ascii="Arial" w:cs="Arial" w:eastAsia="Arial" w:hAnsi="Arial"/>
          <w:sz w:val="18"/>
          <w:szCs w:val="18"/>
          <w:color w:val="auto"/>
        </w:rPr>
      </w:pPr>
    </w:p>
    <w:p>
      <w:pPr>
        <w:ind w:left="1200" w:right="180" w:hanging="622"/>
        <w:spacing w:after="0" w:line="260"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according to the instructions of the 401(k) Plan participants. The address of the 401(k) Plan is 201 Daktronics Drive, Brookings, South Dakota 57006.</w:t>
      </w:r>
    </w:p>
    <w:p>
      <w:pPr>
        <w:spacing w:after="0" w:line="33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sets forth certain information as of April 29, 2023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5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5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for Future Issuance</w:t>
            </w:r>
          </w:p>
        </w:tc>
      </w:tr>
      <w:tr>
        <w:trPr>
          <w:trHeight w:val="216"/>
        </w:trPr>
        <w:tc>
          <w:tcPr>
            <w:tcW w:w="5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Under Equity</w:t>
            </w:r>
          </w:p>
        </w:tc>
      </w:tr>
      <w:tr>
        <w:trPr>
          <w:trHeight w:val="216"/>
        </w:trPr>
        <w:tc>
          <w:tcPr>
            <w:tcW w:w="5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to be Issued Upon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color w:val="auto"/>
                <w:w w:val="89"/>
              </w:rPr>
              <w:t>Weighted-Average</w:t>
            </w: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5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Exercise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color w:val="auto"/>
                <w:w w:val="90"/>
              </w:rPr>
              <w:t>Exercise Price of</w:t>
            </w: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16"/>
        </w:trPr>
        <w:tc>
          <w:tcPr>
            <w:tcW w:w="5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Outstanding Options,</w:t>
            </w:r>
          </w:p>
        </w:tc>
        <w:tc>
          <w:tcPr>
            <w:tcW w:w="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1"/>
              </w:rPr>
              <w:t>Outstanding Options,</w:t>
            </w: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Reflected in Column</w:t>
            </w:r>
          </w:p>
        </w:tc>
      </w:tr>
      <w:tr>
        <w:trPr>
          <w:trHeight w:val="251"/>
        </w:trPr>
        <w:tc>
          <w:tcPr>
            <w:tcW w:w="5580" w:type="dxa"/>
            <w:vAlign w:val="bottom"/>
          </w:tcPr>
          <w:p>
            <w:pPr>
              <w:ind w:left="20"/>
              <w:spacing w:after="0"/>
              <w:rPr>
                <w:sz w:val="20"/>
                <w:szCs w:val="20"/>
                <w:color w:val="auto"/>
              </w:rPr>
            </w:pPr>
            <w:r>
              <w:rPr>
                <w:rFonts w:ascii="Arial" w:cs="Arial" w:eastAsia="Arial" w:hAnsi="Arial"/>
                <w:sz w:val="18"/>
                <w:szCs w:val="18"/>
                <w:color w:val="auto"/>
              </w:rPr>
              <w:t>Plan category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Warrants and Rights</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Warrants and Rights</w:t>
            </w:r>
          </w:p>
        </w:tc>
        <w:tc>
          <w:tcPr>
            <w:tcW w:w="8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w:t>
            </w:r>
          </w:p>
        </w:tc>
      </w:tr>
      <w:tr>
        <w:trPr>
          <w:trHeight w:val="243"/>
        </w:trPr>
        <w:tc>
          <w:tcPr>
            <w:tcW w:w="55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color w:val="auto"/>
                <w:w w:val="99"/>
              </w:rPr>
              <w:t>(b)</w:t>
            </w:r>
          </w:p>
        </w:tc>
        <w:tc>
          <w:tcPr>
            <w:tcW w:w="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5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2007 Stock Incentive Plan</w:t>
            </w:r>
          </w:p>
        </w:tc>
        <w:tc>
          <w:tcPr>
            <w:tcW w:w="1720" w:type="dxa"/>
            <w:vAlign w:val="bottom"/>
          </w:tcPr>
          <w:p>
            <w:pPr>
              <w:jc w:val="right"/>
              <w:spacing w:after="0"/>
              <w:rPr>
                <w:sz w:val="20"/>
                <w:szCs w:val="20"/>
                <w:color w:val="auto"/>
              </w:rPr>
            </w:pPr>
            <w:r>
              <w:rPr>
                <w:rFonts w:ascii="Arial" w:cs="Arial" w:eastAsia="Arial" w:hAnsi="Arial"/>
                <w:sz w:val="18"/>
                <w:szCs w:val="18"/>
                <w:color w:val="auto"/>
              </w:rPr>
              <w:t>314,632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 Stock Incentive Plan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815,318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2020 Stock Incentive Plan</w:t>
            </w:r>
          </w:p>
        </w:tc>
        <w:tc>
          <w:tcPr>
            <w:tcW w:w="1720" w:type="dxa"/>
            <w:vAlign w:val="bottom"/>
          </w:tcPr>
          <w:p>
            <w:pPr>
              <w:jc w:val="right"/>
              <w:spacing w:after="0"/>
              <w:rPr>
                <w:sz w:val="20"/>
                <w:szCs w:val="20"/>
                <w:color w:val="auto"/>
              </w:rPr>
            </w:pPr>
            <w:r>
              <w:rPr>
                <w:rFonts w:ascii="Arial" w:cs="Arial" w:eastAsia="Arial" w:hAnsi="Arial"/>
                <w:sz w:val="18"/>
                <w:szCs w:val="18"/>
                <w:color w:val="auto"/>
              </w:rPr>
              <w:t>915,400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1,801,857</w:t>
            </w:r>
          </w:p>
        </w:tc>
      </w:tr>
      <w:tr>
        <w:trPr>
          <w:trHeight w:val="27"/>
        </w:trPr>
        <w:tc>
          <w:tcPr>
            <w:tcW w:w="5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1,574,555</w:t>
            </w:r>
          </w:p>
        </w:tc>
      </w:tr>
      <w:tr>
        <w:trPr>
          <w:trHeight w:val="264"/>
        </w:trPr>
        <w:tc>
          <w:tcPr>
            <w:tcW w:w="558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2,045,350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7.11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3,376,412</w:t>
            </w:r>
          </w:p>
        </w:tc>
      </w:tr>
      <w:tr>
        <w:trPr>
          <w:trHeight w:val="27"/>
        </w:trPr>
        <w:tc>
          <w:tcPr>
            <w:tcW w:w="5580" w:type="dxa"/>
            <w:vAlign w:val="bottom"/>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r>
    </w:tbl>
    <w:p>
      <w:pPr>
        <w:spacing w:after="0" w:line="337" w:lineRule="exact"/>
        <w:rPr>
          <w:sz w:val="20"/>
          <w:szCs w:val="20"/>
          <w:color w:val="auto"/>
        </w:rPr>
      </w:pPr>
    </w:p>
    <w:p>
      <w:pPr>
        <w:ind w:left="1000" w:hanging="422"/>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ESPP, shares are acquired at the time of investment by the participating employees at the applicable discount.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reported in Part II, Item 7 “Management’s Discussion and Analysis of Financial Condition and Results of Operations” in the section entitled “Liquidity and Capital Resources” of this Form 10-K, effective on May 11, 2023, the Company entered into the Securities Purchase Agreement with Alta Fox Opportunities Fund, LP (the “Investor”). Under the Securities Purchase Agreement, the Company sold and issued to the Investor the Convertible Note in exchange for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payment by the Investor to the Company of $25.0 million. As of May 11, 2023, and based on Amendment No. 3 to the Schedule 13D filed by the Investor and its affiliates named therein on May 15, 2023 with the SEC, the Investor and its affiliates beneficially owned 4,767,551 shares of common stock of the Company, representing 9.99 percent of the Company’s common stock, causing the Investor to be a “related party” of the Company under the Company’s written policy and procedures and the applicable definitions under the Securities Act of 1933. The Securities Purchase Agreement, the Convertible Note, the Pledge and Security Agreement dated as of May 11, 2023 by and between the Investor and the Company, and the Registration Rights Agreement were approved in advance of their execution by the Company’s Strategy and Financing Review Committee, the members of which include all members of the Company’s Audit Committee.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May 11, 2023 through June 30, 2023, the largest aggregate amount outstanding under the Convertible Note was $25.3 million, consisting of $25.0 million of principal and $0.3 million of interest; a total of $25.3 million was outstanding as of June 30, 2023; and, since May 11, 2023 through June 30, 2023; no payments of principal or interest had been made on the amounts due under the Convertible Note.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description of the Securities Purchase Agreement, the Convertible Note, the Pledge and Security Agreement dated as of May 11, 2023 by and between the Investor and the Company, the Registration Rights Agreement, and their respective terms set forth in Part II, Item 7 “Management’s Discussion and Analysis of Financial Condition and Results of Operations” in the section entitled “Liquidity and Capital Resources” is hereby incorporated by reference into this Item 13. In addition, the Company is a party to the Standstill and Voting Agreement dated as of March 19, 2023 with Alta Fox Management, LLC and Connor Haley (the “Standstill Agreement”). The Standstill Agreement is filed as Exhibit 10.13 to this Form 10-K.</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Amendment No. 3 (“Amendment No. 3”) to the Schedule 13D filed by the Investor and its affiliates named therein on June 9, 2023 with the SEC and based on other information provided by the Investor, the following persons may be deemed to be beneficial owners of the shares of the Company’s common stock owned by the Investor: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7, 2023, the Company received from the Investor written notice of a decrease in the “Percentage Cap” (as such term is defined in the Convertible Note) from 9.99 percent to 4.99 percent, which decrease became effective immediately upon the Company’s receipt of such written notice. The Percentage Cap generally represents the maximum percentage of shares of the Company’s common stock the Investor may own. Based on Amendment No. 3, the Investor and its affiliates identified in Amendment No. 3 owned 2,292,736 shares of common stock on June 9, 2023, representing 4.99% of the common stock of the Company, meaning the Investor and its affiliates are no longer “related parties” of the Company under the Company’s written policy and procedures and the applicable definitions under the Securities Act of 1933.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no other related party transactions since April 30, 2022 through June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Annually, the Board determines the independence of its members in accordance with the Nasdaq Listing Rules and any applicable provisions of or regulations under the Securities Exchange Act of 1934.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2023, the Audit Committee consisted of Kevin P. McDermott (Chairperson), John P. Friel, Shereta D. Williams, and Lance D. Bultena. The Board has determined that each Audit Committee member is independent as defined under Rule 5605(a)(2) of the Nasdaq Listing Rules and Rule 10A-3 under the Securities Exchange Act of 1934.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2023, the Compensation Committee consisted of John P. Friel (Chairperson), Dr. José-Marie Griffiths, Shereta D. Williams, and Howard I. Atkins (appointed December 6, 2022) . The Board has determined that all of the Compensation Committee members are independent directors as defined under Rule 5605(a)(2) of the Nasdaq Listing Rules.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2023, the Nominating and Corporate Governance Committee consisted of prior Director James B. Morgan (Chairperson until July 20, 2022), Dr. José-Marie Griffiths, Lance D. Bultena (appointed on September 2, 2021 and named Chairperson on July 20 2022), Kevin P. McDermott, and Andrew D. Siegel (appointed on September 7, 2022). The Board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has determined that all of the Nominating and Corporate Governance Committee members are independent directors, as defined under Rule 5605(a)(2) of the Nasdaq Listing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The Audit Committee of the Board has selected Deloitte &amp; Touche, LLP ("Deloitte") to serve as our independent registered public accounting firm (the "Independent Auditor") for the fiscal year ending April 27, 2024. Deloitte has been our Independent Auditor since fiscal 2018.</w:t>
      </w:r>
    </w:p>
    <w:p>
      <w:pPr>
        <w:spacing w:after="0" w:line="14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Audit Committee recognizes the importance of maintaining the independence of the Company's Independent Auditor, both in fact and appearance. Each year, the Audit Committee evaluates the qualifications, performance and independence of our Independent Auditor and determines whether to re-engage such firm. In doing so, the Audit Committee considers, among other things, the quality and efficiency of the services provided by the Independent Auditor, its capabilities and its technical expertise, its knowledge of our operations and industry, and relevant information concerning its independence.</w:t>
      </w:r>
    </w:p>
    <w:p>
      <w:pPr>
        <w:spacing w:after="0" w:line="18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While not required to do so, the Board will submit the selection of Deloitte for ratification at the 2023 annual meeting of shareholders to ascertain the views of our shareholders with respect to the choice of Deloitte as our Independent Auditor. If the shareholders do not approve the selection of Deloitte, the Audit Committee will reconsider its selection. A representative from Deloitte is expected to be present at the 2023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2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following table presents the aggregate fees billed for professional services rendered by Deloitte, including out-of-pocket expenses, for fiscal 2023 and 2022. 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 The Audit Committee considers the provision of services by Deloitte to us, over and above the audit fees, to be compatible with the ability of Deloitte to maintain its independence.</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4"/>
          </w:tcPr>
          <w:p>
            <w:pPr>
              <w:jc w:val="right"/>
              <w:ind w:right="810"/>
              <w:spacing w:after="0"/>
              <w:rPr>
                <w:sz w:val="20"/>
                <w:szCs w:val="20"/>
                <w:color w:val="auto"/>
              </w:rPr>
            </w:pPr>
            <w:r>
              <w:rPr>
                <w:rFonts w:ascii="Arial" w:cs="Arial" w:eastAsia="Arial" w:hAnsi="Arial"/>
                <w:sz w:val="18"/>
                <w:szCs w:val="18"/>
                <w:color w:val="auto"/>
              </w:rPr>
              <w:t>Fiscal Year Ended</w:t>
            </w:r>
          </w:p>
        </w:tc>
      </w:tr>
      <w:tr>
        <w:trPr>
          <w:trHeight w:val="27"/>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7"/>
              </w:rPr>
              <w:t>April 29, 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7"/>
              </w:rPr>
              <w:t>April 30, 2022</w:t>
            </w:r>
          </w:p>
        </w:tc>
      </w:tr>
      <w:tr>
        <w:trPr>
          <w:trHeight w:val="27"/>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968,018</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845,800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43,300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44,800</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 (3)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43,409</w:t>
            </w:r>
          </w:p>
        </w:tc>
      </w:tr>
      <w:tr>
        <w:trPr>
          <w:trHeight w:val="264"/>
        </w:trPr>
        <w:tc>
          <w:tcPr>
            <w:tcW w:w="7820" w:type="dxa"/>
            <w:vAlign w:val="bottom"/>
          </w:tcPr>
          <w:p>
            <w:pPr>
              <w:ind w:left="20"/>
              <w:spacing w:after="0"/>
              <w:rPr>
                <w:sz w:val="20"/>
                <w:szCs w:val="20"/>
                <w:color w:val="auto"/>
              </w:rPr>
            </w:pPr>
            <w:r>
              <w:rPr>
                <w:rFonts w:ascii="Arial" w:cs="Arial" w:eastAsia="Arial" w:hAnsi="Arial"/>
                <w:sz w:val="18"/>
                <w:szCs w:val="18"/>
                <w:color w:val="auto"/>
              </w:rPr>
              <w:t>All Other Fees (3)</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r>
      <w:tr>
        <w:trPr>
          <w:trHeight w:val="28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1,029,561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1200" w:right="180" w:hanging="622"/>
        <w:spacing w:after="0" w:line="311" w:lineRule="auto"/>
        <w:tabs>
          <w:tab w:leader="none" w:pos="1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08" w:lineRule="exact"/>
        <w:rPr>
          <w:rFonts w:ascii="Arial" w:cs="Arial" w:eastAsia="Arial" w:hAnsi="Arial"/>
          <w:sz w:val="16"/>
          <w:szCs w:val="16"/>
          <w:color w:val="auto"/>
        </w:rPr>
      </w:pPr>
    </w:p>
    <w:p>
      <w:pPr>
        <w:ind w:left="1200" w:right="180" w:hanging="622"/>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Deloitte that are reasonably related to the performance of the audit or review of our financial statements.</w:t>
      </w:r>
    </w:p>
    <w:p>
      <w:pPr>
        <w:spacing w:after="0" w:line="129" w:lineRule="exact"/>
        <w:rPr>
          <w:rFonts w:ascii="Arial" w:cs="Arial" w:eastAsia="Arial" w:hAnsi="Arial"/>
          <w:sz w:val="18"/>
          <w:szCs w:val="18"/>
          <w:color w:val="auto"/>
        </w:rPr>
      </w:pPr>
    </w:p>
    <w:p>
      <w:pPr>
        <w:ind w:left="1200" w:hanging="622"/>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Deloitte that does not meet the above category descriptions.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0000EE"/>
        </w:rPr>
        <w:t>Report of Independent Registered Public Accounting Firm - Deloitte &amp; Touche LLP</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0000EE"/>
        </w:rPr>
        <w:t>Consolidated Balance Sheets as of April 29, 2023 and April 30, 2022</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0000EE"/>
        </w:rPr>
        <w:t>Consolidated Statements of Operations for each of the three fiscal years ended April 20, 2023, April 30, 2022 and May 1, 2021</w:t>
      </w:r>
    </w:p>
    <w:p>
      <w:pPr>
        <w:spacing w:after="0" w:line="279"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u w:val="single" w:color="auto"/>
          <w:color w:val="0000EE"/>
        </w:rPr>
        <w:t>Consolidated Statements of Comprehensive Income (Loss) for each of the three fiscal years ended April 29, 2023, April 30, 2021 and May 1, 2021</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0000EE"/>
        </w:rPr>
        <w:t>Consolidated Statements of Shareholders’ Equity for each of the three fiscal years ended April 29, 2023, April 29, 2022 and May 1, 2021</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0000EE"/>
        </w:rPr>
        <w:t>Consolidated Statements of Cash Flows for each of the three fiscal years ended April 29, 2023, April 30, 2022 and May 1, 2021</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0000EE"/>
        </w:rPr>
        <w:t>Notes to the Consolidated Financial Statements</w:t>
      </w:r>
    </w:p>
    <w:p>
      <w:pPr>
        <w:spacing w:after="0" w:line="117" w:lineRule="exact"/>
        <w:rPr>
          <w:sz w:val="20"/>
          <w:szCs w:val="20"/>
          <w:color w:val="auto"/>
        </w:rPr>
      </w:pPr>
    </w:p>
    <w:p>
      <w:pPr>
        <w:ind w:left="720" w:hanging="694"/>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Schedules</w:t>
      </w:r>
    </w:p>
    <w:p>
      <w:pPr>
        <w:spacing w:after="0" w:line="333" w:lineRule="exact"/>
        <w:rPr>
          <w:rFonts w:ascii="Arial" w:cs="Arial" w:eastAsia="Arial" w:hAnsi="Arial"/>
          <w:sz w:val="18"/>
          <w:szCs w:val="18"/>
          <w:color w:val="auto"/>
        </w:rPr>
      </w:pPr>
    </w:p>
    <w:p>
      <w:pPr>
        <w:ind w:left="720"/>
        <w:spacing w:after="0" w:line="277" w:lineRule="auto"/>
        <w:rPr>
          <w:rFonts w:ascii="Arial" w:cs="Arial" w:eastAsia="Arial" w:hAnsi="Arial"/>
          <w:sz w:val="18"/>
          <w:szCs w:val="18"/>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62" w:lineRule="exact"/>
        <w:rPr>
          <w:rFonts w:ascii="Arial" w:cs="Arial" w:eastAsia="Arial" w:hAnsi="Arial"/>
          <w:sz w:val="18"/>
          <w:szCs w:val="18"/>
          <w:color w:val="auto"/>
        </w:rPr>
      </w:pPr>
    </w:p>
    <w:p>
      <w:pPr>
        <w:ind w:left="720" w:hanging="694"/>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jc w:val="both"/>
        <w:ind w:left="720"/>
        <w:spacing w:after="0" w:line="263"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filed and the date of filing are as indicated below; the reports described below are filed as Commission File No. 001-38747 unless otherwise indicated.</w:t>
      </w:r>
    </w:p>
    <w:p>
      <w:pPr>
        <w:spacing w:after="0" w:line="76" w:lineRule="exact"/>
        <w:rPr>
          <w:sz w:val="20"/>
          <w:szCs w:val="20"/>
          <w:color w:val="auto"/>
        </w:rPr>
      </w:pPr>
    </w:p>
    <w:p>
      <w:pPr>
        <w:ind w:left="720" w:right="140" w:hanging="697"/>
        <w:spacing w:after="0" w:line="273"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3.1</w:t>
      </w:r>
      <w:r>
        <w:rPr>
          <w:sz w:val="20"/>
          <w:szCs w:val="20"/>
          <w:color w:val="auto"/>
        </w:rPr>
        <w:tab/>
      </w:r>
      <w:hyperlink r:id="rId126">
        <w:r>
          <w:rPr>
            <w:rFonts w:ascii="Arial" w:cs="Arial" w:eastAsia="Arial" w:hAnsi="Arial"/>
            <w:sz w:val="18"/>
            <w:szCs w:val="18"/>
            <w:u w:val="single" w:color="auto"/>
            <w:color w:val="auto"/>
          </w:rPr>
          <w:t>Amended and Restated Articles of Incorporation of the Company (Incorporated by reference to Exhibit 3.1 of the Quarterly Report on Form 10-</w:t>
        </w:r>
      </w:hyperlink>
      <w:hyperlink r:id="rId126">
        <w:r>
          <w:rPr>
            <w:rFonts w:ascii="Arial" w:cs="Arial" w:eastAsia="Arial" w:hAnsi="Arial"/>
            <w:sz w:val="18"/>
            <w:szCs w:val="18"/>
            <w:u w:val="single" w:color="auto"/>
            <w:color w:val="auto"/>
          </w:rPr>
          <w:t>Q/A (Amendment No. 1) of Daktronics, Inc. filed on December 21, 2018).</w:t>
        </w:r>
      </w:hyperlink>
    </w:p>
    <w:p>
      <w:pPr>
        <w:spacing w:after="0" w:line="2" w:lineRule="exact"/>
        <w:rPr>
          <w:sz w:val="20"/>
          <w:szCs w:val="20"/>
          <w:color w:val="auto"/>
        </w:rPr>
      </w:pPr>
    </w:p>
    <w:p>
      <w:pPr>
        <w:ind w:left="720" w:right="300" w:hanging="697"/>
        <w:spacing w:after="0" w:line="261"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3.2</w:t>
      </w:r>
      <w:r>
        <w:rPr>
          <w:sz w:val="20"/>
          <w:szCs w:val="20"/>
          <w:color w:val="auto"/>
        </w:rPr>
        <w:tab/>
      </w:r>
      <w:hyperlink r:id="rId127">
        <w:r>
          <w:rPr>
            <w:rFonts w:ascii="Arial" w:cs="Arial" w:eastAsia="Arial" w:hAnsi="Arial"/>
            <w:sz w:val="18"/>
            <w:szCs w:val="18"/>
            <w:u w:val="single" w:color="auto"/>
            <w:color w:val="auto"/>
          </w:rPr>
          <w:t>Amended and Restated Bylaws of the Company (Incorporated by reference to Exhibit 3.1 filed with our Current Report on Form 8-K filed on</w:t>
        </w:r>
      </w:hyperlink>
      <w:r>
        <w:rPr>
          <w:rFonts w:ascii="Arial" w:cs="Arial" w:eastAsia="Arial" w:hAnsi="Arial"/>
          <w:sz w:val="18"/>
          <w:szCs w:val="18"/>
          <w:u w:val="single" w:color="auto"/>
          <w:color w:val="auto"/>
        </w:rPr>
        <w:t xml:space="preserve"> </w:t>
      </w:r>
      <w:hyperlink r:id="rId127">
        <w:r>
          <w:rPr>
            <w:rFonts w:ascii="Arial" w:cs="Arial" w:eastAsia="Arial" w:hAnsi="Arial"/>
            <w:sz w:val="18"/>
            <w:szCs w:val="18"/>
            <w:u w:val="single" w:color="auto"/>
            <w:color w:val="auto"/>
          </w:rPr>
          <w:t>January 30, 2023).</w:t>
        </w:r>
      </w:hyperlink>
    </w:p>
    <w:p>
      <w:pPr>
        <w:spacing w:after="0" w:line="22" w:lineRule="exact"/>
        <w:rPr>
          <w:sz w:val="20"/>
          <w:szCs w:val="20"/>
          <w:color w:val="auto"/>
        </w:rPr>
      </w:pPr>
    </w:p>
    <w:p>
      <w:pPr>
        <w:ind w:left="720" w:hanging="697"/>
        <w:spacing w:after="0" w:line="298" w:lineRule="auto"/>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Form of Stock Certificate Evidencing Common Stock, without par value, of the Company (Incorporated by reference to Exhibit 4.1 filed with our Amendment No. 1 to the Registration Statement on Form S-1 on January 12, 1994 as Commission File No. 33-72466).**</w:t>
      </w:r>
    </w:p>
    <w:p>
      <w:pPr>
        <w:spacing w:after="0" w:line="1" w:lineRule="exact"/>
        <w:rPr>
          <w:sz w:val="20"/>
          <w:szCs w:val="20"/>
          <w:color w:val="auto"/>
        </w:rPr>
      </w:pPr>
    </w:p>
    <w:p>
      <w:pPr>
        <w:ind w:left="720" w:right="180" w:hanging="697"/>
        <w:spacing w:after="0" w:line="299" w:lineRule="auto"/>
        <w:tabs>
          <w:tab w:leader="none" w:pos="700" w:val="left"/>
        </w:tabs>
        <w:rPr>
          <w:rFonts w:ascii="Arial" w:cs="Arial" w:eastAsia="Arial" w:hAnsi="Arial"/>
          <w:sz w:val="16"/>
          <w:szCs w:val="16"/>
          <w:u w:val="single" w:color="auto"/>
          <w:color w:val="auto"/>
        </w:rPr>
      </w:pPr>
      <w:r>
        <w:rPr>
          <w:rFonts w:ascii="Arial" w:cs="Arial" w:eastAsia="Arial" w:hAnsi="Arial"/>
          <w:sz w:val="18"/>
          <w:szCs w:val="18"/>
          <w:color w:val="auto"/>
        </w:rPr>
        <w:t>4.2</w:t>
      </w:r>
      <w:r>
        <w:rPr>
          <w:sz w:val="20"/>
          <w:szCs w:val="20"/>
          <w:color w:val="auto"/>
        </w:rPr>
        <w:tab/>
      </w:r>
      <w:hyperlink r:id="rId128">
        <w:r>
          <w:rPr>
            <w:rFonts w:ascii="Arial" w:cs="Arial" w:eastAsia="Arial" w:hAnsi="Arial"/>
            <w:sz w:val="16"/>
            <w:szCs w:val="16"/>
            <w:u w:val="single" w:color="auto"/>
            <w:color w:val="auto"/>
          </w:rPr>
          <w:t>Rights Agreement dated as November 16, 2018 between Daktronics, Inc. and Equiniti Trust Company, as Rights Agent (Incorporated by</w:t>
        </w:r>
      </w:hyperlink>
      <w:r>
        <w:rPr>
          <w:rFonts w:ascii="Arial" w:cs="Arial" w:eastAsia="Arial" w:hAnsi="Arial"/>
          <w:sz w:val="16"/>
          <w:szCs w:val="16"/>
          <w:u w:val="single" w:color="auto"/>
          <w:color w:val="auto"/>
        </w:rPr>
        <w:t xml:space="preserve"> </w:t>
      </w:r>
      <w:hyperlink r:id="rId128">
        <w:r>
          <w:rPr>
            <w:rFonts w:ascii="Arial" w:cs="Arial" w:eastAsia="Arial" w:hAnsi="Arial"/>
            <w:sz w:val="16"/>
            <w:szCs w:val="16"/>
            <w:u w:val="single" w:color="auto"/>
            <w:color w:val="auto"/>
          </w:rPr>
          <w:t>reference to Exhibit 4.1 of the Current Report on Form 8-K of Daktronics, Inc. filed on November 16, 2018, Commission File No. 000-23246).</w:t>
        </w:r>
      </w:hyperlink>
    </w:p>
    <w:p>
      <w:pPr>
        <w:spacing w:after="0" w:line="1" w:lineRule="exact"/>
        <w:rPr>
          <w:sz w:val="20"/>
          <w:szCs w:val="20"/>
          <w:color w:val="auto"/>
        </w:rPr>
      </w:pPr>
    </w:p>
    <w:p>
      <w:pPr>
        <w:ind w:left="720" w:hanging="697"/>
        <w:spacing w:after="0" w:line="298" w:lineRule="auto"/>
        <w:tabs>
          <w:tab w:leader="none" w:pos="700" w:val="left"/>
        </w:tabs>
        <w:rPr>
          <w:rFonts w:ascii="Arial" w:cs="Arial" w:eastAsia="Arial" w:hAnsi="Arial"/>
          <w:sz w:val="17"/>
          <w:szCs w:val="17"/>
          <w:u w:val="single" w:color="auto"/>
          <w:color w:val="auto"/>
        </w:rPr>
      </w:pPr>
      <w:r>
        <w:rPr>
          <w:rFonts w:ascii="Arial" w:cs="Arial" w:eastAsia="Arial" w:hAnsi="Arial"/>
          <w:sz w:val="18"/>
          <w:szCs w:val="18"/>
          <w:color w:val="auto"/>
        </w:rPr>
        <w:t>4.3</w:t>
      </w:r>
      <w:r>
        <w:rPr>
          <w:sz w:val="20"/>
          <w:szCs w:val="20"/>
          <w:color w:val="auto"/>
        </w:rPr>
        <w:tab/>
      </w:r>
      <w:hyperlink r:id="rId129">
        <w:r>
          <w:rPr>
            <w:rFonts w:ascii="Arial" w:cs="Arial" w:eastAsia="Arial" w:hAnsi="Arial"/>
            <w:sz w:val="17"/>
            <w:szCs w:val="17"/>
            <w:u w:val="single" w:color="auto"/>
            <w:color w:val="auto"/>
          </w:rPr>
          <w:t>First Amendment to Rights Agreement dated as of November 19, 2021 between Daktronics, Inc. and Equiniti Trust Company, as Rights Agent</w:t>
        </w:r>
      </w:hyperlink>
      <w:r>
        <w:rPr>
          <w:rFonts w:ascii="Arial" w:cs="Arial" w:eastAsia="Arial" w:hAnsi="Arial"/>
          <w:sz w:val="17"/>
          <w:szCs w:val="17"/>
          <w:u w:val="single" w:color="auto"/>
          <w:color w:val="auto"/>
        </w:rPr>
        <w:t xml:space="preserve"> </w:t>
      </w:r>
      <w:hyperlink r:id="rId129">
        <w:r>
          <w:rPr>
            <w:rFonts w:ascii="Arial" w:cs="Arial" w:eastAsia="Arial" w:hAnsi="Arial"/>
            <w:sz w:val="17"/>
            <w:szCs w:val="17"/>
            <w:u w:val="single" w:color="auto"/>
            <w:color w:val="auto"/>
          </w:rPr>
          <w:t>(Incorporated by reference to Exhibit 4.2 of the Current report on Form 8-K of Daktronics, Inc. filed on November 19, 2021).</w:t>
        </w:r>
      </w:hyperlink>
    </w:p>
    <w:p>
      <w:pPr>
        <w:spacing w:after="0" w:line="1" w:lineRule="exact"/>
        <w:rPr>
          <w:sz w:val="20"/>
          <w:szCs w:val="20"/>
          <w:color w:val="auto"/>
        </w:rPr>
      </w:pPr>
    </w:p>
    <w:p>
      <w:pPr>
        <w:ind w:left="20"/>
        <w:spacing w:after="0"/>
        <w:tabs>
          <w:tab w:leader="none" w:pos="700" w:val="left"/>
        </w:tabs>
        <w:rPr>
          <w:rFonts w:ascii="Arial" w:cs="Arial" w:eastAsia="Arial" w:hAnsi="Arial"/>
          <w:sz w:val="16"/>
          <w:szCs w:val="16"/>
          <w:u w:val="single" w:color="auto"/>
          <w:color w:val="auto"/>
        </w:rPr>
      </w:pPr>
      <w:r>
        <w:rPr>
          <w:rFonts w:ascii="Arial" w:cs="Arial" w:eastAsia="Arial" w:hAnsi="Arial"/>
          <w:sz w:val="18"/>
          <w:szCs w:val="18"/>
          <w:color w:val="auto"/>
        </w:rPr>
        <w:t>4.4</w:t>
      </w:r>
      <w:r>
        <w:rPr>
          <w:sz w:val="20"/>
          <w:szCs w:val="20"/>
          <w:color w:val="auto"/>
        </w:rPr>
        <w:tab/>
      </w:r>
      <w:hyperlink r:id="rId130">
        <w:r>
          <w:rPr>
            <w:rFonts w:ascii="Arial" w:cs="Arial" w:eastAsia="Arial" w:hAnsi="Arial"/>
            <w:sz w:val="16"/>
            <w:szCs w:val="16"/>
            <w:u w:val="single" w:color="auto"/>
            <w:color w:val="auto"/>
          </w:rPr>
          <w:t>Daktronics, Inc. 2007 Incentive Stock Plan (Incorporated by reference to Exhibit 10.1 filed with our Quarterly Report on Form 10-Q on August</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auto"/>
        </w:rPr>
      </w:pPr>
      <w:hyperlink r:id="rId130">
        <w:r>
          <w:rPr>
            <w:rFonts w:ascii="Arial" w:cs="Arial" w:eastAsia="Arial" w:hAnsi="Arial"/>
            <w:sz w:val="18"/>
            <w:szCs w:val="18"/>
            <w:u w:val="single" w:color="auto"/>
            <w:color w:val="auto"/>
          </w:rPr>
          <w:t>20, 2007, Commission File No. 000-23246).*</w:t>
        </w:r>
      </w:hyperlink>
    </w:p>
    <w:p>
      <w:pPr>
        <w:spacing w:after="0" w:line="35" w:lineRule="exact"/>
        <w:rPr>
          <w:sz w:val="20"/>
          <w:szCs w:val="20"/>
          <w:color w:val="auto"/>
        </w:rPr>
      </w:pPr>
    </w:p>
    <w:p>
      <w:pPr>
        <w:ind w:left="720" w:right="180" w:hanging="697"/>
        <w:spacing w:after="0" w:line="261"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4.5</w:t>
      </w:r>
      <w:r>
        <w:rPr>
          <w:sz w:val="20"/>
          <w:szCs w:val="20"/>
          <w:color w:val="auto"/>
        </w:rPr>
        <w:tab/>
      </w:r>
      <w:hyperlink r:id="rId131">
        <w:r>
          <w:rPr>
            <w:rFonts w:ascii="Arial" w:cs="Arial" w:eastAsia="Arial" w:hAnsi="Arial"/>
            <w:sz w:val="18"/>
            <w:szCs w:val="18"/>
            <w:u w:val="single" w:color="auto"/>
            <w:color w:val="auto"/>
          </w:rPr>
          <w:t>Daktronics, Inc. 2015 Incentive Stock Plan ("2015 Plan") (Incorporated by reference to Exhibit A to the Company's Definitive Proxy Statement</w:t>
        </w:r>
      </w:hyperlink>
      <w:r>
        <w:rPr>
          <w:rFonts w:ascii="Arial" w:cs="Arial" w:eastAsia="Arial" w:hAnsi="Arial"/>
          <w:sz w:val="18"/>
          <w:szCs w:val="18"/>
          <w:u w:val="single" w:color="auto"/>
          <w:color w:val="auto"/>
        </w:rPr>
        <w:t xml:space="preserve"> </w:t>
      </w:r>
      <w:hyperlink r:id="rId131">
        <w:r>
          <w:rPr>
            <w:rFonts w:ascii="Arial" w:cs="Arial" w:eastAsia="Arial" w:hAnsi="Arial"/>
            <w:sz w:val="18"/>
            <w:szCs w:val="18"/>
            <w:u w:val="single" w:color="auto"/>
            <w:color w:val="auto"/>
          </w:rPr>
          <w:t>on Schedule 14A filed on July 14, 2015, Commission File No. 000-23246).*</w:t>
        </w:r>
      </w:hyperlink>
    </w:p>
    <w:p>
      <w:pPr>
        <w:spacing w:after="0" w:line="22" w:lineRule="exact"/>
        <w:rPr>
          <w:sz w:val="20"/>
          <w:szCs w:val="20"/>
          <w:color w:val="auto"/>
        </w:rPr>
      </w:pPr>
    </w:p>
    <w:p>
      <w:pPr>
        <w:ind w:left="720" w:right="180" w:hanging="697"/>
        <w:spacing w:after="0" w:line="261"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4.6</w:t>
      </w:r>
      <w:r>
        <w:rPr>
          <w:sz w:val="20"/>
          <w:szCs w:val="20"/>
          <w:color w:val="auto"/>
        </w:rPr>
        <w:tab/>
      </w:r>
      <w:hyperlink r:id="rId132">
        <w:r>
          <w:rPr>
            <w:rFonts w:ascii="Arial" w:cs="Arial" w:eastAsia="Arial" w:hAnsi="Arial"/>
            <w:sz w:val="18"/>
            <w:szCs w:val="18"/>
            <w:u w:val="single" w:color="auto"/>
            <w:color w:val="auto"/>
          </w:rPr>
          <w:t>Daktronics, Inc. 2020 Incentive Stock Plan ("2020 Plan") (Incorporated by reference to Exhibit A to the Company's Definitive Proxy Statement</w:t>
        </w:r>
      </w:hyperlink>
      <w:r>
        <w:rPr>
          <w:rFonts w:ascii="Arial" w:cs="Arial" w:eastAsia="Arial" w:hAnsi="Arial"/>
          <w:sz w:val="18"/>
          <w:szCs w:val="18"/>
          <w:u w:val="single" w:color="auto"/>
          <w:color w:val="auto"/>
        </w:rPr>
        <w:t xml:space="preserve"> </w:t>
      </w:r>
      <w:hyperlink r:id="rId132">
        <w:r>
          <w:rPr>
            <w:rFonts w:ascii="Arial" w:cs="Arial" w:eastAsia="Arial" w:hAnsi="Arial"/>
            <w:sz w:val="18"/>
            <w:szCs w:val="18"/>
            <w:u w:val="single" w:color="auto"/>
            <w:color w:val="auto"/>
          </w:rPr>
          <w:t>on Schedule 14A filed on July 16, 2020).*</w:t>
        </w:r>
      </w:hyperlink>
    </w:p>
    <w:p>
      <w:pPr>
        <w:spacing w:after="0" w:line="9" w:lineRule="exact"/>
        <w:rPr>
          <w:sz w:val="20"/>
          <w:szCs w:val="20"/>
          <w:color w:val="auto"/>
        </w:rPr>
      </w:pPr>
    </w:p>
    <w:p>
      <w:pPr>
        <w:ind w:left="720" w:right="380" w:hanging="697"/>
        <w:spacing w:after="0" w:line="273"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4.7</w:t>
      </w:r>
      <w:r>
        <w:rPr>
          <w:sz w:val="20"/>
          <w:szCs w:val="20"/>
          <w:color w:val="auto"/>
        </w:rPr>
        <w:tab/>
      </w:r>
      <w:hyperlink r:id="rId133">
        <w:r>
          <w:rPr>
            <w:rFonts w:ascii="Arial" w:cs="Arial" w:eastAsia="Arial" w:hAnsi="Arial"/>
            <w:sz w:val="18"/>
            <w:szCs w:val="18"/>
            <w:u w:val="single" w:color="auto"/>
            <w:color w:val="auto"/>
          </w:rPr>
          <w:t>Form of Restricted Stock Award Agreement under the 2020 Plan (Incorporated by reference to Exhibit 10.2 filed with our Current Report on</w:t>
        </w:r>
      </w:hyperlink>
      <w:r>
        <w:rPr>
          <w:rFonts w:ascii="Arial" w:cs="Arial" w:eastAsia="Arial" w:hAnsi="Arial"/>
          <w:sz w:val="18"/>
          <w:szCs w:val="18"/>
          <w:u w:val="single" w:color="auto"/>
          <w:color w:val="auto"/>
        </w:rPr>
        <w:t xml:space="preserve"> </w:t>
      </w:r>
      <w:hyperlink r:id="rId133">
        <w:r>
          <w:rPr>
            <w:rFonts w:ascii="Arial" w:cs="Arial" w:eastAsia="Arial" w:hAnsi="Arial"/>
            <w:sz w:val="18"/>
            <w:szCs w:val="18"/>
            <w:u w:val="single" w:color="auto"/>
            <w:color w:val="auto"/>
          </w:rPr>
          <w:t>Form 8-K on September 3, 2020).*</w:t>
        </w:r>
      </w:hyperlink>
    </w:p>
    <w:p>
      <w:pPr>
        <w:spacing w:after="0" w:line="2" w:lineRule="exact"/>
        <w:rPr>
          <w:sz w:val="20"/>
          <w:szCs w:val="20"/>
          <w:color w:val="auto"/>
        </w:rPr>
      </w:pPr>
    </w:p>
    <w:p>
      <w:pPr>
        <w:ind w:left="720" w:right="40" w:hanging="697"/>
        <w:spacing w:after="0" w:line="261"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4.8</w:t>
      </w:r>
      <w:r>
        <w:rPr>
          <w:sz w:val="20"/>
          <w:szCs w:val="20"/>
          <w:color w:val="auto"/>
        </w:rPr>
        <w:tab/>
      </w:r>
      <w:hyperlink r:id="rId134">
        <w:r>
          <w:rPr>
            <w:rFonts w:ascii="Arial" w:cs="Arial" w:eastAsia="Arial" w:hAnsi="Arial"/>
            <w:sz w:val="18"/>
            <w:szCs w:val="18"/>
            <w:u w:val="single" w:color="auto"/>
            <w:color w:val="auto"/>
          </w:rPr>
          <w:t>Form of Non-Qualified Stock Option Agreement Terms and Conditions under the 2020 Plan (Incorporated by reference to Exhibit 10.3 filed with</w:t>
        </w:r>
      </w:hyperlink>
      <w:r>
        <w:rPr>
          <w:rFonts w:ascii="Arial" w:cs="Arial" w:eastAsia="Arial" w:hAnsi="Arial"/>
          <w:sz w:val="18"/>
          <w:szCs w:val="18"/>
          <w:u w:val="single" w:color="auto"/>
          <w:color w:val="auto"/>
        </w:rPr>
        <w:t xml:space="preserve"> </w:t>
      </w:r>
      <w:hyperlink r:id="rId134">
        <w:r>
          <w:rPr>
            <w:rFonts w:ascii="Arial" w:cs="Arial" w:eastAsia="Arial" w:hAnsi="Arial"/>
            <w:sz w:val="18"/>
            <w:szCs w:val="18"/>
            <w:u w:val="single" w:color="auto"/>
            <w:color w:val="auto"/>
          </w:rPr>
          <w:t>our Current Report on Form 8-K on September 3, 2020).*</w:t>
        </w:r>
      </w:hyperlink>
    </w:p>
    <w:p>
      <w:pPr>
        <w:spacing w:after="0" w:line="22" w:lineRule="exact"/>
        <w:rPr>
          <w:sz w:val="20"/>
          <w:szCs w:val="20"/>
          <w:color w:val="auto"/>
        </w:rPr>
      </w:pPr>
    </w:p>
    <w:p>
      <w:pPr>
        <w:ind w:left="720" w:right="380" w:hanging="697"/>
        <w:spacing w:after="0" w:line="261"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4.9</w:t>
      </w:r>
      <w:r>
        <w:rPr>
          <w:sz w:val="20"/>
          <w:szCs w:val="20"/>
          <w:color w:val="auto"/>
        </w:rPr>
        <w:tab/>
      </w:r>
      <w:hyperlink r:id="rId135">
        <w:r>
          <w:rPr>
            <w:rFonts w:ascii="Arial" w:cs="Arial" w:eastAsia="Arial" w:hAnsi="Arial"/>
            <w:sz w:val="18"/>
            <w:szCs w:val="18"/>
            <w:u w:val="single" w:color="auto"/>
            <w:color w:val="auto"/>
          </w:rPr>
          <w:t>Form of Incentive Stock Option Terms and Conditions under the 2020 Plan (Incorporated by reference to Exhibit 10.4 filed with our Current</w:t>
        </w:r>
      </w:hyperlink>
      <w:r>
        <w:rPr>
          <w:rFonts w:ascii="Arial" w:cs="Arial" w:eastAsia="Arial" w:hAnsi="Arial"/>
          <w:sz w:val="18"/>
          <w:szCs w:val="18"/>
          <w:u w:val="single" w:color="auto"/>
          <w:color w:val="auto"/>
        </w:rPr>
        <w:t xml:space="preserve"> </w:t>
      </w:r>
      <w:hyperlink r:id="rId135">
        <w:r>
          <w:rPr>
            <w:rFonts w:ascii="Arial" w:cs="Arial" w:eastAsia="Arial" w:hAnsi="Arial"/>
            <w:sz w:val="18"/>
            <w:szCs w:val="18"/>
            <w:u w:val="single" w:color="auto"/>
            <w:color w:val="auto"/>
          </w:rPr>
          <w:t>Report on Form 8-K on September 3, 2020).*</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500" w:hanging="700"/>
        <w:spacing w:after="0" w:line="261"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4.10</w:t>
      </w:r>
      <w:r>
        <w:rPr>
          <w:sz w:val="20"/>
          <w:szCs w:val="20"/>
          <w:color w:val="auto"/>
        </w:rPr>
        <w:tab/>
      </w:r>
      <w:hyperlink r:id="rId137">
        <w:r>
          <w:rPr>
            <w:rFonts w:ascii="Arial" w:cs="Arial" w:eastAsia="Arial" w:hAnsi="Arial"/>
            <w:sz w:val="18"/>
            <w:szCs w:val="18"/>
            <w:u w:val="single" w:color="auto"/>
            <w:color w:val="auto"/>
          </w:rPr>
          <w:t>Form of Restricted Stock Unit Terms and Conditions under the 2020 Plan (Incorporated by reference to Exhibit 10.5 filed with our Current</w:t>
        </w:r>
      </w:hyperlink>
      <w:r>
        <w:rPr>
          <w:rFonts w:ascii="Arial" w:cs="Arial" w:eastAsia="Arial" w:hAnsi="Arial"/>
          <w:sz w:val="18"/>
          <w:szCs w:val="18"/>
          <w:u w:val="single" w:color="auto"/>
          <w:color w:val="auto"/>
        </w:rPr>
        <w:t xml:space="preserve"> </w:t>
      </w:r>
      <w:hyperlink r:id="rId137">
        <w:r>
          <w:rPr>
            <w:rFonts w:ascii="Arial" w:cs="Arial" w:eastAsia="Arial" w:hAnsi="Arial"/>
            <w:sz w:val="18"/>
            <w:szCs w:val="18"/>
            <w:u w:val="single" w:color="auto"/>
            <w:color w:val="auto"/>
          </w:rPr>
          <w:t>Report on Form 8-K on September 3, 2020).*</w:t>
        </w:r>
      </w:hyperlink>
    </w:p>
    <w:p>
      <w:pPr>
        <w:spacing w:after="0" w:line="22"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Description of the Registrant’s Securities Registered Pursuant to Section 12 of the Securities Exchange Act of 1934. (1)</w:t>
      </w:r>
    </w:p>
    <w:p>
      <w:pPr>
        <w:spacing w:after="0" w:line="50" w:lineRule="exact"/>
        <w:rPr>
          <w:sz w:val="20"/>
          <w:szCs w:val="20"/>
          <w:color w:val="auto"/>
        </w:rPr>
      </w:pPr>
    </w:p>
    <w:p>
      <w:pPr>
        <w:ind w:left="720" w:right="320" w:hanging="700"/>
        <w:spacing w:after="0" w:line="290" w:lineRule="auto"/>
        <w:tabs>
          <w:tab w:leader="none" w:pos="700" w:val="left"/>
        </w:tabs>
        <w:rPr>
          <w:rFonts w:ascii="Arial" w:cs="Arial" w:eastAsia="Arial" w:hAnsi="Arial"/>
          <w:sz w:val="17"/>
          <w:szCs w:val="17"/>
          <w:u w:val="single" w:color="auto"/>
          <w:color w:val="auto"/>
        </w:rPr>
      </w:pPr>
      <w:r>
        <w:rPr>
          <w:rFonts w:ascii="Arial" w:cs="Arial" w:eastAsia="Arial" w:hAnsi="Arial"/>
          <w:sz w:val="18"/>
          <w:szCs w:val="18"/>
          <w:color w:val="auto"/>
        </w:rPr>
        <w:t>10.1</w:t>
      </w:r>
      <w:r>
        <w:rPr>
          <w:sz w:val="20"/>
          <w:szCs w:val="20"/>
          <w:color w:val="auto"/>
        </w:rPr>
        <w:tab/>
      </w:r>
      <w:hyperlink r:id="rId138">
        <w:r>
          <w:rPr>
            <w:rFonts w:ascii="Arial" w:cs="Arial" w:eastAsia="Arial" w:hAnsi="Arial"/>
            <w:sz w:val="17"/>
            <w:szCs w:val="17"/>
            <w:u w:val="single" w:color="auto"/>
            <w:color w:val="auto"/>
          </w:rPr>
          <w:t>Credit Agreement dated November 15, 2016 by and between the Company and U.S. Bank National Association (Incorporated by reference to</w:t>
        </w:r>
      </w:hyperlink>
      <w:r>
        <w:rPr>
          <w:rFonts w:ascii="Arial" w:cs="Arial" w:eastAsia="Arial" w:hAnsi="Arial"/>
          <w:sz w:val="17"/>
          <w:szCs w:val="17"/>
          <w:u w:val="single" w:color="auto"/>
          <w:color w:val="auto"/>
        </w:rPr>
        <w:t xml:space="preserve"> </w:t>
      </w:r>
      <w:hyperlink r:id="rId138">
        <w:r>
          <w:rPr>
            <w:rFonts w:ascii="Arial" w:cs="Arial" w:eastAsia="Arial" w:hAnsi="Arial"/>
            <w:sz w:val="17"/>
            <w:szCs w:val="17"/>
            <w:u w:val="single" w:color="auto"/>
            <w:color w:val="auto"/>
          </w:rPr>
          <w:t>Exhibit 10.1 filed with our Current Report on Form 8-K filed on November 16, 2016, Commission File No. 000-23246).</w:t>
        </w:r>
      </w:hyperlink>
    </w:p>
    <w:p>
      <w:pPr>
        <w:ind w:left="720" w:right="100" w:hanging="700"/>
        <w:spacing w:after="0" w:line="261"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10.2</w:t>
      </w:r>
      <w:r>
        <w:rPr>
          <w:sz w:val="20"/>
          <w:szCs w:val="20"/>
          <w:color w:val="auto"/>
        </w:rPr>
        <w:tab/>
      </w:r>
      <w:hyperlink r:id="rId139">
        <w:r>
          <w:rPr>
            <w:rFonts w:ascii="Arial" w:cs="Arial" w:eastAsia="Arial" w:hAnsi="Arial"/>
            <w:sz w:val="18"/>
            <w:szCs w:val="18"/>
            <w:u w:val="single" w:color="auto"/>
            <w:color w:val="auto"/>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auto"/>
        </w:rPr>
        <w:t xml:space="preserve"> </w:t>
      </w:r>
      <w:hyperlink r:id="rId139">
        <w:r>
          <w:rPr>
            <w:rFonts w:ascii="Arial" w:cs="Arial" w:eastAsia="Arial" w:hAnsi="Arial"/>
            <w:sz w:val="18"/>
            <w:szCs w:val="18"/>
            <w:u w:val="single" w:color="auto"/>
            <w:color w:val="auto"/>
          </w:rPr>
          <w:t>filed with our Current Report on Form 8-K filed on November 16, 2016, Commission File No. 000-23246).</w:t>
        </w:r>
      </w:hyperlink>
    </w:p>
    <w:p>
      <w:pPr>
        <w:spacing w:after="0" w:line="9" w:lineRule="exact"/>
        <w:rPr>
          <w:sz w:val="20"/>
          <w:szCs w:val="20"/>
          <w:color w:val="auto"/>
        </w:rPr>
      </w:pPr>
    </w:p>
    <w:p>
      <w:pPr>
        <w:ind w:left="720" w:right="400" w:hanging="700"/>
        <w:spacing w:after="0" w:line="290" w:lineRule="auto"/>
        <w:tabs>
          <w:tab w:leader="none" w:pos="700" w:val="left"/>
        </w:tabs>
        <w:rPr>
          <w:rFonts w:ascii="Arial" w:cs="Arial" w:eastAsia="Arial" w:hAnsi="Arial"/>
          <w:sz w:val="17"/>
          <w:szCs w:val="17"/>
          <w:u w:val="single" w:color="auto"/>
          <w:color w:val="auto"/>
        </w:rPr>
      </w:pPr>
      <w:r>
        <w:rPr>
          <w:rFonts w:ascii="Arial" w:cs="Arial" w:eastAsia="Arial" w:hAnsi="Arial"/>
          <w:sz w:val="18"/>
          <w:szCs w:val="18"/>
          <w:color w:val="auto"/>
        </w:rPr>
        <w:t>10.3</w:t>
      </w:r>
      <w:r>
        <w:rPr>
          <w:sz w:val="20"/>
          <w:szCs w:val="20"/>
          <w:color w:val="auto"/>
        </w:rPr>
        <w:tab/>
      </w:r>
      <w:hyperlink r:id="rId140">
        <w:r>
          <w:rPr>
            <w:rFonts w:ascii="Arial" w:cs="Arial" w:eastAsia="Arial" w:hAnsi="Arial"/>
            <w:sz w:val="17"/>
            <w:szCs w:val="17"/>
            <w:u w:val="single" w:color="auto"/>
            <w:color w:val="auto"/>
          </w:rPr>
          <w:t>Second Amendment to Credit Agreement dated as of November 15, 2019 by and between the Company and U.S. Bank National Association</w:t>
        </w:r>
      </w:hyperlink>
      <w:r>
        <w:rPr>
          <w:rFonts w:ascii="Arial" w:cs="Arial" w:eastAsia="Arial" w:hAnsi="Arial"/>
          <w:sz w:val="17"/>
          <w:szCs w:val="17"/>
          <w:u w:val="single" w:color="auto"/>
          <w:color w:val="auto"/>
        </w:rPr>
        <w:t xml:space="preserve"> </w:t>
      </w:r>
      <w:hyperlink r:id="rId140">
        <w:r>
          <w:rPr>
            <w:rFonts w:ascii="Arial" w:cs="Arial" w:eastAsia="Arial" w:hAnsi="Arial"/>
            <w:sz w:val="17"/>
            <w:szCs w:val="17"/>
            <w:u w:val="single" w:color="auto"/>
            <w:color w:val="auto"/>
          </w:rPr>
          <w:t>(Incorporated by reference to Exhibit 10.1 filed with our Current Report on Form 8-K filed on November 15, 2019).</w:t>
        </w:r>
      </w:hyperlink>
    </w:p>
    <w:p>
      <w:pPr>
        <w:ind w:left="720" w:right="780" w:hanging="700"/>
        <w:spacing w:after="0" w:line="290" w:lineRule="auto"/>
        <w:tabs>
          <w:tab w:leader="none" w:pos="700" w:val="left"/>
        </w:tabs>
        <w:rPr>
          <w:rFonts w:ascii="Arial" w:cs="Arial" w:eastAsia="Arial" w:hAnsi="Arial"/>
          <w:sz w:val="17"/>
          <w:szCs w:val="17"/>
          <w:u w:val="single" w:color="auto"/>
          <w:color w:val="auto"/>
        </w:rPr>
      </w:pPr>
      <w:r>
        <w:rPr>
          <w:rFonts w:ascii="Arial" w:cs="Arial" w:eastAsia="Arial" w:hAnsi="Arial"/>
          <w:sz w:val="18"/>
          <w:szCs w:val="18"/>
          <w:color w:val="auto"/>
        </w:rPr>
        <w:t>10.4</w:t>
      </w:r>
      <w:r>
        <w:rPr>
          <w:sz w:val="20"/>
          <w:szCs w:val="20"/>
          <w:color w:val="auto"/>
        </w:rPr>
        <w:tab/>
      </w:r>
      <w:hyperlink r:id="rId141">
        <w:r>
          <w:rPr>
            <w:rFonts w:ascii="Arial" w:cs="Arial" w:eastAsia="Arial" w:hAnsi="Arial"/>
            <w:sz w:val="17"/>
            <w:szCs w:val="17"/>
            <w:u w:val="single" w:color="auto"/>
            <w:color w:val="auto"/>
          </w:rPr>
          <w:t>Third Amendment to Credit Agreement dated as of August 28, 2020 by and between the Company and U.S. Bank National Association</w:t>
        </w:r>
      </w:hyperlink>
      <w:r>
        <w:rPr>
          <w:rFonts w:ascii="Arial" w:cs="Arial" w:eastAsia="Arial" w:hAnsi="Arial"/>
          <w:sz w:val="17"/>
          <w:szCs w:val="17"/>
          <w:u w:val="single" w:color="auto"/>
          <w:color w:val="auto"/>
        </w:rPr>
        <w:t xml:space="preserve"> </w:t>
      </w:r>
      <w:hyperlink r:id="rId141">
        <w:r>
          <w:rPr>
            <w:rFonts w:ascii="Arial" w:cs="Arial" w:eastAsia="Arial" w:hAnsi="Arial"/>
            <w:sz w:val="17"/>
            <w:szCs w:val="17"/>
            <w:u w:val="single" w:color="auto"/>
            <w:color w:val="auto"/>
          </w:rPr>
          <w:t>(Incorporated by reference to Exhibit 10.4 filed with our Quarterly Report on Form 10-Q on August 28, 2020).</w:t>
        </w:r>
      </w:hyperlink>
    </w:p>
    <w:p>
      <w:pPr>
        <w:ind w:left="720" w:right="740" w:hanging="700"/>
        <w:spacing w:after="0" w:line="281" w:lineRule="auto"/>
        <w:tabs>
          <w:tab w:leader="none" w:pos="700" w:val="left"/>
        </w:tabs>
        <w:rPr>
          <w:rFonts w:ascii="Arial" w:cs="Arial" w:eastAsia="Arial" w:hAnsi="Arial"/>
          <w:sz w:val="17"/>
          <w:szCs w:val="17"/>
          <w:u w:val="single" w:color="auto"/>
          <w:color w:val="auto"/>
        </w:rPr>
      </w:pPr>
      <w:r>
        <w:rPr>
          <w:rFonts w:ascii="Arial" w:cs="Arial" w:eastAsia="Arial" w:hAnsi="Arial"/>
          <w:sz w:val="18"/>
          <w:szCs w:val="18"/>
          <w:color w:val="auto"/>
        </w:rPr>
        <w:t>10.5</w:t>
      </w:r>
      <w:r>
        <w:rPr>
          <w:sz w:val="20"/>
          <w:szCs w:val="20"/>
          <w:color w:val="auto"/>
        </w:rPr>
        <w:tab/>
      </w:r>
      <w:hyperlink r:id="rId142">
        <w:r>
          <w:rPr>
            <w:rFonts w:ascii="Arial" w:cs="Arial" w:eastAsia="Arial" w:hAnsi="Arial"/>
            <w:sz w:val="17"/>
            <w:szCs w:val="17"/>
            <w:u w:val="single" w:color="auto"/>
            <w:color w:val="auto"/>
          </w:rPr>
          <w:t>Fourth Amendment to Credit Agreement dated as of March 11, 2021 by and between the Company and U.S. Bank National Association</w:t>
        </w:r>
      </w:hyperlink>
      <w:r>
        <w:rPr>
          <w:rFonts w:ascii="Arial" w:cs="Arial" w:eastAsia="Arial" w:hAnsi="Arial"/>
          <w:sz w:val="17"/>
          <w:szCs w:val="17"/>
          <w:u w:val="single" w:color="auto"/>
          <w:color w:val="auto"/>
        </w:rPr>
        <w:t xml:space="preserve"> </w:t>
      </w:r>
      <w:hyperlink r:id="rId142">
        <w:r>
          <w:rPr>
            <w:rFonts w:ascii="Arial" w:cs="Arial" w:eastAsia="Arial" w:hAnsi="Arial"/>
            <w:sz w:val="17"/>
            <w:szCs w:val="17"/>
            <w:u w:val="single" w:color="auto"/>
            <w:color w:val="auto"/>
          </w:rPr>
          <w:t>(Incorporated by reference to Exhibit 10.5 filed with our Annual Report on Form 10-K on June 11, 2021).</w:t>
        </w:r>
      </w:hyperlink>
    </w:p>
    <w:p>
      <w:pPr>
        <w:spacing w:after="0" w:line="1" w:lineRule="exact"/>
        <w:rPr>
          <w:sz w:val="20"/>
          <w:szCs w:val="20"/>
          <w:color w:val="auto"/>
        </w:rPr>
      </w:pPr>
    </w:p>
    <w:p>
      <w:pPr>
        <w:ind w:left="720" w:hanging="700"/>
        <w:spacing w:after="0" w:line="277"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10.6</w:t>
      </w:r>
      <w:r>
        <w:rPr>
          <w:sz w:val="20"/>
          <w:szCs w:val="20"/>
          <w:color w:val="auto"/>
        </w:rPr>
        <w:tab/>
      </w:r>
      <w:hyperlink r:id="rId143">
        <w:r>
          <w:rPr>
            <w:rFonts w:ascii="Arial" w:cs="Arial" w:eastAsia="Arial" w:hAnsi="Arial"/>
            <w:sz w:val="18"/>
            <w:szCs w:val="18"/>
            <w:u w:val="single" w:color="auto"/>
            <w:color w:val="auto"/>
          </w:rPr>
          <w:t>Fifth Amendment to Credit Agreement dated as of April 29, 2022 by and between the Company and U.S. Bank National Association</w:t>
        </w:r>
      </w:hyperlink>
      <w:r>
        <w:rPr>
          <w:rFonts w:ascii="Arial" w:cs="Arial" w:eastAsia="Arial" w:hAnsi="Arial"/>
          <w:sz w:val="18"/>
          <w:szCs w:val="18"/>
          <w:u w:val="single" w:color="auto"/>
          <w:color w:val="auto"/>
        </w:rPr>
        <w:t xml:space="preserve"> </w:t>
      </w:r>
      <w:hyperlink r:id="rId143">
        <w:r>
          <w:rPr>
            <w:rFonts w:ascii="Arial" w:cs="Arial" w:eastAsia="Arial" w:hAnsi="Arial"/>
            <w:sz w:val="18"/>
            <w:szCs w:val="18"/>
            <w:u w:val="single" w:color="auto"/>
            <w:color w:val="auto"/>
          </w:rPr>
          <w:t>(Incorporated by reference to Exhibit 10.1 filed with our Current Report on Form 8-K on April 29, 2022).</w:t>
        </w:r>
      </w:hyperlink>
    </w:p>
    <w:p>
      <w:pPr>
        <w:spacing w:after="0" w:line="8" w:lineRule="exact"/>
        <w:rPr>
          <w:sz w:val="20"/>
          <w:szCs w:val="20"/>
          <w:color w:val="auto"/>
        </w:rPr>
      </w:pPr>
    </w:p>
    <w:p>
      <w:pPr>
        <w:ind w:left="720" w:hanging="700"/>
        <w:spacing w:after="0" w:line="277"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10.7</w:t>
      </w:r>
      <w:r>
        <w:rPr>
          <w:sz w:val="20"/>
          <w:szCs w:val="20"/>
          <w:color w:val="auto"/>
        </w:rPr>
        <w:tab/>
      </w:r>
      <w:hyperlink r:id="rId144">
        <w:r>
          <w:rPr>
            <w:rFonts w:ascii="Arial" w:cs="Arial" w:eastAsia="Arial" w:hAnsi="Arial"/>
            <w:sz w:val="18"/>
            <w:szCs w:val="18"/>
            <w:u w:val="single" w:color="auto"/>
            <w:color w:val="auto"/>
          </w:rPr>
          <w:t>Amendment to Credit Agreement and Revolving Note dated as of August 16, 2022 by and between the Company and U.S. Bank National</w:t>
        </w:r>
      </w:hyperlink>
      <w:r>
        <w:rPr>
          <w:rFonts w:ascii="Arial" w:cs="Arial" w:eastAsia="Arial" w:hAnsi="Arial"/>
          <w:sz w:val="18"/>
          <w:szCs w:val="18"/>
          <w:u w:val="single" w:color="auto"/>
          <w:color w:val="auto"/>
        </w:rPr>
        <w:t xml:space="preserve"> </w:t>
      </w:r>
      <w:hyperlink r:id="rId144">
        <w:r>
          <w:rPr>
            <w:rFonts w:ascii="Arial" w:cs="Arial" w:eastAsia="Arial" w:hAnsi="Arial"/>
            <w:sz w:val="18"/>
            <w:szCs w:val="18"/>
            <w:u w:val="single" w:color="auto"/>
            <w:color w:val="auto"/>
          </w:rPr>
          <w:t>Association (Incorporated by reference to Exhibit 10.1 files with our Current Report on Form 8-K filed on August 18, 2022).</w:t>
        </w:r>
      </w:hyperlink>
    </w:p>
    <w:p>
      <w:pPr>
        <w:spacing w:after="0" w:line="8" w:lineRule="exact"/>
        <w:rPr>
          <w:sz w:val="20"/>
          <w:szCs w:val="20"/>
          <w:color w:val="auto"/>
        </w:rPr>
      </w:pPr>
    </w:p>
    <w:p>
      <w:pPr>
        <w:ind w:left="720" w:hanging="700"/>
        <w:spacing w:after="0" w:line="298" w:lineRule="auto"/>
        <w:tabs>
          <w:tab w:leader="none" w:pos="700" w:val="left"/>
        </w:tabs>
        <w:rPr>
          <w:rFonts w:ascii="Arial" w:cs="Arial" w:eastAsia="Arial" w:hAnsi="Arial"/>
          <w:sz w:val="17"/>
          <w:szCs w:val="17"/>
          <w:u w:val="single" w:color="auto"/>
          <w:color w:val="auto"/>
        </w:rPr>
      </w:pPr>
      <w:r>
        <w:rPr>
          <w:rFonts w:ascii="Arial" w:cs="Arial" w:eastAsia="Arial" w:hAnsi="Arial"/>
          <w:sz w:val="18"/>
          <w:szCs w:val="18"/>
          <w:color w:val="auto"/>
        </w:rPr>
        <w:t>10.8</w:t>
      </w:r>
      <w:r>
        <w:rPr>
          <w:sz w:val="20"/>
          <w:szCs w:val="20"/>
          <w:color w:val="auto"/>
        </w:rPr>
        <w:tab/>
      </w:r>
      <w:hyperlink r:id="rId145">
        <w:r>
          <w:rPr>
            <w:rFonts w:ascii="Arial" w:cs="Arial" w:eastAsia="Arial" w:hAnsi="Arial"/>
            <w:sz w:val="17"/>
            <w:szCs w:val="17"/>
            <w:u w:val="single" w:color="auto"/>
            <w:color w:val="auto"/>
          </w:rPr>
          <w:t>Amendment to Credit Agreement and Revolving Note dated as of October 31, 2022 by and between the Company and U.S. Bank National</w:t>
        </w:r>
      </w:hyperlink>
      <w:r>
        <w:rPr>
          <w:rFonts w:ascii="Arial" w:cs="Arial" w:eastAsia="Arial" w:hAnsi="Arial"/>
          <w:sz w:val="17"/>
          <w:szCs w:val="17"/>
          <w:u w:val="single" w:color="auto"/>
          <w:color w:val="auto"/>
        </w:rPr>
        <w:t xml:space="preserve"> </w:t>
      </w:r>
      <w:hyperlink r:id="rId145">
        <w:r>
          <w:rPr>
            <w:rFonts w:ascii="Arial" w:cs="Arial" w:eastAsia="Arial" w:hAnsi="Arial"/>
            <w:sz w:val="17"/>
            <w:szCs w:val="17"/>
            <w:u w:val="single" w:color="auto"/>
            <w:color w:val="auto"/>
          </w:rPr>
          <w:t>Association (Incorporated by reference to Exhibit 10.1 filed with our Current Report on Form 8-K filed on November 1, 2022).</w:t>
        </w:r>
      </w:hyperlink>
    </w:p>
    <w:p>
      <w:pPr>
        <w:spacing w:after="0" w:line="1" w:lineRule="exact"/>
        <w:rPr>
          <w:sz w:val="20"/>
          <w:szCs w:val="20"/>
          <w:color w:val="auto"/>
        </w:rPr>
      </w:pPr>
    </w:p>
    <w:p>
      <w:pPr>
        <w:ind w:left="720" w:hanging="700"/>
        <w:spacing w:after="0" w:line="277"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10.9</w:t>
      </w:r>
      <w:r>
        <w:rPr>
          <w:sz w:val="20"/>
          <w:szCs w:val="20"/>
          <w:color w:val="auto"/>
        </w:rPr>
        <w:tab/>
      </w:r>
      <w:hyperlink r:id="rId146">
        <w:r>
          <w:rPr>
            <w:rFonts w:ascii="Arial" w:cs="Arial" w:eastAsia="Arial" w:hAnsi="Arial"/>
            <w:sz w:val="18"/>
            <w:szCs w:val="18"/>
            <w:u w:val="single" w:color="auto"/>
            <w:color w:val="auto"/>
          </w:rPr>
          <w:t>Sixth Amendment to Credit Agreement dated as of December 9, 2022 by and between the Company and U.S. Bank National Association</w:t>
        </w:r>
      </w:hyperlink>
      <w:r>
        <w:rPr>
          <w:rFonts w:ascii="Arial" w:cs="Arial" w:eastAsia="Arial" w:hAnsi="Arial"/>
          <w:sz w:val="18"/>
          <w:szCs w:val="18"/>
          <w:u w:val="single" w:color="auto"/>
          <w:color w:val="auto"/>
        </w:rPr>
        <w:t xml:space="preserve"> </w:t>
      </w:r>
      <w:hyperlink r:id="rId146">
        <w:r>
          <w:rPr>
            <w:rFonts w:ascii="Arial" w:cs="Arial" w:eastAsia="Arial" w:hAnsi="Arial"/>
            <w:sz w:val="18"/>
            <w:szCs w:val="18"/>
            <w:u w:val="single" w:color="auto"/>
            <w:color w:val="auto"/>
          </w:rPr>
          <w:t>(Incorporated by reference to Exhibit 10.1 filed with our Current Report on Form 8-K filed on December 13, 2022).</w:t>
        </w:r>
      </w:hyperlink>
    </w:p>
    <w:p>
      <w:pPr>
        <w:spacing w:after="0" w:line="8" w:lineRule="exact"/>
        <w:rPr>
          <w:sz w:val="20"/>
          <w:szCs w:val="20"/>
          <w:color w:val="auto"/>
        </w:rPr>
      </w:pPr>
    </w:p>
    <w:p>
      <w:pPr>
        <w:ind w:left="720" w:hanging="700"/>
        <w:spacing w:after="0" w:line="277"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10.10</w:t>
      </w:r>
      <w:r>
        <w:rPr>
          <w:sz w:val="20"/>
          <w:szCs w:val="20"/>
          <w:color w:val="auto"/>
        </w:rPr>
        <w:tab/>
      </w:r>
      <w:hyperlink r:id="rId147">
        <w:r>
          <w:rPr>
            <w:rFonts w:ascii="Arial" w:cs="Arial" w:eastAsia="Arial" w:hAnsi="Arial"/>
            <w:sz w:val="18"/>
            <w:szCs w:val="18"/>
            <w:u w:val="single" w:color="auto"/>
            <w:color w:val="auto"/>
          </w:rPr>
          <w:t>Seventh Amendment to Credit Agreement dated as of January 23, 2023 by and between the Company and U.S. Bank National Association</w:t>
        </w:r>
      </w:hyperlink>
      <w:r>
        <w:rPr>
          <w:rFonts w:ascii="Arial" w:cs="Arial" w:eastAsia="Arial" w:hAnsi="Arial"/>
          <w:sz w:val="18"/>
          <w:szCs w:val="18"/>
          <w:u w:val="single" w:color="auto"/>
          <w:color w:val="auto"/>
        </w:rPr>
        <w:t xml:space="preserve"> </w:t>
      </w:r>
      <w:hyperlink r:id="rId147">
        <w:r>
          <w:rPr>
            <w:rFonts w:ascii="Arial" w:cs="Arial" w:eastAsia="Arial" w:hAnsi="Arial"/>
            <w:sz w:val="18"/>
            <w:szCs w:val="18"/>
            <w:u w:val="single" w:color="auto"/>
            <w:color w:val="auto"/>
          </w:rPr>
          <w:t>(Incorporated by reference to Exhibit 10.1 filed with our Current Report on Form 8-K filed on January 25, 2023).</w:t>
        </w:r>
      </w:hyperlink>
    </w:p>
    <w:p>
      <w:pPr>
        <w:spacing w:after="0" w:line="8" w:lineRule="exact"/>
        <w:rPr>
          <w:sz w:val="20"/>
          <w:szCs w:val="20"/>
          <w:color w:val="auto"/>
        </w:rPr>
      </w:pPr>
    </w:p>
    <w:p>
      <w:pPr>
        <w:ind w:left="720" w:hanging="700"/>
        <w:spacing w:after="0" w:line="277" w:lineRule="auto"/>
        <w:tabs>
          <w:tab w:leader="none" w:pos="700" w:val="left"/>
        </w:tabs>
        <w:rPr>
          <w:rFonts w:ascii="Arial" w:cs="Arial" w:eastAsia="Arial" w:hAnsi="Arial"/>
          <w:sz w:val="18"/>
          <w:szCs w:val="18"/>
          <w:u w:val="single" w:color="auto"/>
          <w:color w:val="auto"/>
        </w:rPr>
      </w:pPr>
      <w:r>
        <w:rPr>
          <w:rFonts w:ascii="Arial" w:cs="Arial" w:eastAsia="Arial" w:hAnsi="Arial"/>
          <w:sz w:val="18"/>
          <w:szCs w:val="18"/>
          <w:color w:val="auto"/>
        </w:rPr>
        <w:t>10.11</w:t>
      </w:r>
      <w:r>
        <w:rPr>
          <w:sz w:val="20"/>
          <w:szCs w:val="20"/>
          <w:color w:val="auto"/>
        </w:rPr>
        <w:tab/>
      </w:r>
      <w:hyperlink r:id="rId148">
        <w:r>
          <w:rPr>
            <w:rFonts w:ascii="Arial" w:cs="Arial" w:eastAsia="Arial" w:hAnsi="Arial"/>
            <w:sz w:val="18"/>
            <w:szCs w:val="18"/>
            <w:u w:val="single" w:color="auto"/>
            <w:color w:val="auto"/>
          </w:rPr>
          <w:t>Security Agreement dated as of August 28, 2020 by and between the Company and U.S. Bank National Association (Incorporated by reference to</w:t>
        </w:r>
      </w:hyperlink>
      <w:r>
        <w:rPr>
          <w:rFonts w:ascii="Arial" w:cs="Arial" w:eastAsia="Arial" w:hAnsi="Arial"/>
          <w:sz w:val="18"/>
          <w:szCs w:val="18"/>
          <w:u w:val="single" w:color="auto"/>
          <w:color w:val="auto"/>
        </w:rPr>
        <w:t xml:space="preserve"> </w:t>
      </w:r>
      <w:hyperlink r:id="rId148">
        <w:r>
          <w:rPr>
            <w:rFonts w:ascii="Arial" w:cs="Arial" w:eastAsia="Arial" w:hAnsi="Arial"/>
            <w:sz w:val="18"/>
            <w:szCs w:val="18"/>
            <w:u w:val="single" w:color="auto"/>
            <w:color w:val="auto"/>
          </w:rPr>
          <w:t>Exhibit 10.5 filed with our Current Report on Form 10-Q of Daktronics, Inc. filed on August 28, 2020).</w:t>
        </w:r>
      </w:hyperlink>
    </w:p>
    <w:p>
      <w:pPr>
        <w:spacing w:after="0" w:line="8" w:lineRule="exact"/>
        <w:rPr>
          <w:sz w:val="20"/>
          <w:szCs w:val="20"/>
          <w:color w:val="auto"/>
        </w:rPr>
      </w:pPr>
    </w:p>
    <w:p>
      <w:pPr>
        <w:ind w:left="2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49">
        <w:r>
          <w:rPr>
            <w:rFonts w:ascii="Arial" w:cs="Arial" w:eastAsia="Arial" w:hAnsi="Arial"/>
            <w:sz w:val="16"/>
            <w:szCs w:val="16"/>
            <w:u w:val="single" w:color="auto"/>
            <w:color w:val="0000FF"/>
          </w:rPr>
          <w:t>Cooperation Agreement dated July 23, 2022 by and between the Company and Prairieland Holdco, LLC (Incorporated by reference to Exhibit</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10.1 filed with our Current Report on Form 8-K on July 27, 2022).</w:t>
        </w:r>
      </w:hyperlink>
    </w:p>
    <w:p>
      <w:pPr>
        <w:spacing w:after="0" w:line="35" w:lineRule="exact"/>
        <w:rPr>
          <w:sz w:val="20"/>
          <w:szCs w:val="20"/>
          <w:color w:val="auto"/>
        </w:rPr>
      </w:pPr>
    </w:p>
    <w:p>
      <w:pPr>
        <w:jc w:val="center"/>
        <w:ind w:right="360"/>
        <w:spacing w:after="0" w:line="29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10.13   </w:t>
      </w:r>
      <w:hyperlink r:id="rId150">
        <w:r>
          <w:rPr>
            <w:rFonts w:ascii="Arial" w:cs="Arial" w:eastAsia="Arial" w:hAnsi="Arial"/>
            <w:sz w:val="17"/>
            <w:szCs w:val="17"/>
            <w:u w:val="single" w:color="auto"/>
            <w:color w:val="0000FF"/>
          </w:rPr>
          <w:t>Standstill and Voting Agreement dated as of March 19, 2023 by and among Daktronics, Inc., Alta Fox Management, LLC and Connor Haley</w:t>
        </w:r>
      </w:hyperlink>
      <w:r>
        <w:rPr>
          <w:rFonts w:ascii="Arial" w:cs="Arial" w:eastAsia="Arial" w:hAnsi="Arial"/>
          <w:sz w:val="17"/>
          <w:szCs w:val="17"/>
          <w:color w:val="auto"/>
        </w:rPr>
        <w:t xml:space="preserve"> </w:t>
      </w:r>
      <w:hyperlink r:id="rId150">
        <w:r>
          <w:rPr>
            <w:rFonts w:ascii="Arial" w:cs="Arial" w:eastAsia="Arial" w:hAnsi="Arial"/>
            <w:sz w:val="17"/>
            <w:szCs w:val="17"/>
            <w:u w:val="single" w:color="auto"/>
            <w:color w:val="0000FF"/>
          </w:rPr>
          <w:t>(Incorporated by reference to Exhibit 10.1 filed with the Current Report on Form 8-K of Daktronics, Inc. filed on March 20, 2023).</w:t>
        </w:r>
      </w:hyperlink>
    </w:p>
    <w:p>
      <w:pPr>
        <w:ind w:left="720" w:right="140" w:hanging="700"/>
        <w:spacing w:after="0" w:line="270" w:lineRule="auto"/>
        <w:tabs>
          <w:tab w:leader="none" w:pos="700" w:val="left"/>
        </w:tabs>
        <w:rPr>
          <w:rFonts w:ascii="Arial" w:cs="Arial" w:eastAsia="Arial" w:hAnsi="Arial"/>
          <w:sz w:val="17"/>
          <w:szCs w:val="17"/>
          <w:u w:val="single" w:color="auto"/>
          <w:color w:val="0000FF"/>
        </w:rPr>
      </w:pPr>
      <w:r>
        <w:rPr>
          <w:rFonts w:ascii="Arial" w:cs="Arial" w:eastAsia="Arial" w:hAnsi="Arial"/>
          <w:sz w:val="18"/>
          <w:szCs w:val="18"/>
          <w:color w:val="auto"/>
        </w:rPr>
        <w:t>10.14</w:t>
      </w:r>
      <w:r>
        <w:rPr>
          <w:sz w:val="20"/>
          <w:szCs w:val="20"/>
          <w:color w:val="auto"/>
        </w:rPr>
        <w:tab/>
      </w:r>
      <w:hyperlink r:id="rId151">
        <w:r>
          <w:rPr>
            <w:rFonts w:ascii="Arial" w:cs="Arial" w:eastAsia="Arial" w:hAnsi="Arial"/>
            <w:sz w:val="17"/>
            <w:szCs w:val="17"/>
            <w:u w:val="single" w:color="auto"/>
            <w:color w:val="0000FF"/>
          </w:rPr>
          <w:t>Credit Agreement dated as of May 11, 2023 by and among Daktronics, Inc. and the other Borrowers; the other Loan Parties to the Credit</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Agreement; the Lenders party to the Credit Agreement; and JPMorgan Chase Bank, N.A., in its capacity as administrative agent for the Lenders</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(Incorporated by reference to Exhibit 10.1 filed with the Current Report on Form 8-K of Daktronics, Inc. filed on May 12, 2023).**</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461645</wp:posOffset>
            </wp:positionH>
            <wp:positionV relativeFrom="paragraph">
              <wp:posOffset>-40640</wp:posOffset>
            </wp:positionV>
            <wp:extent cx="381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jc w:val="right"/>
        <w:ind w:left="20" w:right="320"/>
        <w:spacing w:after="0" w:line="28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10.15   </w:t>
      </w:r>
      <w:hyperlink r:id="rId153">
        <w:r>
          <w:rPr>
            <w:rFonts w:ascii="Arial" w:cs="Arial" w:eastAsia="Arial" w:hAnsi="Arial"/>
            <w:sz w:val="17"/>
            <w:szCs w:val="17"/>
            <w:u w:val="single" w:color="auto"/>
            <w:color w:val="0000FF"/>
          </w:rPr>
          <w:t>Pledge and Security Agreement dated as of May 11, 2023 by and among Daktronics, Inc., Daktronics Installation, Inc., and JPMorgan Chase</w:t>
        </w:r>
      </w:hyperlink>
      <w:r>
        <w:rPr>
          <w:rFonts w:ascii="Arial" w:cs="Arial" w:eastAsia="Arial" w:hAnsi="Arial"/>
          <w:sz w:val="17"/>
          <w:szCs w:val="17"/>
          <w:color w:val="auto"/>
        </w:rPr>
        <w:t xml:space="preserve"> </w:t>
      </w:r>
      <w:hyperlink r:id="rId153">
        <w:r>
          <w:rPr>
            <w:rFonts w:ascii="Arial" w:cs="Arial" w:eastAsia="Arial" w:hAnsi="Arial"/>
            <w:sz w:val="17"/>
            <w:szCs w:val="17"/>
            <w:u w:val="single" w:color="auto"/>
            <w:color w:val="0000FF"/>
          </w:rPr>
          <w:t>Bank, N.A. (Incorporated by reference to Exhibit 10.2 filed with the Current Report on Form 8-K of Daktronics, Inc. filed on May 12, 2023).</w:t>
        </w:r>
      </w:hyperlink>
    </w:p>
    <w:p>
      <w:pPr>
        <w:spacing w:after="0" w:line="1" w:lineRule="exact"/>
        <w:rPr>
          <w:sz w:val="20"/>
          <w:szCs w:val="20"/>
          <w:color w:val="auto"/>
        </w:rPr>
      </w:pPr>
    </w:p>
    <w:p>
      <w:pPr>
        <w:ind w:left="720" w:right="40" w:hanging="700"/>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54">
        <w:r>
          <w:rPr>
            <w:rFonts w:ascii="Arial" w:cs="Arial" w:eastAsia="Arial" w:hAnsi="Arial"/>
            <w:sz w:val="18"/>
            <w:szCs w:val="18"/>
            <w:u w:val="single" w:color="auto"/>
            <w:color w:val="0000FF"/>
          </w:rPr>
          <w:t>Securities Purchase Agreement dated as of May 11, 2023 by and between Daktronics, Inc. and Alta Fox Opportunities Fund, LP (Incorporated by</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reference to Exhibit 10.3 filed with the Current Report on Form 8-K of Daktronics, Inc. filed on May 12, 2023).**</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480" w:hanging="700"/>
        <w:spacing w:after="0" w:line="290" w:lineRule="auto"/>
        <w:tabs>
          <w:tab w:leader="none" w:pos="700" w:val="left"/>
        </w:tabs>
        <w:rPr>
          <w:rFonts w:ascii="Arial" w:cs="Arial" w:eastAsia="Arial" w:hAnsi="Arial"/>
          <w:sz w:val="17"/>
          <w:szCs w:val="17"/>
          <w:u w:val="single" w:color="auto"/>
          <w:color w:val="0000FF"/>
        </w:rPr>
      </w:pPr>
      <w:r>
        <w:rPr>
          <w:rFonts w:ascii="Arial" w:cs="Arial" w:eastAsia="Arial" w:hAnsi="Arial"/>
          <w:sz w:val="18"/>
          <w:szCs w:val="18"/>
          <w:color w:val="auto"/>
        </w:rPr>
        <w:t>10.17</w:t>
      </w:r>
      <w:r>
        <w:rPr>
          <w:sz w:val="20"/>
          <w:szCs w:val="20"/>
          <w:color w:val="auto"/>
        </w:rPr>
        <w:tab/>
      </w:r>
      <w:hyperlink r:id="rId156">
        <w:r>
          <w:rPr>
            <w:rFonts w:ascii="Arial" w:cs="Arial" w:eastAsia="Arial" w:hAnsi="Arial"/>
            <w:sz w:val="17"/>
            <w:szCs w:val="17"/>
            <w:u w:val="single" w:color="auto"/>
            <w:color w:val="0000FF"/>
          </w:rPr>
          <w:t>Senior Secured Convertible Note dated as of May 11, 2023 issued by Daktronics, Inc. to Alta Fox Opportunities Fund, LP (Incorporated by</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reference to Exhibit 10.4 filed with the Current Report on Form 8-K of Daktronics, Inc. filed on May 12, 2023).</w:t>
        </w:r>
      </w:hyperlink>
    </w:p>
    <w:p>
      <w:pPr>
        <w:ind w:left="720" w:right="220" w:hanging="700"/>
        <w:spacing w:after="0" w:line="248"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57">
        <w:r>
          <w:rPr>
            <w:rFonts w:ascii="Arial" w:cs="Arial" w:eastAsia="Arial" w:hAnsi="Arial"/>
            <w:sz w:val="18"/>
            <w:szCs w:val="18"/>
            <w:u w:val="single" w:color="auto"/>
            <w:color w:val="0000FF"/>
          </w:rPr>
          <w:t>Pledge and Security Agreement dated as of May 11, 2023 by and among Daktronics, Inc., Daktronics Installation, Inc., and Alta Fox</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Opportunities Fund, LP (Incorporated by reference to Exhibit 10.5 filed with the Current Report on Form 8-K of Daktronics, Inc. filed on May</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12, 2023).</w:t>
        </w:r>
      </w:hyperlink>
    </w:p>
    <w:p>
      <w:pPr>
        <w:spacing w:after="0" w:line="33" w:lineRule="exact"/>
        <w:rPr>
          <w:rFonts w:ascii="Arial" w:cs="Arial" w:eastAsia="Arial" w:hAnsi="Arial"/>
          <w:sz w:val="18"/>
          <w:szCs w:val="18"/>
          <w:u w:val="single" w:color="auto"/>
          <w:color w:val="0000FF"/>
        </w:rPr>
      </w:pPr>
    </w:p>
    <w:p>
      <w:pPr>
        <w:ind w:left="720" w:right="60" w:hanging="700"/>
        <w:spacing w:after="0" w:line="261"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58">
        <w:r>
          <w:rPr>
            <w:rFonts w:ascii="Arial" w:cs="Arial" w:eastAsia="Arial" w:hAnsi="Arial"/>
            <w:sz w:val="18"/>
            <w:szCs w:val="18"/>
            <w:u w:val="single" w:color="auto"/>
            <w:color w:val="0000FF"/>
          </w:rPr>
          <w:t>Registration Rights Agreement dated as of May 11, 2023 by and between Daktronics, Inc. and Alta Fox Opportunities Fund, LP (Incorporated by</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reference to Exhibit 10.6 filed with the Current Report on Form 8-K of Daktronics, Inc. filed on May 12, 2023).</w:t>
        </w:r>
      </w:hyperlink>
    </w:p>
    <w:p>
      <w:pPr>
        <w:spacing w:after="0" w:line="9" w:lineRule="exact"/>
        <w:rPr>
          <w:sz w:val="20"/>
          <w:szCs w:val="20"/>
          <w:color w:val="auto"/>
        </w:rPr>
      </w:pPr>
    </w:p>
    <w:p>
      <w:pPr>
        <w:ind w:left="720" w:right="400" w:hanging="700"/>
        <w:spacing w:after="0" w:line="255" w:lineRule="auto"/>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159">
        <w:r>
          <w:rPr>
            <w:rFonts w:ascii="Arial" w:cs="Arial" w:eastAsia="Arial" w:hAnsi="Arial"/>
            <w:sz w:val="16"/>
            <w:szCs w:val="16"/>
            <w:u w:val="single" w:color="auto"/>
            <w:color w:val="0000FF"/>
          </w:rPr>
          <w:t>Intercreditor Agreement dated as of May 11, 2023 by and among Daktronics, Inc., JPMorgan Chase Bank, N.A., and Alta Fox Opportunities</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Fund, LP (Incorporated by reference to Exhibit 10.7 filed with the Current Report on Form 8-K of Daktronics, Inc. filed on May 12, 2023).</w:t>
        </w:r>
      </w:hyperlink>
    </w:p>
    <w:p>
      <w:pPr>
        <w:ind w:left="20"/>
        <w:spacing w:after="0" w:line="215" w:lineRule="auto"/>
        <w:tabs>
          <w:tab w:leader="none" w:pos="7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 xml:space="preserve">Subsidiaries of the Company. </w:t>
      </w:r>
      <w:r>
        <w:rPr>
          <w:rFonts w:ascii="Arial" w:cs="Arial" w:eastAsia="Arial" w:hAnsi="Arial"/>
          <w:sz w:val="25"/>
          <w:szCs w:val="25"/>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-41910</wp:posOffset>
            </wp:positionV>
            <wp:extent cx="1041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104140" cy="8255"/>
                    </a:xfrm>
                    <a:prstGeom prst="rect">
                      <a:avLst/>
                    </a:prstGeom>
                    <a:noFill/>
                  </pic:spPr>
                </pic:pic>
              </a:graphicData>
            </a:graphic>
          </wp:anchor>
        </w:drawing>
      </w:r>
    </w:p>
    <w:p>
      <w:pPr>
        <w:ind w:left="20"/>
        <w:spacing w:after="0" w:line="200" w:lineRule="auto"/>
        <w:tabs>
          <w:tab w:leader="none" w:pos="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auto"/>
        </w:rPr>
        <w:t xml:space="preserve">Consent of Deloitte &amp; Touche LLP. </w:t>
      </w:r>
      <w:r>
        <w:rPr>
          <w:rFonts w:ascii="Arial" w:cs="Arial" w:eastAsia="Arial" w:hAnsi="Arial"/>
          <w:sz w:val="25"/>
          <w:szCs w:val="25"/>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-22860</wp:posOffset>
            </wp:positionV>
            <wp:extent cx="1041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104140" cy="8255"/>
                    </a:xfrm>
                    <a:prstGeom prst="rect">
                      <a:avLst/>
                    </a:prstGeom>
                    <a:noFill/>
                  </pic:spPr>
                </pic:pic>
              </a:graphicData>
            </a:graphic>
          </wp:anchor>
        </w:drawing>
      </w:r>
    </w:p>
    <w:p>
      <w:pPr>
        <w:ind w:left="2140"/>
        <w:spacing w:after="0" w:line="189" w:lineRule="auto"/>
        <w:rPr>
          <w:sz w:val="20"/>
          <w:szCs w:val="20"/>
          <w:color w:val="auto"/>
        </w:rPr>
      </w:pPr>
      <w:r>
        <w:rPr>
          <w:rFonts w:ascii="Arial" w:cs="Arial" w:eastAsia="Arial" w:hAnsi="Arial"/>
          <w:sz w:val="14"/>
          <w:szCs w:val="14"/>
          <w:u w:val="single" w:color="auto"/>
          <w:color w:val="auto"/>
        </w:rPr>
        <w:t>(1)</w:t>
      </w:r>
    </w:p>
    <w:p>
      <w:pPr>
        <w:ind w:left="720" w:hanging="694"/>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-71755</wp:posOffset>
            </wp:positionV>
            <wp:extent cx="104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104140" cy="8255"/>
                    </a:xfrm>
                    <a:prstGeom prst="rect">
                      <a:avLst/>
                    </a:prstGeom>
                    <a:noFill/>
                  </pic:spPr>
                </pic:pic>
              </a:graphicData>
            </a:graphic>
          </wp:anchor>
        </w:drawing>
      </w:r>
    </w:p>
    <w:p>
      <w:pPr>
        <w:spacing w:after="0" w:line="14" w:lineRule="exact"/>
        <w:rPr>
          <w:sz w:val="20"/>
          <w:szCs w:val="20"/>
          <w:color w:val="auto"/>
        </w:rPr>
      </w:pPr>
    </w:p>
    <w:p>
      <w:pPr>
        <w:ind w:left="720" w:right="40" w:hanging="700"/>
        <w:spacing w:after="0" w:line="196"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auto"/>
        </w:rPr>
        <w:t xml:space="preserve">Certification of the Chief Executive Officer required by Rule 13a-14(a) or Rule 15d-14(a) under the Securities Exchange Act of 1934, as adopted pursuant to Section 302 of the Sarbanes-Oxley Act of 2002. </w:t>
      </w:r>
      <w:r>
        <w:rPr>
          <w:rFonts w:ascii="Arial" w:cs="Arial" w:eastAsia="Arial" w:hAnsi="Arial"/>
          <w:sz w:val="28"/>
          <w:szCs w:val="28"/>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-67310</wp:posOffset>
            </wp:positionV>
            <wp:extent cx="1041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104140" cy="8255"/>
                    </a:xfrm>
                    <a:prstGeom prst="rect">
                      <a:avLst/>
                    </a:prstGeom>
                    <a:noFill/>
                  </pic:spPr>
                </pic:pic>
              </a:graphicData>
            </a:graphic>
          </wp:anchor>
        </w:drawing>
      </w:r>
    </w:p>
    <w:p>
      <w:pPr>
        <w:ind w:left="20"/>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Certification of the Chief Financial Officer required by Rule 13a-14(a) or Rule 15d-14(a) under the Securities Exchange Act of 1934, as adopted</w:t>
      </w:r>
    </w:p>
    <w:p>
      <w:pPr>
        <w:ind w:left="720"/>
        <w:spacing w:after="0" w:line="184" w:lineRule="auto"/>
        <w:rPr>
          <w:sz w:val="20"/>
          <w:szCs w:val="20"/>
          <w:color w:val="auto"/>
        </w:rPr>
      </w:pPr>
      <w:r>
        <w:rPr>
          <w:rFonts w:ascii="Arial" w:cs="Arial" w:eastAsia="Arial" w:hAnsi="Arial"/>
          <w:sz w:val="14"/>
          <w:szCs w:val="14"/>
          <w:u w:val="single" w:color="auto"/>
          <w:color w:val="auto"/>
        </w:rPr>
        <w:t>pursuant to Section 302 of the Sarbanes-Oxley Act of 2002.</w:t>
      </w:r>
      <w:r>
        <w:rPr>
          <w:rFonts w:ascii="Arial" w:cs="Arial" w:eastAsia="Arial" w:hAnsi="Arial"/>
          <w:sz w:val="21"/>
          <w:szCs w:val="21"/>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-31115</wp:posOffset>
            </wp:positionV>
            <wp:extent cx="1041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104140" cy="8890"/>
                    </a:xfrm>
                    <a:prstGeom prst="rect">
                      <a:avLst/>
                    </a:prstGeom>
                    <a:noFill/>
                  </pic:spPr>
                </pic:pic>
              </a:graphicData>
            </a:graphic>
          </wp:anchor>
        </w:drawing>
      </w:r>
    </w:p>
    <w:p>
      <w:pPr>
        <w:ind w:left="10080"/>
        <w:spacing w:after="0" w:line="182" w:lineRule="auto"/>
        <w:rPr>
          <w:sz w:val="20"/>
          <w:szCs w:val="20"/>
          <w:color w:val="auto"/>
        </w:rPr>
      </w:pPr>
      <w:r>
        <w:rPr>
          <w:rFonts w:ascii="Arial" w:cs="Arial" w:eastAsia="Arial" w:hAnsi="Arial"/>
          <w:sz w:val="13"/>
          <w:szCs w:val="13"/>
          <w:u w:val="single" w:color="auto"/>
          <w:color w:val="auto"/>
        </w:rPr>
        <w:t>(1)</w:t>
      </w:r>
    </w:p>
    <w:p>
      <w:pPr>
        <w:ind w:left="20"/>
        <w:spacing w:after="0" w:line="225" w:lineRule="auto"/>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auto"/>
        </w:rPr>
        <w:t>Certification of the Chief Executive Officer pursuant to Section 906 of the Sarbanes-Oxley Act of 2002 (18 U.S.C. Section 1350).</w:t>
      </w:r>
      <w:r>
        <w:rPr>
          <w:rFonts w:ascii="Arial" w:cs="Arial" w:eastAsia="Arial" w:hAnsi="Arial"/>
          <w:sz w:val="25"/>
          <w:szCs w:val="25"/>
          <w:u w:val="single" w:color="auto"/>
          <w:color w:val="auto"/>
          <w:vertAlign w:val="sub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6396355</wp:posOffset>
            </wp:positionH>
            <wp:positionV relativeFrom="paragraph">
              <wp:posOffset>-102870</wp:posOffset>
            </wp:positionV>
            <wp:extent cx="1041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104140" cy="8890"/>
                    </a:xfrm>
                    <a:prstGeom prst="rect">
                      <a:avLst/>
                    </a:prstGeom>
                    <a:noFill/>
                  </pic:spPr>
                </pic:pic>
              </a:graphicData>
            </a:graphic>
          </wp:anchor>
        </w:drawing>
      </w:r>
    </w:p>
    <w:p>
      <w:pPr>
        <w:ind w:left="20"/>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auto"/>
        </w:rPr>
        <w:t>Certification of the Chief Financial Officer pursuant to 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6393180</wp:posOffset>
            </wp:positionH>
            <wp:positionV relativeFrom="paragraph">
              <wp:posOffset>-71755</wp:posOffset>
            </wp:positionV>
            <wp:extent cx="1041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104140" cy="8255"/>
                    </a:xfrm>
                    <a:prstGeom prst="rect">
                      <a:avLst/>
                    </a:prstGeom>
                    <a:noFill/>
                  </pic:spPr>
                </pic:pic>
              </a:graphicData>
            </a:graphic>
          </wp:anchor>
        </w:drawing>
      </w:r>
    </w:p>
    <w:p>
      <w:pPr>
        <w:spacing w:after="0" w:line="14" w:lineRule="exact"/>
        <w:rPr>
          <w:sz w:val="20"/>
          <w:szCs w:val="20"/>
          <w:color w:val="auto"/>
        </w:rPr>
      </w:pPr>
    </w:p>
    <w:p>
      <w:pPr>
        <w:ind w:left="720" w:hanging="694"/>
        <w:spacing w:after="0" w:line="22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following financial information from our Annual Report on Form 10-K for the fiscal year ended May 1, 2021, formatted in Extensible Business Reporting Language (iXBRL): (i) the Consolidated Balance Sheets, (ii) the Consolidated Statements of Operations, (iii) the Consolidated Statements of Comprehensive Income, (iv) the Consolidated Statements of Shareholders' Equity, (v) the Consolidated Statements of Cash Flows, and (vi) Notes to Consolidated Financial Statements. </w:t>
      </w:r>
      <w:r>
        <w:rPr>
          <w:rFonts w:ascii="Arial" w:cs="Arial" w:eastAsia="Arial" w:hAnsi="Arial"/>
          <w:sz w:val="28"/>
          <w:szCs w:val="28"/>
          <w:color w:val="auto"/>
          <w:vertAlign w:val="superscript"/>
        </w:rPr>
        <w:t>(1)</w:t>
      </w:r>
    </w:p>
    <w:p>
      <w:pPr>
        <w:spacing w:after="0" w:line="2" w:lineRule="exact"/>
        <w:rPr>
          <w:sz w:val="20"/>
          <w:szCs w:val="20"/>
          <w:color w:val="auto"/>
        </w:rPr>
      </w:pPr>
    </w:p>
    <w:p>
      <w:pPr>
        <w:ind w:left="720" w:hanging="694"/>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w:t>
      </w:r>
    </w:p>
    <w:p>
      <w:pPr>
        <w:spacing w:after="0" w:line="4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 Filed herewith electronically.</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Paper Filing</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37" w:lineRule="exact"/>
        <w:rPr>
          <w:sz w:val="20"/>
          <w:szCs w:val="20"/>
          <w:color w:val="auto"/>
        </w:rPr>
      </w:pPr>
    </w:p>
    <w:p>
      <w:pPr>
        <w:jc w:val="both"/>
        <w:ind w:left="20"/>
        <w:spacing w:after="0" w:line="188" w:lineRule="auto"/>
        <w:rPr>
          <w:sz w:val="20"/>
          <w:szCs w:val="20"/>
          <w:color w:val="auto"/>
        </w:rPr>
      </w:pPr>
      <w:r>
        <w:rPr>
          <w:rFonts w:ascii="Arial" w:cs="Arial" w:eastAsia="Arial" w:hAnsi="Arial"/>
          <w:sz w:val="18"/>
          <w:szCs w:val="18"/>
          <w:color w:val="auto"/>
        </w:rPr>
        <w:t>ADFLOW</w:t>
      </w:r>
      <w:r>
        <w:rPr>
          <w:rFonts w:ascii="Arial" w:cs="Arial" w:eastAsia="Arial" w:hAnsi="Arial"/>
          <w:sz w:val="28"/>
          <w:szCs w:val="28"/>
          <w:color w:val="auto"/>
          <w:vertAlign w:val="superscript"/>
        </w:rPr>
        <w:t>®</w:t>
      </w:r>
      <w:r>
        <w:rPr>
          <w:rFonts w:ascii="Arial" w:cs="Arial" w:eastAsia="Arial" w:hAnsi="Arial"/>
          <w:sz w:val="18"/>
          <w:szCs w:val="18"/>
          <w:color w:val="auto"/>
        </w:rPr>
        <w:t>, AJT Systems</w:t>
      </w:r>
      <w:r>
        <w:rPr>
          <w:rFonts w:ascii="Arial" w:cs="Arial" w:eastAsia="Arial" w:hAnsi="Arial"/>
          <w:sz w:val="28"/>
          <w:szCs w:val="28"/>
          <w:color w:val="auto"/>
          <w:vertAlign w:val="superscript"/>
        </w:rPr>
        <w:t>®</w:t>
      </w:r>
      <w:r>
        <w:rPr>
          <w:rFonts w:ascii="Arial" w:cs="Arial" w:eastAsia="Arial" w:hAnsi="Arial"/>
          <w:sz w:val="18"/>
          <w:szCs w:val="18"/>
          <w:color w:val="auto"/>
        </w:rPr>
        <w:t>, All Sport</w:t>
      </w:r>
      <w:r>
        <w:rPr>
          <w:rFonts w:ascii="Arial" w:cs="Arial" w:eastAsia="Arial" w:hAnsi="Arial"/>
          <w:sz w:val="28"/>
          <w:szCs w:val="28"/>
          <w:color w:val="auto"/>
          <w:vertAlign w:val="superscript"/>
        </w:rPr>
        <w:t>®</w:t>
      </w:r>
      <w:r>
        <w:rPr>
          <w:rFonts w:ascii="Arial" w:cs="Arial" w:eastAsia="Arial" w:hAnsi="Arial"/>
          <w:sz w:val="18"/>
          <w:szCs w:val="18"/>
          <w:color w:val="auto"/>
        </w:rPr>
        <w:t>, Daktronics</w:t>
      </w:r>
      <w:r>
        <w:rPr>
          <w:rFonts w:ascii="Arial" w:cs="Arial" w:eastAsia="Arial" w:hAnsi="Arial"/>
          <w:sz w:val="28"/>
          <w:szCs w:val="28"/>
          <w:color w:val="auto"/>
          <w:vertAlign w:val="superscript"/>
        </w:rPr>
        <w:t>®</w:t>
      </w:r>
      <w:r>
        <w:rPr>
          <w:rFonts w:ascii="Arial" w:cs="Arial" w:eastAsia="Arial" w:hAnsi="Arial"/>
          <w:sz w:val="18"/>
          <w:szCs w:val="18"/>
          <w:color w:val="auto"/>
        </w:rPr>
        <w:t>, D</w:t>
      </w:r>
      <w:r>
        <w:rPr>
          <w:rFonts w:ascii="Arial" w:cs="Arial" w:eastAsia="Arial" w:hAnsi="Arial"/>
          <w:sz w:val="28"/>
          <w:szCs w:val="28"/>
          <w:color w:val="auto"/>
          <w:vertAlign w:val="superscript"/>
        </w:rPr>
        <w:t>®</w:t>
      </w:r>
      <w:r>
        <w:rPr>
          <w:rFonts w:ascii="Arial" w:cs="Arial" w:eastAsia="Arial" w:hAnsi="Arial"/>
          <w:sz w:val="18"/>
          <w:szCs w:val="18"/>
          <w:color w:val="auto"/>
        </w:rPr>
        <w:t>, DakStats</w:t>
      </w:r>
      <w:r>
        <w:rPr>
          <w:rFonts w:ascii="Arial" w:cs="Arial" w:eastAsia="Arial" w:hAnsi="Arial"/>
          <w:sz w:val="28"/>
          <w:szCs w:val="28"/>
          <w:color w:val="auto"/>
          <w:vertAlign w:val="superscript"/>
        </w:rPr>
        <w:t>®</w:t>
      </w:r>
      <w:r>
        <w:rPr>
          <w:rFonts w:ascii="Arial" w:cs="Arial" w:eastAsia="Arial" w:hAnsi="Arial"/>
          <w:sz w:val="18"/>
          <w:szCs w:val="18"/>
          <w:color w:val="auto"/>
        </w:rPr>
        <w:t>, Data Display</w:t>
      </w:r>
      <w:r>
        <w:rPr>
          <w:rFonts w:ascii="Arial" w:cs="Arial" w:eastAsia="Arial" w:hAnsi="Arial"/>
          <w:sz w:val="28"/>
          <w:szCs w:val="28"/>
          <w:color w:val="auto"/>
          <w:vertAlign w:val="superscript"/>
        </w:rPr>
        <w:t>®</w:t>
      </w:r>
      <w:r>
        <w:rPr>
          <w:rFonts w:ascii="Arial" w:cs="Arial" w:eastAsia="Arial" w:hAnsi="Arial"/>
          <w:sz w:val="18"/>
          <w:szCs w:val="18"/>
          <w:color w:val="auto"/>
        </w:rPr>
        <w:t>, DataTime</w:t>
      </w:r>
      <w:r>
        <w:rPr>
          <w:rFonts w:ascii="Arial" w:cs="Arial" w:eastAsia="Arial" w:hAnsi="Arial"/>
          <w:sz w:val="28"/>
          <w:szCs w:val="28"/>
          <w:color w:val="auto"/>
          <w:vertAlign w:val="superscript"/>
        </w:rPr>
        <w:t>®</w:t>
      </w:r>
      <w:r>
        <w:rPr>
          <w:rFonts w:ascii="Arial" w:cs="Arial" w:eastAsia="Arial" w:hAnsi="Arial"/>
          <w:sz w:val="18"/>
          <w:szCs w:val="18"/>
          <w:color w:val="auto"/>
        </w:rPr>
        <w:t>, Fuelight</w:t>
      </w:r>
      <w:r>
        <w:rPr>
          <w:rFonts w:ascii="Arial" w:cs="Arial" w:eastAsia="Arial" w:hAnsi="Arial"/>
          <w:sz w:val="28"/>
          <w:szCs w:val="28"/>
          <w:color w:val="auto"/>
          <w:vertAlign w:val="superscript"/>
        </w:rPr>
        <w:t>™</w:t>
      </w:r>
      <w:r>
        <w:rPr>
          <w:rFonts w:ascii="Arial" w:cs="Arial" w:eastAsia="Arial" w:hAnsi="Arial"/>
          <w:sz w:val="18"/>
          <w:szCs w:val="18"/>
          <w:color w:val="auto"/>
        </w:rPr>
        <w:t>, Fuelink</w:t>
      </w:r>
      <w:r>
        <w:rPr>
          <w:rFonts w:ascii="Arial" w:cs="Arial" w:eastAsia="Arial" w:hAnsi="Arial"/>
          <w:sz w:val="28"/>
          <w:szCs w:val="28"/>
          <w:color w:val="auto"/>
          <w:vertAlign w:val="superscript"/>
        </w:rPr>
        <w:t>™</w:t>
      </w:r>
      <w:r>
        <w:rPr>
          <w:rFonts w:ascii="Arial" w:cs="Arial" w:eastAsia="Arial" w:hAnsi="Arial"/>
          <w:sz w:val="18"/>
          <w:szCs w:val="18"/>
          <w:color w:val="auto"/>
        </w:rPr>
        <w:t>, Galaxy</w:t>
      </w:r>
      <w:r>
        <w:rPr>
          <w:rFonts w:ascii="Arial" w:cs="Arial" w:eastAsia="Arial" w:hAnsi="Arial"/>
          <w:sz w:val="28"/>
          <w:szCs w:val="28"/>
          <w:color w:val="auto"/>
          <w:vertAlign w:val="superscript"/>
        </w:rPr>
        <w:t>®</w:t>
      </w:r>
      <w:r>
        <w:rPr>
          <w:rFonts w:ascii="Arial" w:cs="Arial" w:eastAsia="Arial" w:hAnsi="Arial"/>
          <w:sz w:val="18"/>
          <w:szCs w:val="18"/>
          <w:color w:val="auto"/>
        </w:rPr>
        <w:t>, GalaxyPro</w:t>
      </w:r>
      <w:r>
        <w:rPr>
          <w:rFonts w:ascii="Arial" w:cs="Arial" w:eastAsia="Arial" w:hAnsi="Arial"/>
          <w:sz w:val="28"/>
          <w:szCs w:val="28"/>
          <w:color w:val="auto"/>
          <w:vertAlign w:val="superscript"/>
        </w:rPr>
        <w:t>™</w:t>
      </w:r>
      <w:r>
        <w:rPr>
          <w:rFonts w:ascii="Arial" w:cs="Arial" w:eastAsia="Arial" w:hAnsi="Arial"/>
          <w:sz w:val="18"/>
          <w:szCs w:val="18"/>
          <w:color w:val="auto"/>
        </w:rPr>
        <w:t>, Go Digital</w:t>
      </w:r>
      <w:r>
        <w:rPr>
          <w:rFonts w:ascii="Arial" w:cs="Arial" w:eastAsia="Arial" w:hAnsi="Arial"/>
          <w:sz w:val="28"/>
          <w:szCs w:val="28"/>
          <w:color w:val="auto"/>
          <w:vertAlign w:val="superscript"/>
        </w:rPr>
        <w:t>®</w:t>
      </w:r>
      <w:r>
        <w:rPr>
          <w:rFonts w:ascii="Arial" w:cs="Arial" w:eastAsia="Arial" w:hAnsi="Arial"/>
          <w:sz w:val="18"/>
          <w:szCs w:val="18"/>
          <w:color w:val="auto"/>
        </w:rPr>
        <w:t>, Keyframe</w:t>
      </w:r>
      <w:r>
        <w:rPr>
          <w:rFonts w:ascii="Arial" w:cs="Arial" w:eastAsia="Arial" w:hAnsi="Arial"/>
          <w:sz w:val="28"/>
          <w:szCs w:val="28"/>
          <w:color w:val="auto"/>
          <w:vertAlign w:val="superscript"/>
        </w:rPr>
        <w:t>®</w:t>
      </w:r>
      <w:r>
        <w:rPr>
          <w:rFonts w:ascii="Arial" w:cs="Arial" w:eastAsia="Arial" w:hAnsi="Arial"/>
          <w:sz w:val="18"/>
          <w:szCs w:val="18"/>
          <w:color w:val="auto"/>
        </w:rPr>
        <w:t>, Liveticker</w:t>
      </w:r>
      <w:r>
        <w:rPr>
          <w:rFonts w:ascii="Arial" w:cs="Arial" w:eastAsia="Arial" w:hAnsi="Arial"/>
          <w:sz w:val="28"/>
          <w:szCs w:val="28"/>
          <w:color w:val="auto"/>
          <w:vertAlign w:val="superscript"/>
        </w:rPr>
        <w:t>®</w:t>
      </w:r>
      <w:r>
        <w:rPr>
          <w:rFonts w:ascii="Arial" w:cs="Arial" w:eastAsia="Arial" w:hAnsi="Arial"/>
          <w:sz w:val="18"/>
          <w:szCs w:val="18"/>
          <w:color w:val="auto"/>
        </w:rPr>
        <w:t>, Matside</w:t>
      </w:r>
      <w:r>
        <w:rPr>
          <w:rFonts w:ascii="Arial" w:cs="Arial" w:eastAsia="Arial" w:hAnsi="Arial"/>
          <w:sz w:val="28"/>
          <w:szCs w:val="28"/>
          <w:color w:val="auto"/>
          <w:vertAlign w:val="superscript"/>
        </w:rPr>
        <w:t>®</w:t>
      </w:r>
      <w:r>
        <w:rPr>
          <w:rFonts w:ascii="Arial" w:cs="Arial" w:eastAsia="Arial" w:hAnsi="Arial"/>
          <w:sz w:val="18"/>
          <w:szCs w:val="18"/>
          <w:color w:val="auto"/>
        </w:rPr>
        <w:t>, OmniSport</w:t>
      </w:r>
      <w:r>
        <w:rPr>
          <w:rFonts w:ascii="Arial" w:cs="Arial" w:eastAsia="Arial" w:hAnsi="Arial"/>
          <w:sz w:val="28"/>
          <w:szCs w:val="28"/>
          <w:color w:val="auto"/>
          <w:vertAlign w:val="superscript"/>
        </w:rPr>
        <w:t>®</w:t>
      </w:r>
      <w:r>
        <w:rPr>
          <w:rFonts w:ascii="Arial" w:cs="Arial" w:eastAsia="Arial" w:hAnsi="Arial"/>
          <w:sz w:val="18"/>
          <w:szCs w:val="18"/>
          <w:color w:val="auto"/>
        </w:rPr>
        <w:t>, ProAd</w:t>
      </w:r>
      <w:r>
        <w:rPr>
          <w:rFonts w:ascii="Arial" w:cs="Arial" w:eastAsia="Arial" w:hAnsi="Arial"/>
          <w:sz w:val="28"/>
          <w:szCs w:val="28"/>
          <w:color w:val="auto"/>
          <w:vertAlign w:val="superscript"/>
        </w:rPr>
        <w:t>®</w:t>
      </w:r>
      <w:r>
        <w:rPr>
          <w:rFonts w:ascii="Arial" w:cs="Arial" w:eastAsia="Arial" w:hAnsi="Arial"/>
          <w:sz w:val="18"/>
          <w:szCs w:val="18"/>
          <w:color w:val="auto"/>
        </w:rPr>
        <w:t>, ProPixel</w:t>
      </w:r>
      <w:r>
        <w:rPr>
          <w:rFonts w:ascii="Arial" w:cs="Arial" w:eastAsia="Arial" w:hAnsi="Arial"/>
          <w:sz w:val="28"/>
          <w:szCs w:val="28"/>
          <w:color w:val="auto"/>
          <w:vertAlign w:val="superscript"/>
        </w:rPr>
        <w:t>®</w:t>
      </w:r>
      <w:r>
        <w:rPr>
          <w:rFonts w:ascii="Arial" w:cs="Arial" w:eastAsia="Arial" w:hAnsi="Arial"/>
          <w:sz w:val="18"/>
          <w:szCs w:val="18"/>
          <w:color w:val="auto"/>
        </w:rPr>
        <w:t>, ProRail</w:t>
      </w:r>
      <w:r>
        <w:rPr>
          <w:rFonts w:ascii="Arial" w:cs="Arial" w:eastAsia="Arial" w:hAnsi="Arial"/>
          <w:sz w:val="28"/>
          <w:szCs w:val="28"/>
          <w:color w:val="auto"/>
          <w:vertAlign w:val="superscript"/>
        </w:rPr>
        <w:t>®</w:t>
      </w:r>
      <w:r>
        <w:rPr>
          <w:rFonts w:ascii="Arial" w:cs="Arial" w:eastAsia="Arial" w:hAnsi="Arial"/>
          <w:sz w:val="18"/>
          <w:szCs w:val="18"/>
          <w:color w:val="auto"/>
        </w:rPr>
        <w:t>, ProStar</w:t>
      </w:r>
      <w:r>
        <w:rPr>
          <w:rFonts w:ascii="Arial" w:cs="Arial" w:eastAsia="Arial" w:hAnsi="Arial"/>
          <w:sz w:val="28"/>
          <w:szCs w:val="28"/>
          <w:color w:val="auto"/>
          <w:vertAlign w:val="superscript"/>
        </w:rPr>
        <w:t>®</w:t>
      </w:r>
      <w:r>
        <w:rPr>
          <w:rFonts w:ascii="Arial" w:cs="Arial" w:eastAsia="Arial" w:hAnsi="Arial"/>
          <w:sz w:val="18"/>
          <w:szCs w:val="18"/>
          <w:color w:val="auto"/>
        </w:rPr>
        <w:t>, Sportsound</w:t>
      </w:r>
      <w:r>
        <w:rPr>
          <w:rFonts w:ascii="Arial" w:cs="Arial" w:eastAsia="Arial" w:hAnsi="Arial"/>
          <w:sz w:val="28"/>
          <w:szCs w:val="28"/>
          <w:color w:val="auto"/>
          <w:vertAlign w:val="superscript"/>
        </w:rPr>
        <w:t>®</w:t>
      </w:r>
      <w:r>
        <w:rPr>
          <w:rFonts w:ascii="Arial" w:cs="Arial" w:eastAsia="Arial" w:hAnsi="Arial"/>
          <w:sz w:val="18"/>
          <w:szCs w:val="18"/>
          <w:color w:val="auto"/>
        </w:rPr>
        <w:t>, Statvision</w:t>
      </w:r>
      <w:r>
        <w:rPr>
          <w:rFonts w:ascii="Arial" w:cs="Arial" w:eastAsia="Arial" w:hAnsi="Arial"/>
          <w:sz w:val="28"/>
          <w:szCs w:val="28"/>
          <w:color w:val="auto"/>
          <w:vertAlign w:val="superscript"/>
        </w:rPr>
        <w:t>®</w:t>
      </w:r>
      <w:r>
        <w:rPr>
          <w:rFonts w:ascii="Arial" w:cs="Arial" w:eastAsia="Arial" w:hAnsi="Arial"/>
          <w:sz w:val="18"/>
          <w:szCs w:val="18"/>
          <w:color w:val="auto"/>
        </w:rPr>
        <w:t>, Tuff Sport</w:t>
      </w:r>
      <w:r>
        <w:rPr>
          <w:rFonts w:ascii="Arial" w:cs="Arial" w:eastAsia="Arial" w:hAnsi="Arial"/>
          <w:sz w:val="28"/>
          <w:szCs w:val="28"/>
          <w:color w:val="auto"/>
          <w:vertAlign w:val="superscript"/>
        </w:rPr>
        <w:t>®</w:t>
      </w:r>
      <w:r>
        <w:rPr>
          <w:rFonts w:ascii="Arial" w:cs="Arial" w:eastAsia="Arial" w:hAnsi="Arial"/>
          <w:sz w:val="18"/>
          <w:szCs w:val="18"/>
          <w:color w:val="auto"/>
        </w:rPr>
        <w:t>, Uniview</w:t>
      </w:r>
      <w:r>
        <w:rPr>
          <w:rFonts w:ascii="Arial" w:cs="Arial" w:eastAsia="Arial" w:hAnsi="Arial"/>
          <w:sz w:val="28"/>
          <w:szCs w:val="28"/>
          <w:color w:val="auto"/>
          <w:vertAlign w:val="superscript"/>
        </w:rPr>
        <w:t>®</w:t>
      </w:r>
      <w:r>
        <w:rPr>
          <w:rFonts w:ascii="Arial" w:cs="Arial" w:eastAsia="Arial" w:hAnsi="Arial"/>
          <w:sz w:val="18"/>
          <w:szCs w:val="18"/>
          <w:color w:val="auto"/>
        </w:rPr>
        <w:t>, Vanguard</w:t>
      </w:r>
      <w:r>
        <w:rPr>
          <w:rFonts w:ascii="Arial" w:cs="Arial" w:eastAsia="Arial" w:hAnsi="Arial"/>
          <w:sz w:val="28"/>
          <w:szCs w:val="28"/>
          <w:color w:val="auto"/>
          <w:vertAlign w:val="superscript"/>
        </w:rPr>
        <w:t>®</w:t>
      </w:r>
      <w:r>
        <w:rPr>
          <w:rFonts w:ascii="Arial" w:cs="Arial" w:eastAsia="Arial" w:hAnsi="Arial"/>
          <w:sz w:val="18"/>
          <w:szCs w:val="18"/>
          <w:color w:val="auto"/>
        </w:rPr>
        <w:t>, Venus</w:t>
      </w:r>
      <w:r>
        <w:rPr>
          <w:rFonts w:ascii="Arial" w:cs="Arial" w:eastAsia="Arial" w:hAnsi="Arial"/>
          <w:sz w:val="28"/>
          <w:szCs w:val="28"/>
          <w:color w:val="auto"/>
          <w:vertAlign w:val="superscript"/>
        </w:rPr>
        <w:t>®</w:t>
      </w:r>
      <w:r>
        <w:rPr>
          <w:rFonts w:ascii="Arial" w:cs="Arial" w:eastAsia="Arial" w:hAnsi="Arial"/>
          <w:sz w:val="18"/>
          <w:szCs w:val="18"/>
          <w:color w:val="auto"/>
        </w:rPr>
        <w:t>, Visiconn</w:t>
      </w:r>
      <w:r>
        <w:rPr>
          <w:rFonts w:ascii="Arial" w:cs="Arial" w:eastAsia="Arial" w:hAnsi="Arial"/>
          <w:sz w:val="28"/>
          <w:szCs w:val="28"/>
          <w:color w:val="auto"/>
          <w:vertAlign w:val="superscript"/>
        </w:rPr>
        <w:t>®</w:t>
      </w:r>
      <w:r>
        <w:rPr>
          <w:rFonts w:ascii="Arial" w:cs="Arial" w:eastAsia="Arial" w:hAnsi="Arial"/>
          <w:sz w:val="18"/>
          <w:szCs w:val="18"/>
          <w:color w:val="auto"/>
        </w:rPr>
        <w:t>, V-Tour</w:t>
      </w:r>
      <w:r>
        <w:rPr>
          <w:rFonts w:ascii="Arial" w:cs="Arial" w:eastAsia="Arial" w:hAnsi="Arial"/>
          <w:sz w:val="28"/>
          <w:szCs w:val="28"/>
          <w:color w:val="auto"/>
          <w:vertAlign w:val="superscript"/>
        </w:rPr>
        <w:t>®</w:t>
      </w:r>
      <w:r>
        <w:rPr>
          <w:rFonts w:ascii="Arial" w:cs="Arial" w:eastAsia="Arial" w:hAnsi="Arial"/>
          <w:sz w:val="18"/>
          <w:szCs w:val="18"/>
          <w:color w:val="auto"/>
        </w:rPr>
        <w:t>, V-Link</w:t>
      </w:r>
      <w:r>
        <w:rPr>
          <w:rFonts w:ascii="Arial" w:cs="Arial" w:eastAsia="Arial" w:hAnsi="Arial"/>
          <w:sz w:val="28"/>
          <w:szCs w:val="28"/>
          <w:color w:val="auto"/>
          <w:vertAlign w:val="superscript"/>
        </w:rPr>
        <w:t>®</w:t>
      </w:r>
      <w:r>
        <w:rPr>
          <w:rFonts w:ascii="Arial" w:cs="Arial" w:eastAsia="Arial" w:hAnsi="Arial"/>
          <w:sz w:val="18"/>
          <w:szCs w:val="18"/>
          <w:color w:val="auto"/>
        </w:rPr>
        <w:t>, and Web-Sync</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are trademarks of Daktronics, Inc. All other trademarks referenced are the intellectual property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July 12, 2023.</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DAKTRONICS, INC.</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By: /s/ Reece A. Kurtenbach</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Executive Officer)</w:t>
      </w:r>
    </w:p>
    <w:p>
      <w:pPr>
        <w:spacing w:after="0" w:line="320"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By: /s/ Sheila M. Anderson</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gridSpan w:val="8"/>
          </w:tcPr>
          <w:p>
            <w:pPr>
              <w:spacing w:after="0"/>
              <w:rPr>
                <w:sz w:val="20"/>
                <w:szCs w:val="20"/>
                <w:color w:val="auto"/>
              </w:rPr>
            </w:pPr>
            <w:r>
              <w:rPr>
                <w:rFonts w:ascii="Arial" w:cs="Arial" w:eastAsia="Arial" w:hAnsi="Arial"/>
                <w:sz w:val="18"/>
                <w:szCs w:val="18"/>
                <w:b w:val="1"/>
                <w:bCs w:val="1"/>
                <w:color w:val="auto"/>
              </w:rPr>
              <w:t>Signature</w:t>
            </w:r>
          </w:p>
        </w:tc>
        <w:tc>
          <w:tcPr>
            <w:tcW w:w="3420" w:type="dxa"/>
            <w:vAlign w:val="bottom"/>
          </w:tcPr>
          <w:p>
            <w:pPr>
              <w:ind w:left="1540"/>
              <w:spacing w:after="0"/>
              <w:rPr>
                <w:sz w:val="20"/>
                <w:szCs w:val="20"/>
                <w:color w:val="auto"/>
              </w:rPr>
            </w:pPr>
            <w:r>
              <w:rPr>
                <w:rFonts w:ascii="Arial" w:cs="Arial" w:eastAsia="Arial" w:hAnsi="Arial"/>
                <w:sz w:val="18"/>
                <w:szCs w:val="18"/>
                <w:b w:val="1"/>
                <w:bCs w:val="1"/>
                <w:color w:val="auto"/>
              </w:rPr>
              <w:t>Title</w:t>
            </w:r>
          </w:p>
        </w:tc>
        <w:tc>
          <w:tcPr>
            <w:tcW w:w="2260" w:type="dxa"/>
            <w:vAlign w:val="bottom"/>
          </w:tcPr>
          <w:p>
            <w:pPr>
              <w:ind w:left="1280"/>
              <w:spacing w:after="0"/>
              <w:rPr>
                <w:sz w:val="20"/>
                <w:szCs w:val="20"/>
                <w:color w:val="auto"/>
              </w:rPr>
            </w:pPr>
            <w:r>
              <w:rPr>
                <w:rFonts w:ascii="Arial" w:cs="Arial" w:eastAsia="Arial" w:hAnsi="Arial"/>
                <w:sz w:val="18"/>
                <w:szCs w:val="18"/>
                <w:b w:val="1"/>
                <w:bCs w:val="1"/>
                <w:color w:val="auto"/>
              </w:rPr>
              <w:t>Date</w:t>
            </w:r>
          </w:p>
        </w:tc>
      </w:tr>
      <w:tr>
        <w:trPr>
          <w:trHeight w:val="486"/>
        </w:trPr>
        <w:tc>
          <w:tcPr>
            <w:tcW w:w="3860" w:type="dxa"/>
            <w:vAlign w:val="bottom"/>
            <w:gridSpan w:val="8"/>
          </w:tcPr>
          <w:p>
            <w:pPr>
              <w:spacing w:after="0"/>
              <w:rPr>
                <w:sz w:val="20"/>
                <w:szCs w:val="20"/>
                <w:color w:val="auto"/>
              </w:rPr>
            </w:pPr>
            <w:r>
              <w:rPr>
                <w:rFonts w:ascii="Arial" w:cs="Arial" w:eastAsia="Arial" w:hAnsi="Arial"/>
                <w:sz w:val="18"/>
                <w:szCs w:val="18"/>
                <w:color w:val="auto"/>
              </w:rPr>
              <w:t>By /s/ Shereta D. Williams</w:t>
            </w: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0"/>
        </w:trPr>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Shereta D. Williams</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99"/>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By /s/ Lance D. Bultena</w:t>
            </w:r>
          </w:p>
        </w:tc>
        <w:tc>
          <w:tcPr>
            <w:tcW w:w="2120" w:type="dxa"/>
            <w:vAlign w:val="bottom"/>
            <w:gridSpan w:val="5"/>
          </w:tcPr>
          <w:p>
            <w:pPr>
              <w:spacing w:after="0"/>
              <w:rPr>
                <w:sz w:val="24"/>
                <w:szCs w:val="24"/>
                <w:color w:val="auto"/>
              </w:rPr>
            </w:pP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77"/>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Lance D. Bultena</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3860" w:type="dxa"/>
            <w:vAlign w:val="bottom"/>
            <w:gridSpan w:val="8"/>
          </w:tcPr>
          <w:p>
            <w:pPr>
              <w:spacing w:after="0"/>
              <w:rPr>
                <w:sz w:val="20"/>
                <w:szCs w:val="20"/>
                <w:color w:val="auto"/>
              </w:rPr>
            </w:pPr>
            <w:r>
              <w:rPr>
                <w:rFonts w:ascii="Arial" w:cs="Arial" w:eastAsia="Arial" w:hAnsi="Arial"/>
                <w:sz w:val="18"/>
                <w:szCs w:val="18"/>
                <w:color w:val="auto"/>
              </w:rPr>
              <w:t>By /s/ Dr. José-Marie Griffiths</w:t>
            </w: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0"/>
        </w:trPr>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Dr. José-Marie Griffiths</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3860" w:type="dxa"/>
            <w:vAlign w:val="bottom"/>
            <w:gridSpan w:val="8"/>
          </w:tcPr>
          <w:p>
            <w:pPr>
              <w:spacing w:after="0"/>
              <w:rPr>
                <w:sz w:val="20"/>
                <w:szCs w:val="20"/>
                <w:color w:val="auto"/>
              </w:rPr>
            </w:pPr>
            <w:r>
              <w:rPr>
                <w:rFonts w:ascii="Arial" w:cs="Arial" w:eastAsia="Arial" w:hAnsi="Arial"/>
                <w:sz w:val="18"/>
                <w:szCs w:val="18"/>
                <w:color w:val="auto"/>
              </w:rPr>
              <w:t>By /s/ Reece A. Kurtenbach</w:t>
            </w: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0"/>
        </w:trPr>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Reece A. Kurtenbach</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99"/>
        </w:trPr>
        <w:tc>
          <w:tcPr>
            <w:tcW w:w="3860" w:type="dxa"/>
            <w:vAlign w:val="bottom"/>
            <w:gridSpan w:val="8"/>
          </w:tcPr>
          <w:p>
            <w:pPr>
              <w:spacing w:after="0"/>
              <w:rPr>
                <w:sz w:val="20"/>
                <w:szCs w:val="20"/>
                <w:color w:val="auto"/>
              </w:rPr>
            </w:pPr>
            <w:r>
              <w:rPr>
                <w:rFonts w:ascii="Arial" w:cs="Arial" w:eastAsia="Arial" w:hAnsi="Arial"/>
                <w:sz w:val="18"/>
                <w:szCs w:val="18"/>
                <w:color w:val="auto"/>
              </w:rPr>
              <w:t>By /s/ Andrew D. Siegel</w:t>
            </w: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0"/>
        </w:trPr>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Andrew D. Siegel</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By /s/ John P. Friel</w:t>
            </w:r>
          </w:p>
        </w:tc>
        <w:tc>
          <w:tcPr>
            <w:tcW w:w="2480" w:type="dxa"/>
            <w:vAlign w:val="bottom"/>
            <w:gridSpan w:val="7"/>
          </w:tcPr>
          <w:p>
            <w:pPr>
              <w:spacing w:after="0"/>
              <w:rPr>
                <w:sz w:val="24"/>
                <w:szCs w:val="24"/>
                <w:color w:val="auto"/>
              </w:rPr>
            </w:pP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77"/>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John P. Friel</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By /s/ Kevin P. McDermott</w:t>
            </w:r>
          </w:p>
        </w:tc>
        <w:tc>
          <w:tcPr>
            <w:tcW w:w="1860" w:type="dxa"/>
            <w:vAlign w:val="bottom"/>
            <w:gridSpan w:val="2"/>
          </w:tcPr>
          <w:p>
            <w:pPr>
              <w:spacing w:after="0"/>
              <w:rPr>
                <w:sz w:val="24"/>
                <w:szCs w:val="24"/>
                <w:color w:val="auto"/>
              </w:rPr>
            </w:pP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90"/>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Kevin P. McDermott</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3860" w:type="dxa"/>
            <w:vAlign w:val="bottom"/>
            <w:gridSpan w:val="8"/>
          </w:tcPr>
          <w:p>
            <w:pPr>
              <w:spacing w:after="0"/>
              <w:rPr>
                <w:sz w:val="20"/>
                <w:szCs w:val="20"/>
                <w:color w:val="auto"/>
              </w:rPr>
            </w:pPr>
            <w:r>
              <w:rPr>
                <w:rFonts w:ascii="Arial" w:cs="Arial" w:eastAsia="Arial" w:hAnsi="Arial"/>
                <w:sz w:val="18"/>
                <w:szCs w:val="18"/>
                <w:color w:val="auto"/>
              </w:rPr>
              <w:t>By /s/ Howard I. Atkins</w:t>
            </w:r>
          </w:p>
        </w:tc>
        <w:tc>
          <w:tcPr>
            <w:tcW w:w="3420" w:type="dxa"/>
            <w:vAlign w:val="bottom"/>
          </w:tcPr>
          <w:p>
            <w:pPr>
              <w:ind w:left="15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80"/>
              <w:spacing w:after="0"/>
              <w:rPr>
                <w:sz w:val="20"/>
                <w:szCs w:val="20"/>
                <w:color w:val="auto"/>
              </w:rPr>
            </w:pPr>
            <w:r>
              <w:rPr>
                <w:rFonts w:ascii="Arial" w:cs="Arial" w:eastAsia="Arial" w:hAnsi="Arial"/>
                <w:sz w:val="18"/>
                <w:szCs w:val="18"/>
                <w:color w:val="auto"/>
                <w:w w:val="89"/>
              </w:rPr>
              <w:t>July 12, 2023</w:t>
            </w:r>
          </w:p>
        </w:tc>
      </w:tr>
      <w:tr>
        <w:trPr>
          <w:trHeight w:val="20"/>
        </w:trPr>
        <w:tc>
          <w:tcPr>
            <w:tcW w:w="1720" w:type="dxa"/>
            <w:vAlign w:val="bottom"/>
            <w:gridSpan w:val="2"/>
            <w:shd w:val="clear" w:color="auto" w:fill="000000"/>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3860" w:type="dxa"/>
            <w:vAlign w:val="bottom"/>
            <w:gridSpan w:val="8"/>
          </w:tcPr>
          <w:p>
            <w:pPr>
              <w:ind w:left="600"/>
              <w:spacing w:after="0"/>
              <w:rPr>
                <w:sz w:val="20"/>
                <w:szCs w:val="20"/>
                <w:color w:val="auto"/>
              </w:rPr>
            </w:pPr>
            <w:r>
              <w:rPr>
                <w:rFonts w:ascii="Arial" w:cs="Arial" w:eastAsia="Arial" w:hAnsi="Arial"/>
                <w:sz w:val="18"/>
                <w:szCs w:val="18"/>
                <w:color w:val="auto"/>
              </w:rPr>
              <w:t>Howard I. Atkins</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918"/>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20" w:type="dxa"/>
            <w:vAlign w:val="bottom"/>
          </w:tcPr>
          <w:p>
            <w:pPr>
              <w:ind w:left="1600"/>
              <w:spacing w:after="0"/>
              <w:rPr>
                <w:sz w:val="20"/>
                <w:szCs w:val="20"/>
                <w:color w:val="auto"/>
              </w:rPr>
            </w:pPr>
            <w:r>
              <w:rPr>
                <w:rFonts w:ascii="Arial" w:cs="Arial" w:eastAsia="Arial" w:hAnsi="Arial"/>
                <w:sz w:val="18"/>
                <w:szCs w:val="18"/>
                <w:color w:val="auto"/>
              </w:rPr>
              <w:t>104</w:t>
            </w:r>
          </w:p>
        </w:tc>
        <w:tc>
          <w:tcPr>
            <w:tcW w:w="22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07" w:name="page108"/>
    <w:bookmarkEnd w:id="107"/>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4.11</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DAKTRONICS, INC.</w:t>
      </w:r>
    </w:p>
    <w:p>
      <w:pPr>
        <w:ind w:left="4280"/>
        <w:spacing w:after="0" w:line="205" w:lineRule="auto"/>
        <w:rPr>
          <w:sz w:val="20"/>
          <w:szCs w:val="20"/>
          <w:color w:val="auto"/>
        </w:rPr>
      </w:pPr>
      <w:r>
        <w:rPr>
          <w:rFonts w:ascii="Arial" w:cs="Arial" w:eastAsia="Arial" w:hAnsi="Arial"/>
          <w:sz w:val="18"/>
          <w:szCs w:val="18"/>
          <w:b w:val="1"/>
          <w:bCs w:val="1"/>
          <w:color w:val="auto"/>
        </w:rPr>
        <w:t>DESCRIPTION OF SECURITIES</w:t>
      </w:r>
    </w:p>
    <w:p>
      <w:pPr>
        <w:jc w:val="center"/>
        <w:spacing w:after="0" w:line="204"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i w:val="1"/>
          <w:iCs w:val="1"/>
          <w:color w:val="auto"/>
        </w:rPr>
        <w:t>The following is a summary of the terms of the common stock, no par value (the “Common Stock”), of Daktronics, Inc. (the “Company,” “we,” “us,” or “our”); the Company’s Series A Junior Participating Preferred Stock, no par value (the “Series A Preferred Stock”); and rights (the “Rights”) to purchase specified fractions of the Series A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summary is subject to, and qualified in its entirety by reference to, our Amended and Restated Articles of Incorporation (the “Articles”) (incorporated</w:t>
      </w:r>
    </w:p>
    <w:p>
      <w:pPr>
        <w:spacing w:after="0" w:line="184" w:lineRule="exact"/>
        <w:rPr>
          <w:sz w:val="20"/>
          <w:szCs w:val="20"/>
          <w:color w:val="auto"/>
        </w:rPr>
      </w:pPr>
      <w:r>
        <w:rPr>
          <w:rFonts w:ascii="Arial" w:cs="Arial" w:eastAsia="Arial" w:hAnsi="Arial"/>
          <w:sz w:val="16"/>
          <w:szCs w:val="16"/>
          <w:i w:val="1"/>
          <w:iCs w:val="1"/>
          <w:color w:val="auto"/>
        </w:rPr>
        <w:t>by reference to Exhibit 3.1 to our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Q/A (Amendment No. 1) filed on December 21, 2018); our Amended and Restated Bylaws</w:t>
      </w:r>
    </w:p>
    <w:p>
      <w:pPr>
        <w:spacing w:after="0" w:line="184" w:lineRule="exact"/>
        <w:rPr>
          <w:sz w:val="20"/>
          <w:szCs w:val="20"/>
          <w:color w:val="auto"/>
        </w:rPr>
      </w:pPr>
      <w:r>
        <w:rPr>
          <w:rFonts w:ascii="Arial" w:cs="Arial" w:eastAsia="Arial" w:hAnsi="Arial"/>
          <w:sz w:val="16"/>
          <w:szCs w:val="16"/>
          <w:i w:val="1"/>
          <w:iCs w:val="1"/>
          <w:color w:val="auto"/>
        </w:rPr>
        <w:t>(the “Bylaws”) (incorporated by reference to Exhibit 3.1 to our Current Report on Form 8</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filed on January 30, 2023); the Rights Agreement dated as of</w:t>
      </w:r>
    </w:p>
    <w:p>
      <w:pPr>
        <w:spacing w:after="0" w:line="5" w:lineRule="exact"/>
        <w:rPr>
          <w:sz w:val="20"/>
          <w:szCs w:val="20"/>
          <w:color w:val="auto"/>
        </w:rPr>
      </w:pPr>
    </w:p>
    <w:p>
      <w:pPr>
        <w:spacing w:after="0" w:line="180" w:lineRule="exact"/>
        <w:rPr>
          <w:sz w:val="20"/>
          <w:szCs w:val="20"/>
          <w:color w:val="auto"/>
        </w:rPr>
      </w:pPr>
      <w:r>
        <w:rPr>
          <w:rFonts w:ascii="Arial" w:cs="Arial" w:eastAsia="Arial" w:hAnsi="Arial"/>
          <w:sz w:val="16"/>
          <w:szCs w:val="16"/>
          <w:i w:val="1"/>
          <w:iCs w:val="1"/>
          <w:color w:val="auto"/>
        </w:rPr>
        <w:t>November 16, 2018 (the “Original Rights Agreement”) between the Company and Equiniti Trust Company, as Rights Agent (incorporated by reference to Exhibit 4.1 to our Current Report on Form 8</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filed on November 16, 2018); and the First Amendment to Rights Agreement dated as of November 19, 2021 (the “First Amendment”) between the Company and Equiniti Trust Company, as Rights Agent (incorporated by reference to Exhibit 4.2 to our Form 8-A/A</w:t>
      </w:r>
    </w:p>
    <w:p>
      <w:pPr>
        <w:spacing w:after="0" w:line="2" w:lineRule="exact"/>
        <w:rPr>
          <w:sz w:val="20"/>
          <w:szCs w:val="20"/>
          <w:color w:val="auto"/>
        </w:rPr>
      </w:pPr>
    </w:p>
    <w:p>
      <w:pPr>
        <w:spacing w:after="0" w:line="180" w:lineRule="exact"/>
        <w:rPr>
          <w:sz w:val="20"/>
          <w:szCs w:val="20"/>
          <w:color w:val="auto"/>
        </w:rPr>
      </w:pPr>
      <w:r>
        <w:rPr>
          <w:rFonts w:ascii="Arial" w:cs="Arial" w:eastAsia="Arial" w:hAnsi="Arial"/>
          <w:sz w:val="16"/>
          <w:szCs w:val="16"/>
          <w:i w:val="1"/>
          <w:iCs w:val="1"/>
          <w:color w:val="auto"/>
        </w:rPr>
        <w:t>(Amendment No. 1) filed on November 19, 2021). (The Original Rights Agreement, as amended by the First Amendment, is referred to herein as the “Rights Agreement.”) We encourage you to carefully read the Articles, Bylaws, Rights Agreement, First Amendment, and applicable portions of the South Dakota Codified Laws (the “SDCL”), including the South Dakota Business Corporation Act (the “SDBCA”), Chapter 47</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1A of the SDCL, and the Domestic Public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Corporation Takeover Act, SDCL Chapter 47-33 (the “Takeover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we were authorized to issue up to 120,000,000 shares of stock, each without par value, consisting of 115,000,000 shares of Common</w:t>
      </w:r>
    </w:p>
    <w:p>
      <w:pPr>
        <w:spacing w:after="0" w:line="21"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Stock and 4,950,000 shares of undesignated stock. Our Board of Directors (the “Board”) has the power to authorize and issue any or all of the shares of undesignated stock without shareholder approval, including the authority to establish the rights and preferences of the undesignated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As of June 30, 2023, we had 45,703,283 shares of Common Stock outstanding, including 136,869 shares of Common Stock subject to issued and outstanding restricted stock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All shares of Common Stock are voting shares, and each share is entitled to one vote. The Common Stock has cumulative voting rights for the election of directors. All director elections are decided by a plurality of the shares entitled to vote on the election of directors. Except as otherwise provided by applicable law, our Articles, or our Bylaws, every matter other than the election of directors is decided by the affirmative vote of a majority of the votes cast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shareholders present in person or by proxy at the meeting and entitled to vote on such matter.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Members of the Board are divided into three classes and serve staggered three</w:t>
      </w:r>
      <w:r>
        <w:rPr>
          <w:rFonts w:ascii="MS PGothic" w:cs="MS PGothic" w:eastAsia="MS PGothic" w:hAnsi="MS PGothic"/>
          <w:sz w:val="16"/>
          <w:szCs w:val="16"/>
          <w:color w:val="auto"/>
        </w:rPr>
        <w:t>‑</w:t>
      </w:r>
      <w:r>
        <w:rPr>
          <w:rFonts w:ascii="Arial" w:cs="Arial" w:eastAsia="Arial" w:hAnsi="Arial"/>
          <w:sz w:val="16"/>
          <w:szCs w:val="16"/>
          <w:color w:val="auto"/>
        </w:rPr>
        <w:t>year terms. Under the Bylaws, directors can be removed from office, with or</w:t>
      </w:r>
    </w:p>
    <w:p>
      <w:pPr>
        <w:spacing w:after="0" w:line="2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without cause, by the affirmative vote of a majority of the shareholders entitled to vote at a special meeting called for that purpose, and the shareholders may also elect his/her successor.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8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Holders of our shares of Common Stock are entitled to receive dividends declared by the Board out of funds legally available for the payment of dividends under South Dakota law, subject to the rights, if any, of holders of our preferred stock.</w:t>
      </w:r>
    </w:p>
    <w:p>
      <w:pPr>
        <w:sectPr>
          <w:pgSz w:w="11900" w:h="16838" w:orient="portrait"/>
          <w:cols w:equalWidth="0" w:num="1">
            <w:col w:w="11240"/>
          </w:cols>
          <w:pgMar w:left="320" w:top="14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Liquidation Rights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Upon any liquidation, dissolution or winding up of the Company, voluntary or otherwise, each share of Common Stock is entitled to participate pro rata in</w:t>
      </w:r>
    </w:p>
    <w:p>
      <w:pPr>
        <w:spacing w:after="0" w:line="2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all assets available for distribution after the payment of all liabilities and provision for the liquidation preference of any shares of preferred stock then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19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holders of our Common Stock have no preemptive rights and no rights to convert their Common Stock into any other securities. There are also no redemption or sinking fund provisions applicable to our Common Stock.</w:t>
      </w:r>
    </w:p>
    <w:p>
      <w:pPr>
        <w:spacing w:after="0" w:line="162" w:lineRule="exact"/>
        <w:rPr>
          <w:sz w:val="20"/>
          <w:szCs w:val="20"/>
          <w:color w:val="auto"/>
        </w:rPr>
      </w:pPr>
    </w:p>
    <w:p>
      <w:pPr>
        <w:ind w:right="40"/>
        <w:spacing w:after="0" w:line="210" w:lineRule="exact"/>
        <w:rPr>
          <w:sz w:val="20"/>
          <w:szCs w:val="20"/>
          <w:color w:val="auto"/>
        </w:rPr>
      </w:pPr>
      <w:r>
        <w:rPr>
          <w:rFonts w:ascii="Arial" w:cs="Arial" w:eastAsia="Arial" w:hAnsi="Arial"/>
          <w:sz w:val="18"/>
          <w:szCs w:val="18"/>
          <w:color w:val="auto"/>
        </w:rPr>
        <w:t>All outstanding shares of Common Stock are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In addition, see “Anti</w:t>
      </w:r>
      <w:r>
        <w:rPr>
          <w:rFonts w:ascii="MS PGothic" w:cs="MS PGothic" w:eastAsia="MS PGothic" w:hAnsi="MS PGothic"/>
          <w:sz w:val="18"/>
          <w:szCs w:val="18"/>
          <w:color w:val="auto"/>
        </w:rPr>
        <w:t>‑</w:t>
      </w:r>
      <w:r>
        <w:rPr>
          <w:rFonts w:ascii="Arial" w:cs="Arial" w:eastAsia="Arial" w:hAnsi="Arial"/>
          <w:sz w:val="18"/>
          <w:szCs w:val="18"/>
          <w:color w:val="auto"/>
        </w:rPr>
        <w:t>Takeover Effects of Provisions of the Rights Agreement, Our Articles and Bylaws and South Dakota Law”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Transfer Agent, and Registrar</w:t>
      </w:r>
    </w:p>
    <w:p>
      <w:pPr>
        <w:spacing w:after="0" w:line="18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Our Common Stock is listed on the Nasdaq Global Select Market under the trading symbol “DAKT.” The transfer agent and registrar for our Common Stock is EQ Shareowner Services (Equiniti Trust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Board has the authority, without further action by our shareholders, to issue up to 5,000,000 shares of undesignated preferred stock, no par value, in</w:t>
      </w:r>
    </w:p>
    <w:p>
      <w:pPr>
        <w:spacing w:after="0" w:line="2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one or more classes or series and to fix the rights, preferences, privileges and restrictions of the preferred stock. These rights, preferences, and privileges could include dividend rights, conversion rights, voting rights, terms of redemption, liquidation preferences, sinking fund terms, and the number of shares constituting, or the designation of, such class or series, any or all of which may be greater than the rights of Common Stock. The issuance of our preferred</w:t>
      </w:r>
    </w:p>
    <w:p>
      <w:pPr>
        <w:spacing w:after="0" w:line="2"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stock could adversely affect the voting power of holders of Common Stock and the likelihood that such holders will receive dividend payments and payments upon our liquidation. In addition, the issuance of shares of preferred stock could have the effect of delaying, deferring or preventing a change in control of our Company or other corporate action.</w:t>
      </w:r>
    </w:p>
    <w:p>
      <w:pPr>
        <w:spacing w:after="0" w:line="17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Effective on November 19, 2018, the Board adopted Articles of Amendment to our Articles setting forth the rights, powers and preferences of our Series A Preferred Stock, as described below. In addition, we have issued Rights to purchase specified fractions of Series A Preferred Stock. For more information about the Rights, see “Rights to Purchase Series A Preferred Stock” below.</w:t>
      </w:r>
    </w:p>
    <w:p>
      <w:pPr>
        <w:spacing w:after="0" w:line="176" w:lineRule="exact"/>
        <w:rPr>
          <w:sz w:val="20"/>
          <w:szCs w:val="20"/>
          <w:color w:val="auto"/>
        </w:rPr>
      </w:pPr>
    </w:p>
    <w:p>
      <w:pPr>
        <w:ind w:right="1420"/>
        <w:spacing w:after="0" w:line="311" w:lineRule="exact"/>
        <w:rPr>
          <w:sz w:val="20"/>
          <w:szCs w:val="20"/>
          <w:color w:val="auto"/>
        </w:rPr>
      </w:pPr>
      <w:r>
        <w:rPr>
          <w:rFonts w:ascii="Arial" w:cs="Arial" w:eastAsia="Arial" w:hAnsi="Arial"/>
          <w:sz w:val="18"/>
          <w:szCs w:val="18"/>
          <w:color w:val="auto"/>
        </w:rPr>
        <w:t>In addition, see “Anti</w:t>
      </w:r>
      <w:r>
        <w:rPr>
          <w:rFonts w:ascii="MS PGothic" w:cs="MS PGothic" w:eastAsia="MS PGothic" w:hAnsi="MS PGothic"/>
          <w:sz w:val="18"/>
          <w:szCs w:val="18"/>
          <w:color w:val="auto"/>
        </w:rPr>
        <w:t>‑</w:t>
      </w:r>
      <w:r>
        <w:rPr>
          <w:rFonts w:ascii="Arial" w:cs="Arial" w:eastAsia="Arial" w:hAnsi="Arial"/>
          <w:sz w:val="18"/>
          <w:szCs w:val="18"/>
          <w:color w:val="auto"/>
        </w:rPr>
        <w:t xml:space="preserve">Takeover Effects of Provisions of the Rights Agreement, Our Articles and Bylaws and South Dakota Law” below. </w:t>
      </w:r>
      <w:r>
        <w:rPr>
          <w:rFonts w:ascii="Arial" w:cs="Arial" w:eastAsia="Arial" w:hAnsi="Arial"/>
          <w:sz w:val="18"/>
          <w:szCs w:val="18"/>
          <w:i w:val="1"/>
          <w:iCs w:val="1"/>
          <w:color w:val="auto"/>
        </w:rPr>
        <w:t>Series A Preferred Stock</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8"/>
          <w:szCs w:val="18"/>
          <w:u w:val="single" w:color="auto"/>
          <w:color w:val="auto"/>
        </w:rPr>
        <w:t>Amount</w:t>
      </w:r>
      <w:r>
        <w:rPr>
          <w:rFonts w:ascii="Arial" w:cs="Arial" w:eastAsia="Arial" w:hAnsi="Arial"/>
          <w:sz w:val="18"/>
          <w:szCs w:val="18"/>
          <w:color w:val="auto"/>
        </w:rPr>
        <w:t>. Under our Articles, we may issue 50,000 shares of Series A Preferred Stock. As of June 30, 2023, there were no shares of Series A Preferred Stock outstanding.</w:t>
      </w:r>
    </w:p>
    <w:p>
      <w:pPr>
        <w:spacing w:after="0" w:line="15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A Preferred Stock will rank, with respect to the payment of dividends and the distribution of assets, junior to all series of any other class of the Company’s preferred stock and senior to the Common Stock as to such matters.</w:t>
      </w:r>
    </w:p>
    <w:p>
      <w:pPr>
        <w:spacing w:after="0" w:line="175" w:lineRule="exact"/>
        <w:rPr>
          <w:sz w:val="20"/>
          <w:szCs w:val="20"/>
          <w:color w:val="auto"/>
        </w:rPr>
      </w:pPr>
    </w:p>
    <w:p>
      <w:pPr>
        <w:jc w:val="both"/>
        <w:ind w:right="120"/>
        <w:spacing w:after="0" w:line="241" w:lineRule="auto"/>
        <w:rPr>
          <w:sz w:val="20"/>
          <w:szCs w:val="20"/>
          <w:color w:val="auto"/>
        </w:rPr>
      </w:pPr>
      <w:r>
        <w:rPr>
          <w:rFonts w:ascii="Arial" w:cs="Arial" w:eastAsia="Arial" w:hAnsi="Arial"/>
          <w:sz w:val="16"/>
          <w:szCs w:val="16"/>
          <w:u w:val="single" w:color="auto"/>
          <w:color w:val="auto"/>
        </w:rPr>
        <w:t>Dividends and Distributions; Adjustment</w:t>
      </w:r>
      <w:r>
        <w:rPr>
          <w:rFonts w:ascii="Arial" w:cs="Arial" w:eastAsia="Arial" w:hAnsi="Arial"/>
          <w:sz w:val="16"/>
          <w:szCs w:val="16"/>
          <w:color w:val="auto"/>
        </w:rPr>
        <w:t>. Subject to the rights of the holders of any shares of any other series of our preferred stock (or any similar stock) ranking prior and superior to the Series A Preferred Stock with respect to dividends, the holders of shares of Series A Preferred Stock, in preference to the holders of Common Stock and of any other junior stock of the Company, will be entitled to receive, when, as and if declared by the Board out of funds</w:t>
      </w:r>
    </w:p>
    <w:p>
      <w:pPr>
        <w:spacing w:after="0" w:line="2" w:lineRule="exact"/>
        <w:rPr>
          <w:sz w:val="20"/>
          <w:szCs w:val="20"/>
          <w:color w:val="auto"/>
        </w:rPr>
      </w:pPr>
    </w:p>
    <w:p>
      <w:pPr>
        <w:ind w:right="140"/>
        <w:spacing w:after="0" w:line="233" w:lineRule="auto"/>
        <w:rPr>
          <w:sz w:val="20"/>
          <w:szCs w:val="20"/>
          <w:color w:val="auto"/>
        </w:rPr>
      </w:pPr>
      <w:r>
        <w:rPr>
          <w:rFonts w:ascii="Arial" w:cs="Arial" w:eastAsia="Arial" w:hAnsi="Arial"/>
          <w:sz w:val="16"/>
          <w:szCs w:val="16"/>
          <w:color w:val="auto"/>
        </w:rPr>
        <w:t>legally available for that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(1) $1.00 or (2) subject to the provision for adjustment described below, 1,000 times the aggregate per share amount of all cash dividends, and 1,000 times the aggregate</w:t>
      </w:r>
    </w:p>
    <w:p>
      <w:pPr>
        <w:spacing w:after="0" w:line="1" w:lineRule="exact"/>
        <w:rPr>
          <w:sz w:val="20"/>
          <w:szCs w:val="20"/>
          <w:color w:val="auto"/>
        </w:rPr>
      </w:pPr>
    </w:p>
    <w:p>
      <w:pPr>
        <w:ind w:right="20"/>
        <w:spacing w:after="0" w:line="180" w:lineRule="exact"/>
        <w:rPr>
          <w:sz w:val="20"/>
          <w:szCs w:val="20"/>
          <w:color w:val="auto"/>
        </w:rPr>
      </w:pPr>
      <w:r>
        <w:rPr>
          <w:rFonts w:ascii="Arial" w:cs="Arial" w:eastAsia="Arial" w:hAnsi="Arial"/>
          <w:sz w:val="16"/>
          <w:szCs w:val="16"/>
          <w:color w:val="auto"/>
        </w:rPr>
        <w:t>per share amount (payable in kind) of all non</w:t>
      </w:r>
      <w:r>
        <w:rPr>
          <w:rFonts w:ascii="MS PGothic" w:cs="MS PGothic" w:eastAsia="MS PGothic" w:hAnsi="MS PGothic"/>
          <w:sz w:val="16"/>
          <w:szCs w:val="16"/>
          <w:color w:val="auto"/>
        </w:rPr>
        <w:t>‑</w:t>
      </w:r>
      <w:r>
        <w:rPr>
          <w:rFonts w:ascii="Arial" w:cs="Arial" w:eastAsia="Arial" w:hAnsi="Arial"/>
          <w:sz w:val="16"/>
          <w:szCs w:val="16"/>
          <w:color w:val="auto"/>
        </w:rPr>
        <w:t>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Series A Preferred Stock. If the Company at any time declares or pays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08" w:right="359" w:bottom="1440" w:gutter="0" w:footer="0" w:header="0"/>
        </w:sectPr>
      </w:pPr>
    </w:p>
    <w:bookmarkStart w:id="109" w:name="page110"/>
    <w:bookmarkEnd w:id="109"/>
    <w:p>
      <w:pPr>
        <w:ind w:right="20"/>
        <w:spacing w:after="0" w:line="248" w:lineRule="auto"/>
        <w:rPr>
          <w:sz w:val="20"/>
          <w:szCs w:val="20"/>
          <w:color w:val="auto"/>
        </w:rPr>
      </w:pPr>
      <w:r>
        <w:rPr>
          <w:rFonts w:ascii="Arial" w:cs="Arial" w:eastAsia="Arial" w:hAnsi="Arial"/>
          <w:sz w:val="16"/>
          <w:szCs w:val="16"/>
          <w:color w:val="auto"/>
        </w:rPr>
        <w:t>any dividend on the Common Stock payable in shares of Common Stock, or effects a subdivision or combination or consolidation of the outstanding shares of Common Stock (by reclassification or otherwise than by payment of a dividend in shares of Common Stock) into a greater or lesser number of shares of</w:t>
      </w:r>
    </w:p>
    <w:p>
      <w:pPr>
        <w:jc w:val="both"/>
        <w:ind w:right="280"/>
        <w:spacing w:after="0" w:line="234" w:lineRule="auto"/>
        <w:rPr>
          <w:sz w:val="20"/>
          <w:szCs w:val="20"/>
          <w:color w:val="auto"/>
        </w:rPr>
      </w:pPr>
      <w:r>
        <w:rPr>
          <w:rFonts w:ascii="Arial" w:cs="Arial" w:eastAsia="Arial" w:hAnsi="Arial"/>
          <w:sz w:val="16"/>
          <w:szCs w:val="16"/>
          <w:color w:val="auto"/>
        </w:rPr>
        <w:t>Common Stock, then, in each such case, the amount to which holders of shares of Series A Preferred Stock were entitled immediately before such event under clause (2) of the preceding sentence will be adjusted by multiplying such amount by a fraction, the numerator of which is the number of shares of Common Stock outstanding immediately after such event and the denominator of which is the number of shares of Common Stock outstanding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immediately before such event.</w:t>
      </w:r>
    </w:p>
    <w:p>
      <w:pPr>
        <w:spacing w:after="0" w:line="169" w:lineRule="exact"/>
        <w:rPr>
          <w:sz w:val="20"/>
          <w:szCs w:val="20"/>
          <w:color w:val="auto"/>
        </w:rPr>
      </w:pPr>
    </w:p>
    <w:p>
      <w:pPr>
        <w:ind w:right="460"/>
        <w:spacing w:after="0" w:line="248" w:lineRule="auto"/>
        <w:rPr>
          <w:sz w:val="20"/>
          <w:szCs w:val="20"/>
          <w:color w:val="auto"/>
        </w:rPr>
      </w:pPr>
      <w:r>
        <w:rPr>
          <w:rFonts w:ascii="Arial" w:cs="Arial" w:eastAsia="Arial" w:hAnsi="Arial"/>
          <w:sz w:val="16"/>
          <w:szCs w:val="16"/>
          <w:color w:val="auto"/>
        </w:rPr>
        <w:t>We will be required to declare a dividend or distribution on the Series A Preferred Stock as provided in the foregoing paragraph immediately after we declare a dividend or distribution on the Common Stock (other than dividends payable in shares of Common Stock); provided, that if no dividend or</w:t>
      </w:r>
    </w:p>
    <w:p>
      <w:pPr>
        <w:ind w:right="280"/>
        <w:spacing w:after="0" w:line="218" w:lineRule="auto"/>
        <w:rPr>
          <w:sz w:val="20"/>
          <w:szCs w:val="20"/>
          <w:color w:val="auto"/>
        </w:rPr>
      </w:pPr>
      <w:r>
        <w:rPr>
          <w:rFonts w:ascii="Arial" w:cs="Arial" w:eastAsia="Arial" w:hAnsi="Arial"/>
          <w:sz w:val="18"/>
          <w:szCs w:val="18"/>
          <w:color w:val="auto"/>
        </w:rPr>
        <w:t>distribution was declared on the Common Stock during the period between any Quarterly Dividend Payment Date and the next subsequent Quarterly Dividend Payment Date, a dividend of $1.00 per share on the Series A Preferred Stock will be payable on such subsequent Quarterly Dividend Payment Date.</w:t>
      </w:r>
    </w:p>
    <w:p>
      <w:pPr>
        <w:spacing w:after="0" w:line="176"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Dividends will begin to accrue and be cumulative on outstanding shares of Series A Preferred Stock from the Quarterly Dividend Payment Date next preceding the date of issue of such shares, unless the date of issue of such shares is before the record date for the first Quarterly Dividend Payment Date, in which case dividends on such shares will begin to accrue from the date of issue of such shares, or unless the date of issue is a Quarterly Dividend Payment</w:t>
      </w:r>
    </w:p>
    <w:p>
      <w:pPr>
        <w:spacing w:after="0" w:line="2"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Date or is a date after the record date for the determination of holders of shares of Series A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Preferred Stock in an amount less</w:t>
      </w:r>
    </w:p>
    <w:p>
      <w:pPr>
        <w:spacing w:after="0" w:line="2" w:lineRule="exact"/>
        <w:rPr>
          <w:sz w:val="20"/>
          <w:szCs w:val="20"/>
          <w:color w:val="auto"/>
        </w:rPr>
      </w:pPr>
    </w:p>
    <w:p>
      <w:pPr>
        <w:ind w:right="140"/>
        <w:spacing w:after="0" w:line="180" w:lineRule="exact"/>
        <w:rPr>
          <w:sz w:val="20"/>
          <w:szCs w:val="20"/>
          <w:color w:val="auto"/>
        </w:rPr>
      </w:pPr>
      <w:r>
        <w:rPr>
          <w:rFonts w:ascii="Arial" w:cs="Arial" w:eastAsia="Arial" w:hAnsi="Arial"/>
          <w:sz w:val="16"/>
          <w:szCs w:val="16"/>
          <w:color w:val="auto"/>
        </w:rPr>
        <w:t>than the total amount of such dividends at the time accrued and payable on such shares will be allocated pro rata on a share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share basis among all such shares at the time outstanding. The Board may fix a record date for the determination of holders of shares of Series A Preferred Stock entitled to receive payments of a dividend or distribution declared on the shares of Series A Preferred Stock, which record date will be not more than 60 days before the 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fixed for the payment of the dividend or distribution.</w:t>
      </w:r>
    </w:p>
    <w:p>
      <w:pPr>
        <w:spacing w:after="0" w:line="16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u w:val="single" w:color="auto"/>
          <w:color w:val="auto"/>
        </w:rPr>
        <w:t>Voting Rights; Adjustment</w:t>
      </w:r>
      <w:r>
        <w:rPr>
          <w:rFonts w:ascii="Arial" w:cs="Arial" w:eastAsia="Arial" w:hAnsi="Arial"/>
          <w:sz w:val="16"/>
          <w:szCs w:val="16"/>
          <w:color w:val="auto"/>
        </w:rPr>
        <w:t>. Subject to the provision for adjustment set forth in the next sentence, each share of Series A Preferred Stock will entitle its holder to 1,000 votes on all matters submitted to a vote of the shareholders of the Company. If the Company declares or pays any dividend on the Common</w:t>
      </w:r>
    </w:p>
    <w:p>
      <w:pPr>
        <w:ind w:right="20"/>
        <w:spacing w:after="0" w:line="234" w:lineRule="auto"/>
        <w:rPr>
          <w:sz w:val="20"/>
          <w:szCs w:val="20"/>
          <w:color w:val="auto"/>
        </w:rPr>
      </w:pPr>
      <w:r>
        <w:rPr>
          <w:rFonts w:ascii="Arial" w:cs="Arial" w:eastAsia="Arial" w:hAnsi="Arial"/>
          <w:sz w:val="16"/>
          <w:szCs w:val="16"/>
          <w:color w:val="auto"/>
        </w:rPr>
        <w:t>Stock payable in shares of Common Stock, or effects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before such event will be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adjusted by multiplying such number by a fraction, the numerator of which is the number of shares of Common Stock outstanding immediately after such event and the denominator of which is the number of shares of Common Stock outstanding immediately before such event. Except as otherwise provided in the Articles, in any other articles of amendment creating a series of the Company’s preferred stock or any similar stock, or by law, the holders of shares of</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Series A Preferred Stock and the holders of shares of Common Stock and any other capital stock of the Company having general voting rights will vote together as one class on all matters submitted to a vote of shareholders of the Company. Except as set forth in the Articles, or as otherwise provided by law, holders of Series A Preferred Stock will have no special voting rights, and their consent shall not be required (except to the extent they are entitled to vote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holders of Common Stock as set forth in the Articles) for taking any corporate action.</w:t>
      </w:r>
    </w:p>
    <w:p>
      <w:pPr>
        <w:spacing w:after="0" w:line="169"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u w:val="single" w:color="auto"/>
          <w:color w:val="auto"/>
        </w:rPr>
        <w:t>Certain Restrictions on Dividends</w:t>
      </w:r>
      <w:r>
        <w:rPr>
          <w:rFonts w:ascii="Arial" w:cs="Arial" w:eastAsia="Arial" w:hAnsi="Arial"/>
          <w:sz w:val="16"/>
          <w:szCs w:val="16"/>
          <w:color w:val="auto"/>
        </w:rPr>
        <w:t>. Whenever quarterly dividends or other dividends or distributions payable on the Series A Preferred Stock as described above are in arrears, and until all accrued and unpaid dividends and distributions, whether or not declared, on shares of Series A Preferred Stock outstanding shall have been paid in full, the Company will be restricted in its ability to declare or pay dividends on, redeem, purchase or otherwise acquire</w:t>
      </w:r>
    </w:p>
    <w:p>
      <w:pPr>
        <w:spacing w:after="0" w:line="2"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for consideration, or make other distributions of shares of stock ranking junior to, or on parity with, the Series A Preferred Stock (subject to specified exceptions for stock ranking on a parity with the Series A Preferred Stock). In such event, the Company will also be restricted in its ability to purchase shares of Series A Preferred Stock or shares of capital stock of the Company ranking junior to, or on parity with, the Series A Preferred Stock, subject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certain exceptions.</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u w:val="single" w:color="auto"/>
          <w:color w:val="auto"/>
        </w:rPr>
        <w:t>Distribution Upon Liquidation of Dissolution</w:t>
      </w:r>
      <w:r>
        <w:rPr>
          <w:rFonts w:ascii="Arial" w:cs="Arial" w:eastAsia="Arial" w:hAnsi="Arial"/>
          <w:sz w:val="16"/>
          <w:szCs w:val="16"/>
          <w:color w:val="auto"/>
        </w:rPr>
        <w:t>. Upon any liquidation, dissolution or winding up of the Company, no distribution will be made (1) to the holders of shares of stock ranking junior (either as to dividends or upon liquidation, dissolution or winding up) to the Series A Preferred Stock unless, prior</w:t>
      </w:r>
    </w:p>
    <w:p>
      <w:pPr>
        <w:ind w:right="120"/>
        <w:spacing w:after="0" w:line="234" w:lineRule="auto"/>
        <w:rPr>
          <w:sz w:val="20"/>
          <w:szCs w:val="20"/>
          <w:color w:val="auto"/>
        </w:rPr>
      </w:pPr>
      <w:r>
        <w:rPr>
          <w:rFonts w:ascii="Arial" w:cs="Arial" w:eastAsia="Arial" w:hAnsi="Arial"/>
          <w:sz w:val="16"/>
          <w:szCs w:val="16"/>
          <w:color w:val="auto"/>
        </w:rPr>
        <w:t>thereto, the holders of shares of Series A Preferred Stock have received the greater of (a) $1,000 per share, plus an amount equal to accrued and unpaid dividends and distributions thereon, whether or not declared, to the date of such payment, and (b) an amount, subject to the provision for adjustment set forth below, equal to 1,000 times the aggregate amount to be distributed per share to holders of shares of Common Stock; or (2) to the holders of shares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 ranking on a parity (either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08" w:right="359" w:bottom="1440" w:gutter="0" w:footer="0" w:header="0"/>
        </w:sectPr>
      </w:pPr>
    </w:p>
    <w:bookmarkStart w:id="110" w:name="page111"/>
    <w:bookmarkEnd w:id="110"/>
    <w:p>
      <w:pPr>
        <w:ind w:right="120"/>
        <w:spacing w:after="0" w:line="248" w:lineRule="auto"/>
        <w:rPr>
          <w:sz w:val="20"/>
          <w:szCs w:val="20"/>
          <w:color w:val="auto"/>
        </w:rPr>
      </w:pPr>
      <w:r>
        <w:rPr>
          <w:rFonts w:ascii="Arial" w:cs="Arial" w:eastAsia="Arial" w:hAnsi="Arial"/>
          <w:sz w:val="16"/>
          <w:szCs w:val="16"/>
          <w:color w:val="auto"/>
        </w:rPr>
        <w:t>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w:t>
      </w:r>
    </w:p>
    <w:p>
      <w:pPr>
        <w:ind w:right="260"/>
        <w:spacing w:after="0" w:line="234" w:lineRule="auto"/>
        <w:rPr>
          <w:sz w:val="20"/>
          <w:szCs w:val="20"/>
          <w:color w:val="auto"/>
        </w:rPr>
      </w:pPr>
      <w:r>
        <w:rPr>
          <w:rFonts w:ascii="Arial" w:cs="Arial" w:eastAsia="Arial" w:hAnsi="Arial"/>
          <w:sz w:val="16"/>
          <w:szCs w:val="16"/>
          <w:color w:val="auto"/>
        </w:rPr>
        <w:t>winding up. If the Company declares or pays any dividend on the Common Stock payable in shares of Common Stock, or effects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w:t>
      </w:r>
    </w:p>
    <w:p>
      <w:pPr>
        <w:spacing w:after="0" w:line="2"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Series A Preferred Stock were entitled immediately before such event under the proviso in clause (1) of the preceding sentence will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6"/>
          <w:szCs w:val="16"/>
          <w:u w:val="single" w:color="auto"/>
          <w:color w:val="auto"/>
        </w:rPr>
        <w:t>Exchange Upon Consolidation or Merger</w:t>
      </w:r>
      <w:r>
        <w:rPr>
          <w:rFonts w:ascii="Arial" w:cs="Arial" w:eastAsia="Arial" w:hAnsi="Arial"/>
          <w:sz w:val="16"/>
          <w:szCs w:val="16"/>
          <w:color w:val="auto"/>
        </w:rPr>
        <w:t>. If the Company enters into any consolidation, merger, combination, or other transaction in which shares of Common Stock are exchanged for or changed into other stock or securities, cash, and/or any other property, then each share of Series A Preferred Stock will be similarly exchanged or changed into an amount per share, subject to the provision for adjustment set forth in the next sentence, equal to 1,000 times the</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aggregate amount of stock, securities, cash and/or any other property (payable in kind) into which or for which each share of Common Stock is changed or exchanged. If the Company declares or pays any dividend on the Common Stock payable in shares of Common Stock, or effects a subdivision or combination or consolidation of the outstanding shares of Common Stock (by reclassification or otherwise than by payment of a dividend in shares of</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Common Stock) into a greater or lesser number of shares of Common Stock, then the amount set forth in the preceding sentence with respect to the exchange or change of shares of Series A Preferred Stock will be adjusted by multiplying such amount by a fraction, the numerator of which is the number of shares of Common Stock outstanding immediately after such event and the denominator of which is the number of shares of Common Stock that were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outstanding immediately before such event.</w:t>
      </w:r>
    </w:p>
    <w:p>
      <w:pPr>
        <w:spacing w:after="0" w:line="16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u w:val="single" w:color="auto"/>
          <w:color w:val="auto"/>
        </w:rPr>
        <w:t>Redemption; Sinking Fund</w:t>
      </w:r>
      <w:r>
        <w:rPr>
          <w:rFonts w:ascii="Arial" w:cs="Arial" w:eastAsia="Arial" w:hAnsi="Arial"/>
          <w:sz w:val="18"/>
          <w:szCs w:val="18"/>
          <w:color w:val="auto"/>
        </w:rPr>
        <w:t>. The shares of Series A Preferred Stock will not be redeemable. There is no sinking fund provision that applies to the Series A Preferred Stock.</w:t>
      </w:r>
    </w:p>
    <w:p>
      <w:pPr>
        <w:spacing w:after="0" w:line="175" w:lineRule="exact"/>
        <w:rPr>
          <w:sz w:val="20"/>
          <w:szCs w:val="20"/>
          <w:color w:val="auto"/>
        </w:rPr>
      </w:pPr>
    </w:p>
    <w:p>
      <w:pPr>
        <w:jc w:val="both"/>
        <w:ind w:right="60"/>
        <w:spacing w:after="0" w:line="194" w:lineRule="exact"/>
        <w:rPr>
          <w:sz w:val="20"/>
          <w:szCs w:val="20"/>
          <w:color w:val="auto"/>
        </w:rPr>
      </w:pPr>
      <w:r>
        <w:rPr>
          <w:rFonts w:ascii="Arial" w:cs="Arial" w:eastAsia="Arial" w:hAnsi="Arial"/>
          <w:sz w:val="18"/>
          <w:szCs w:val="18"/>
          <w:u w:val="single" w:color="auto"/>
          <w:color w:val="auto"/>
        </w:rPr>
        <w:t>Certain Rights and Preferences</w:t>
      </w:r>
      <w:r>
        <w:rPr>
          <w:rFonts w:ascii="Arial" w:cs="Arial" w:eastAsia="Arial" w:hAnsi="Arial"/>
          <w:sz w:val="18"/>
          <w:szCs w:val="18"/>
          <w:color w:val="auto"/>
        </w:rPr>
        <w:t>. All outstanding shares of Series A Preferred Stock, when issued in accordance with the terms of the Articles and the Rights Agreement, will be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In addition, see “Anti</w:t>
      </w:r>
      <w:r>
        <w:rPr>
          <w:rFonts w:ascii="MS PGothic" w:cs="MS PGothic" w:eastAsia="MS PGothic" w:hAnsi="MS PGothic"/>
          <w:sz w:val="18"/>
          <w:szCs w:val="18"/>
          <w:color w:val="auto"/>
        </w:rPr>
        <w:t>‑</w:t>
      </w:r>
      <w:r>
        <w:rPr>
          <w:rFonts w:ascii="Arial" w:cs="Arial" w:eastAsia="Arial" w:hAnsi="Arial"/>
          <w:sz w:val="18"/>
          <w:szCs w:val="18"/>
          <w:color w:val="auto"/>
        </w:rPr>
        <w:t>Takeover Effects of Provisions of the Rights Agreement, Our Articles and Bylaws and South Dakota Law” below.</w:t>
      </w:r>
    </w:p>
    <w:p>
      <w:pPr>
        <w:spacing w:after="0" w:line="176" w:lineRule="exact"/>
        <w:rPr>
          <w:sz w:val="20"/>
          <w:szCs w:val="20"/>
          <w:color w:val="auto"/>
        </w:rPr>
      </w:pPr>
    </w:p>
    <w:p>
      <w:pPr>
        <w:spacing w:after="0" w:line="194" w:lineRule="exact"/>
        <w:rPr>
          <w:sz w:val="20"/>
          <w:szCs w:val="20"/>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Our Articles may not be amended in any manner which would materially alter or change the powers, preferences or special rights of the Series A Preferred Stock so as to affect them adversely without the affirmative vote of the holders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outstanding shares of Series A Preferred Stock, voting together as a single class.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to Purchase Series A Preferred Stock</w:t>
      </w:r>
    </w:p>
    <w:p>
      <w:pPr>
        <w:spacing w:after="0" w:line="189" w:lineRule="exact"/>
        <w:rPr>
          <w:sz w:val="20"/>
          <w:szCs w:val="20"/>
          <w:color w:val="auto"/>
        </w:rPr>
      </w:pPr>
    </w:p>
    <w:p>
      <w:pPr>
        <w:ind w:right="280"/>
        <w:spacing w:after="0" w:line="191" w:lineRule="exact"/>
        <w:rPr>
          <w:sz w:val="20"/>
          <w:szCs w:val="20"/>
          <w:color w:val="auto"/>
        </w:rPr>
      </w:pPr>
      <w:r>
        <w:rPr>
          <w:rFonts w:ascii="Arial" w:cs="Arial" w:eastAsia="Arial" w:hAnsi="Arial"/>
          <w:sz w:val="16"/>
          <w:szCs w:val="16"/>
          <w:color w:val="auto"/>
        </w:rPr>
        <w:t>As described above, we are a party to the Rights Agreement with the Rights Agent. On November 16, 2018, the Board declared a dividend of one Right, initially representing the right to purchase from the Company one one</w:t>
      </w:r>
      <w:r>
        <w:rPr>
          <w:rFonts w:ascii="MS PGothic" w:cs="MS PGothic" w:eastAsia="MS PGothic" w:hAnsi="MS PGothic"/>
          <w:sz w:val="16"/>
          <w:szCs w:val="16"/>
          <w:color w:val="auto"/>
        </w:rPr>
        <w:t>‑</w:t>
      </w:r>
      <w:r>
        <w:rPr>
          <w:rFonts w:ascii="Arial" w:cs="Arial" w:eastAsia="Arial" w:hAnsi="Arial"/>
          <w:sz w:val="16"/>
          <w:szCs w:val="16"/>
          <w:color w:val="auto"/>
        </w:rPr>
        <w:t>thousandth of a share of Series A Preferred Stock at an initial exercise price of</w:t>
      </w:r>
    </w:p>
    <w:p>
      <w:pPr>
        <w:ind w:right="140"/>
        <w:spacing w:after="0" w:line="234" w:lineRule="auto"/>
        <w:rPr>
          <w:sz w:val="20"/>
          <w:szCs w:val="20"/>
          <w:color w:val="auto"/>
        </w:rPr>
      </w:pPr>
      <w:r>
        <w:rPr>
          <w:rFonts w:ascii="Arial" w:cs="Arial" w:eastAsia="Arial" w:hAnsi="Arial"/>
          <w:sz w:val="16"/>
          <w:szCs w:val="16"/>
          <w:color w:val="auto"/>
        </w:rPr>
        <w:t>$25.00 per Right, subject to certain adjustments (the “Exercise Price”), for each share of Common Stock outstanding on November 19, 2018 (the “Record Date”) to the shareholders of record at the close of business on the Record Date. The Board approved the First Amendment, which amended the initial exercise price of $25.00 per Right set forth in the Rights Agreement to $20.00 per Right. The Company’s shareholders approved the Rights Agreement 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of shareholders held on September 7, 2022.</w:t>
      </w:r>
    </w:p>
    <w:p>
      <w:pPr>
        <w:spacing w:after="0" w:line="169" w:lineRule="exact"/>
        <w:rPr>
          <w:sz w:val="20"/>
          <w:szCs w:val="20"/>
          <w:color w:val="auto"/>
        </w:rPr>
      </w:pPr>
    </w:p>
    <w:p>
      <w:pPr>
        <w:ind w:right="700"/>
        <w:spacing w:after="0" w:line="241" w:lineRule="auto"/>
        <w:rPr>
          <w:sz w:val="20"/>
          <w:szCs w:val="20"/>
          <w:color w:val="auto"/>
        </w:rPr>
      </w:pPr>
      <w:r>
        <w:rPr>
          <w:rFonts w:ascii="Arial" w:cs="Arial" w:eastAsia="Arial" w:hAnsi="Arial"/>
          <w:sz w:val="16"/>
          <w:szCs w:val="16"/>
          <w:color w:val="auto"/>
        </w:rPr>
        <w:t>The Rights will not be exercisable until the earliest to occur of (1) the close of business on the 10th business day after the first date of a public announcement that a person or a group of affiliated or associated persons (with certain exceptions, an “Acquiring Person”) has acquired beneficial ownership of 20% or more of the outstanding shares of Common Stock and (2) the close of business on the 10th business day after the date of the</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commencement by any person of, or of the first public announcement of the intention of any person to commence, a tender or exchange offer the consummation of which would result in such person becoming the beneficial owner of 20% or more of the outstanding shares of Common Stock (the earlier of such dates being called the “Distribution Date”). Any existing shareholder or group that beneficially owned 20% or more of the Common Stock</w:t>
      </w:r>
    </w:p>
    <w:p>
      <w:pPr>
        <w:spacing w:after="0" w:line="2" w:lineRule="exact"/>
        <w:rPr>
          <w:sz w:val="20"/>
          <w:szCs w:val="20"/>
          <w:color w:val="auto"/>
        </w:rPr>
      </w:pPr>
    </w:p>
    <w:p>
      <w:pPr>
        <w:ind w:right="340"/>
        <w:spacing w:after="0" w:line="234" w:lineRule="auto"/>
        <w:rPr>
          <w:sz w:val="20"/>
          <w:szCs w:val="20"/>
          <w:color w:val="auto"/>
        </w:rPr>
      </w:pPr>
      <w:r>
        <w:rPr>
          <w:rFonts w:ascii="Arial" w:cs="Arial" w:eastAsia="Arial" w:hAnsi="Arial"/>
          <w:sz w:val="16"/>
          <w:szCs w:val="16"/>
          <w:color w:val="auto"/>
        </w:rPr>
        <w:t>on November 16, 2018 was grandfathered at its current ownership level. However, the Rights will become exercisable if at any time after the announcement of the Rights Agreement such shareholder or group increases its ownership of shares of Common Stock to an amount equal to or greater than the greater of (a) 20% of the shares of Common Stock then outstanding and (b) the sum of (i) the lowest beneficial ownership of such person as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the shares of Common Stock outstanding at any time after the public announcement of the Rights Agreement plus (ii) one share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111" w:name="page112"/>
    <w:bookmarkEnd w:id="111"/>
    <w:p>
      <w:pPr>
        <w:ind w:right="600"/>
        <w:spacing w:after="0" w:line="248" w:lineRule="auto"/>
        <w:rPr>
          <w:sz w:val="20"/>
          <w:szCs w:val="20"/>
          <w:color w:val="auto"/>
        </w:rPr>
      </w:pPr>
      <w:r>
        <w:rPr>
          <w:rFonts w:ascii="Arial" w:cs="Arial" w:eastAsia="Arial" w:hAnsi="Arial"/>
          <w:sz w:val="16"/>
          <w:szCs w:val="16"/>
          <w:color w:val="auto"/>
        </w:rPr>
        <w:t>Stock. Certain synthetic interests in securities created by derivative positions, whether or not such interests are considered to be ownership of the underlying Common Stock or are reportable for purposes of Regulation 13D under the Securities Exchange Act of 1934, as amended, are treated as</w:t>
      </w:r>
    </w:p>
    <w:p>
      <w:pPr>
        <w:ind w:right="60"/>
        <w:spacing w:after="0" w:line="226" w:lineRule="auto"/>
        <w:rPr>
          <w:sz w:val="20"/>
          <w:szCs w:val="20"/>
          <w:color w:val="auto"/>
        </w:rPr>
      </w:pPr>
      <w:r>
        <w:rPr>
          <w:rFonts w:ascii="Arial" w:cs="Arial" w:eastAsia="Arial" w:hAnsi="Arial"/>
          <w:sz w:val="18"/>
          <w:szCs w:val="18"/>
          <w:color w:val="auto"/>
        </w:rPr>
        <w:t>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certificates representing shares of Common Stock outstanding as of the Record Date, until the Distribution Date, the Rights will be</w:t>
      </w:r>
    </w:p>
    <w:p>
      <w:pPr>
        <w:spacing w:after="0" w:line="10"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evidenced by such certificates for shares of Common Stock registered in the names of the holders thereof and not by separate Rights Certificates, as described below. With respect to book entry shares of Common Stock outstanding as of the Record Date, until the Distribution Date, the Rights will be evidenced by the balances indicated in the book entry account system of the transfer agent for the Common Stock. Until the earlier of the Distribution Date</w:t>
      </w:r>
    </w:p>
    <w:p>
      <w:pPr>
        <w:spacing w:after="0" w:line="2" w:lineRule="exact"/>
        <w:rPr>
          <w:sz w:val="20"/>
          <w:szCs w:val="20"/>
          <w:color w:val="auto"/>
        </w:rPr>
      </w:pPr>
    </w:p>
    <w:p>
      <w:pPr>
        <w:jc w:val="both"/>
        <w:ind w:right="100"/>
        <w:spacing w:after="0" w:line="234" w:lineRule="auto"/>
        <w:rPr>
          <w:sz w:val="20"/>
          <w:szCs w:val="20"/>
          <w:color w:val="auto"/>
        </w:rPr>
      </w:pPr>
      <w:r>
        <w:rPr>
          <w:rFonts w:ascii="Arial" w:cs="Arial" w:eastAsia="Arial" w:hAnsi="Arial"/>
          <w:sz w:val="16"/>
          <w:szCs w:val="16"/>
          <w:color w:val="auto"/>
        </w:rPr>
        <w:t>and the “Expiration Date” (as defined below), the transfer of any shares of Common Stock outstanding on the Record Date will also constitute the transfer of the Rights associated with such shares of Common Stock. As soon as practicable after the Distribution Date, separate certificates evidencing the Rights (the “Rights Certificates”) will be mailed to holders of record of the Common Stock as of the close of business on the Distribution Date, and such separate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Rights Certificates alone will evidence the Rights.</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Rights, which are not exercisable until the Distribution Date, will expire at the earliest to occur of (1) the close of business on November 19, 2024; (2) the time at which the Rights are redeemed pursuant to the Rights Agreement; (3) the time at which the Rights are exchanged pursuant to the Rights</w:t>
      </w:r>
    </w:p>
    <w:p>
      <w:pPr>
        <w:jc w:val="both"/>
        <w:ind w:right="40"/>
        <w:spacing w:after="0" w:line="218" w:lineRule="auto"/>
        <w:rPr>
          <w:sz w:val="20"/>
          <w:szCs w:val="20"/>
          <w:color w:val="auto"/>
        </w:rPr>
      </w:pPr>
      <w:r>
        <w:rPr>
          <w:rFonts w:ascii="Arial" w:cs="Arial" w:eastAsia="Arial" w:hAnsi="Arial"/>
          <w:sz w:val="18"/>
          <w:szCs w:val="18"/>
          <w:color w:val="auto"/>
        </w:rPr>
        <w:t>Agreement; and (4) the time at which the Rights are terminated upon the closing of any merger or other acquisition transaction involving the Company and a person pursuant to a merger or other acquisition agreement that has been approved by the Board before such person has become an Acquiring Person (the earliest of (1), (2), (3) and (4) is referred to as the “Expiration Date”).</w:t>
      </w:r>
    </w:p>
    <w:p>
      <w:pPr>
        <w:spacing w:after="0" w:line="176" w:lineRule="exact"/>
        <w:rPr>
          <w:sz w:val="20"/>
          <w:szCs w:val="20"/>
          <w:color w:val="auto"/>
        </w:rPr>
      </w:pPr>
    </w:p>
    <w:p>
      <w:pPr>
        <w:jc w:val="both"/>
        <w:ind w:right="160"/>
        <w:spacing w:after="0" w:line="241" w:lineRule="auto"/>
        <w:rPr>
          <w:sz w:val="20"/>
          <w:szCs w:val="20"/>
          <w:color w:val="auto"/>
        </w:rPr>
      </w:pPr>
      <w:r>
        <w:rPr>
          <w:rFonts w:ascii="Arial" w:cs="Arial" w:eastAsia="Arial" w:hAnsi="Arial"/>
          <w:sz w:val="16"/>
          <w:szCs w:val="16"/>
          <w:color w:val="auto"/>
        </w:rPr>
        <w:t>The Exercise Price payable, and the number of shares of Series A Preferred Stock or other securities or property issuable, upon exercise of the Rights, are subject to adjustment from time to time to prevent dilution (1) upon a stock dividend on, or a subdivision, combination or reclassification of, the Series A Preferred Stock; (2) upon the grant to holders of the Series A Preferred Stock of certain rights or warrants to subscribe for or purchase Series A Preferred</w:t>
      </w:r>
    </w:p>
    <w:p>
      <w:pPr>
        <w:spacing w:after="0" w:line="2" w:lineRule="exact"/>
        <w:rPr>
          <w:sz w:val="20"/>
          <w:szCs w:val="20"/>
          <w:color w:val="auto"/>
        </w:rPr>
      </w:pPr>
    </w:p>
    <w:p>
      <w:pPr>
        <w:ind w:right="180"/>
        <w:spacing w:after="0" w:line="180" w:lineRule="exact"/>
        <w:rPr>
          <w:sz w:val="20"/>
          <w:szCs w:val="20"/>
          <w:color w:val="auto"/>
        </w:rPr>
      </w:pPr>
      <w:r>
        <w:rPr>
          <w:rFonts w:ascii="Arial" w:cs="Arial" w:eastAsia="Arial" w:hAnsi="Arial"/>
          <w:sz w:val="16"/>
          <w:szCs w:val="16"/>
          <w:color w:val="auto"/>
        </w:rPr>
        <w:t>Stock at a price, or securities convertible into Series A Preferred Stock with a conversion price, less than the then</w:t>
      </w:r>
      <w:r>
        <w:rPr>
          <w:rFonts w:ascii="MS PGothic" w:cs="MS PGothic" w:eastAsia="MS PGothic" w:hAnsi="MS PGothic"/>
          <w:sz w:val="16"/>
          <w:szCs w:val="16"/>
          <w:color w:val="auto"/>
        </w:rPr>
        <w:t>‑</w:t>
      </w:r>
      <w:r>
        <w:rPr>
          <w:rFonts w:ascii="Arial" w:cs="Arial" w:eastAsia="Arial" w:hAnsi="Arial"/>
          <w:sz w:val="16"/>
          <w:szCs w:val="16"/>
          <w:color w:val="auto"/>
        </w:rPr>
        <w:t>current market price of the Series A Preferred Stock; or (3) upon the distribution to holders of the Series A Preferred Stock of evidences of indebtedness or assets (excluding regular periodic cash dividends or dividends payable in Series A Preferred Stock) or of subscription rights or warrants (other than those referred to above). The number of</w:t>
      </w:r>
    </w:p>
    <w:p>
      <w:pPr>
        <w:spacing w:after="0" w:line="2" w:lineRule="exact"/>
        <w:rPr>
          <w:sz w:val="20"/>
          <w:szCs w:val="20"/>
          <w:color w:val="auto"/>
        </w:rPr>
      </w:pPr>
    </w:p>
    <w:p>
      <w:pPr>
        <w:ind w:right="200"/>
        <w:spacing w:after="0" w:line="195" w:lineRule="exact"/>
        <w:rPr>
          <w:sz w:val="20"/>
          <w:szCs w:val="20"/>
          <w:color w:val="auto"/>
        </w:rPr>
      </w:pPr>
      <w:r>
        <w:rPr>
          <w:rFonts w:ascii="Arial" w:cs="Arial" w:eastAsia="Arial" w:hAnsi="Arial"/>
          <w:sz w:val="18"/>
          <w:szCs w:val="18"/>
          <w:color w:val="auto"/>
        </w:rPr>
        <w:t>outstanding Rights and the number of one one</w:t>
      </w:r>
      <w:r>
        <w:rPr>
          <w:rFonts w:ascii="MS PGothic" w:cs="MS PGothic" w:eastAsia="MS PGothic" w:hAnsi="MS PGothic"/>
          <w:sz w:val="18"/>
          <w:szCs w:val="18"/>
          <w:color w:val="auto"/>
        </w:rPr>
        <w:t>‑</w:t>
      </w:r>
      <w:r>
        <w:rPr>
          <w:rFonts w:ascii="Arial" w:cs="Arial" w:eastAsia="Arial" w:hAnsi="Arial"/>
          <w:sz w:val="18"/>
          <w:szCs w:val="18"/>
          <w:color w:val="auto"/>
        </w:rPr>
        <w:t>thousandths of a share of Series A Preferred Stock issuable upon exercise of each Right are also subject to adjustment in the event of a stock split, reverse stock split, stock dividend and other similar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If any person or group of affiliated or associated persons becomes an Acquiring Person, each holder of a Right (other than Rights beneficially owned by the</w:t>
      </w:r>
    </w:p>
    <w:p>
      <w:pPr>
        <w:spacing w:after="0" w:line="21" w:lineRule="exact"/>
        <w:rPr>
          <w:sz w:val="20"/>
          <w:szCs w:val="20"/>
          <w:color w:val="auto"/>
        </w:rPr>
      </w:pPr>
    </w:p>
    <w:p>
      <w:pPr>
        <w:ind w:right="140"/>
        <w:spacing w:after="0" w:line="218" w:lineRule="auto"/>
        <w:rPr>
          <w:sz w:val="20"/>
          <w:szCs w:val="20"/>
          <w:color w:val="auto"/>
        </w:rPr>
      </w:pPr>
      <w:r>
        <w:rPr>
          <w:rFonts w:ascii="Arial" w:cs="Arial" w:eastAsia="Arial" w:hAnsi="Arial"/>
          <w:sz w:val="18"/>
          <w:szCs w:val="18"/>
          <w:color w:val="auto"/>
        </w:rPr>
        <w:t>Acquiring Person, affiliates and associates of the Acquiring Person, and certain transferees thereof, which will have become null and void), will thereafter have the right to receive upon exercise of a Right that number of shares of Common Stock having a market value of two times the exercise price of the Right.</w:t>
      </w:r>
    </w:p>
    <w:p>
      <w:pPr>
        <w:spacing w:after="0" w:line="176"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If, after a person or group of affiliated or associated persons becomes an Acquiring Person, the Company is acquired in a merger or other business combination transaction or 50% or more of its consolidated assets or earning power are sold, proper provision will be made so that each holder of a Right (other than Rights beneficially owned by an Acquiring Person, affiliates and associations of the Acquiring Person, and certain transferees thereof, which</w:t>
      </w:r>
    </w:p>
    <w:p>
      <w:pPr>
        <w:spacing w:after="0" w:line="2" w:lineRule="exact"/>
        <w:rPr>
          <w:sz w:val="20"/>
          <w:szCs w:val="20"/>
          <w:color w:val="auto"/>
        </w:rPr>
      </w:pPr>
    </w:p>
    <w:p>
      <w:pPr>
        <w:ind w:right="620"/>
        <w:spacing w:after="0" w:line="226" w:lineRule="auto"/>
        <w:rPr>
          <w:sz w:val="20"/>
          <w:szCs w:val="20"/>
          <w:color w:val="auto"/>
        </w:rPr>
      </w:pPr>
      <w:r>
        <w:rPr>
          <w:rFonts w:ascii="Arial" w:cs="Arial" w:eastAsia="Arial" w:hAnsi="Arial"/>
          <w:sz w:val="18"/>
          <w:szCs w:val="18"/>
          <w:color w:val="auto"/>
        </w:rPr>
        <w:t>will have become null and void) will thereafter have the right to receive upon the exercise of a Right that number of shares of common stock of the acquiring company having a market value at the time of that transaction equal to two times the Exercise Price.</w:t>
      </w:r>
    </w:p>
    <w:p>
      <w:pPr>
        <w:spacing w:after="0" w:line="16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With certain exceptions, no adjustment in the Exercise Price will be required unless cumulative adjustments require an increase or decrease of at least 1% in the Exercise Price. No fractional shares of Series A Preferred Stock or Common Stock will be issued (other than fractions of shares of Series A Preferred</w:t>
      </w:r>
    </w:p>
    <w:p>
      <w:pPr>
        <w:spacing w:after="0" w:line="189" w:lineRule="exact"/>
        <w:rPr>
          <w:sz w:val="20"/>
          <w:szCs w:val="20"/>
          <w:color w:val="auto"/>
        </w:rPr>
      </w:pPr>
      <w:r>
        <w:rPr>
          <w:rFonts w:ascii="Arial" w:cs="Arial" w:eastAsia="Arial" w:hAnsi="Arial"/>
          <w:sz w:val="18"/>
          <w:szCs w:val="18"/>
          <w:color w:val="auto"/>
        </w:rPr>
        <w:t>Stock which are integral multiples of one one</w:t>
      </w:r>
      <w:r>
        <w:rPr>
          <w:rFonts w:ascii="MS PGothic" w:cs="MS PGothic" w:eastAsia="MS PGothic" w:hAnsi="MS PGothic"/>
          <w:sz w:val="18"/>
          <w:szCs w:val="18"/>
          <w:color w:val="auto"/>
        </w:rPr>
        <w:t>‑</w:t>
      </w:r>
      <w:r>
        <w:rPr>
          <w:rFonts w:ascii="Arial" w:cs="Arial" w:eastAsia="Arial" w:hAnsi="Arial"/>
          <w:sz w:val="18"/>
          <w:szCs w:val="18"/>
          <w:color w:val="auto"/>
        </w:rPr>
        <w:t>thousandth of a share of Series A Preferred Stock, which may, at the election of the Company, be evidenced by depositary receipts) and, in lieu thereof, an adjustment in cash will be made based on the then</w:t>
      </w:r>
      <w:r>
        <w:rPr>
          <w:rFonts w:ascii="MS PGothic" w:cs="MS PGothic" w:eastAsia="MS PGothic" w:hAnsi="MS PGothic"/>
          <w:sz w:val="18"/>
          <w:szCs w:val="18"/>
          <w:color w:val="auto"/>
        </w:rPr>
        <w:t>‑</w:t>
      </w:r>
      <w:r>
        <w:rPr>
          <w:rFonts w:ascii="Arial" w:cs="Arial" w:eastAsia="Arial" w:hAnsi="Arial"/>
          <w:sz w:val="18"/>
          <w:szCs w:val="18"/>
          <w:color w:val="auto"/>
        </w:rPr>
        <w:t>current market price of the Series A Preferred Stock or the Common Stock.</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At any time after any person or group becomes an Acquiring Person and before the acquisition of beneficial ownership by such Acquiring Person of 50% or more of the outstanding shares of Common Stock, the Board, at its option, may exchange the Rights (other than Rights owned by such Acquiring Person, affiliates and associates of the Acquiring Person, and certain transferees thereof, which will have become null and void), in whole or in part, for shares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Common Stock or Series A Preferred Stock (or a series of the Company’s preferred stock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08" w:right="359" w:bottom="1440" w:gutter="0" w:footer="0" w:header="0"/>
        </w:sectPr>
      </w:pPr>
    </w:p>
    <w:bookmarkStart w:id="112" w:name="page113"/>
    <w:bookmarkEnd w:id="112"/>
    <w:p>
      <w:pPr>
        <w:ind w:right="20"/>
        <w:spacing w:after="0" w:line="235" w:lineRule="auto"/>
        <w:rPr>
          <w:sz w:val="20"/>
          <w:szCs w:val="20"/>
          <w:color w:val="auto"/>
        </w:rPr>
      </w:pPr>
      <w:r>
        <w:rPr>
          <w:rFonts w:ascii="Arial" w:cs="Arial" w:eastAsia="Arial" w:hAnsi="Arial"/>
          <w:sz w:val="18"/>
          <w:szCs w:val="18"/>
          <w:color w:val="auto"/>
        </w:rPr>
        <w:t>equivalent rights, preferences and privileges) at an exchange ratio of one share of Common Stock, or a fractional share of Series A Preferred Stock (or other preferred stock) equivalent in value thereto, per outstanding Right.</w:t>
      </w:r>
    </w:p>
    <w:p>
      <w:pPr>
        <w:spacing w:after="0" w:line="17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At any time before the time an Acquiring Person becomes such,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establish.</w:t>
      </w:r>
    </w:p>
    <w:p>
      <w:pPr>
        <w:spacing w:after="0" w:line="16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Immediately upon any redemption or exchange of the Rights, the right to exercise the Rights will terminate, and the only right of the holders of Rights will be to receive the Redemption Price or the securities for which the Rights were exchanged.</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Until a Right is exercised or exchanged, the holder of the Right, as such, will have no rights as a shareholder of the Company, including, without limitation, the right to vote or to receive dividends.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For so long as the Rights are redeemable, the Company may, except with respect to the Redemption Price, amend the Rights Agreement in any manner.</w:t>
      </w:r>
    </w:p>
    <w:p>
      <w:pPr>
        <w:spacing w:after="0" w:line="21" w:lineRule="exact"/>
        <w:rPr>
          <w:sz w:val="20"/>
          <w:szCs w:val="20"/>
          <w:color w:val="auto"/>
        </w:rPr>
      </w:pPr>
    </w:p>
    <w:p>
      <w:pPr>
        <w:ind w:right="180"/>
        <w:spacing w:after="0" w:line="218" w:lineRule="auto"/>
        <w:rPr>
          <w:sz w:val="20"/>
          <w:szCs w:val="20"/>
          <w:color w:val="auto"/>
        </w:rPr>
      </w:pPr>
      <w:r>
        <w:rPr>
          <w:rFonts w:ascii="Arial" w:cs="Arial" w:eastAsia="Arial" w:hAnsi="Arial"/>
          <w:sz w:val="18"/>
          <w:szCs w:val="18"/>
          <w:color w:val="auto"/>
        </w:rPr>
        <w:t>After the Rights are no longer redeemable, the Company may, except with respect to the Redemption Price, amend the Rights Agreement in any manner that does not adversely affect the interests of holders of the Rights (other than holders of Rights owned by or transferred to any person who is or becomes an Acquiring Person, affiliates and associates of an Acquiring Person, and certain transferees thereof).</w:t>
      </w:r>
    </w:p>
    <w:p>
      <w:pPr>
        <w:spacing w:after="0" w:line="17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Takeover Effects of Provisions of the Rights Agreement, Our Articles and Bylaws and South Dakota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general purpose of the Rights Agreement described above is to deter and mitigate the time pressures of non</w:t>
      </w:r>
      <w:r>
        <w:rPr>
          <w:rFonts w:ascii="MS PGothic" w:cs="MS PGothic" w:eastAsia="MS PGothic" w:hAnsi="MS PGothic"/>
          <w:sz w:val="16"/>
          <w:szCs w:val="16"/>
          <w:color w:val="auto"/>
        </w:rPr>
        <w:t>‑</w:t>
      </w:r>
      <w:r>
        <w:rPr>
          <w:rFonts w:ascii="Arial" w:cs="Arial" w:eastAsia="Arial" w:hAnsi="Arial"/>
          <w:sz w:val="16"/>
          <w:szCs w:val="16"/>
          <w:color w:val="auto"/>
        </w:rPr>
        <w:t>negotiated, hostile takeover attempts made</w:t>
      </w:r>
    </w:p>
    <w:p>
      <w:pPr>
        <w:spacing w:after="0" w:line="2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at unfair or inadequate prices, or by coercive or unfair tactics. The Rights Agreement provides, subject to certain exceptions, that if any person or group acquires 20% or more of our outstanding shares of Common Stock, there would be a triggering event potentially resulting in significant dilution in the voting power and economic ownership of that person or group. Existing shareholders who owned 20% or more of our outstanding Common Stock as of the</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Record Date will trigger a dilutive event only if they acquire an additional 1% of the outstanding shares of our Common Stock. For more information about the Rights and the Rights Agreement, see “Rights to Purchase Series A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Articles and Bylaws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Certain provisions of our Articles may delay or discourage transactions involving an actual or potential change in our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Common Stock. Among other things, our Articles:</w:t>
      </w:r>
    </w:p>
    <w:p>
      <w:pPr>
        <w:spacing w:after="0" w:line="160" w:lineRule="exact"/>
        <w:rPr>
          <w:sz w:val="20"/>
          <w:szCs w:val="20"/>
          <w:color w:val="auto"/>
        </w:rPr>
      </w:pPr>
    </w:p>
    <w:p>
      <w:pPr>
        <w:jc w:val="both"/>
        <w:ind w:left="660" w:right="440" w:hanging="328"/>
        <w:spacing w:after="0" w:line="22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 our Board to authorize and issue shares of preferred stock without prior shareholder approval, commonly referred to as “blank check” preferred stock, with any rights, preferences and privileges as the Board may designate, including the right to approve an acquisition or other change in our control;</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increased by resolution of the Board;</w:t>
      </w:r>
    </w:p>
    <w:p>
      <w:pPr>
        <w:spacing w:after="0" w:line="184" w:lineRule="exact"/>
        <w:rPr>
          <w:rFonts w:ascii="Arial" w:cs="Arial" w:eastAsia="Arial" w:hAnsi="Arial"/>
          <w:sz w:val="18"/>
          <w:szCs w:val="18"/>
          <w:color w:val="auto"/>
        </w:rPr>
      </w:pPr>
    </w:p>
    <w:p>
      <w:pPr>
        <w:ind w:left="660" w:right="200" w:hanging="328"/>
        <w:spacing w:after="0" w:line="203" w:lineRule="exact"/>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all vacancies, including newly</w:t>
      </w:r>
      <w:r>
        <w:rPr>
          <w:rFonts w:ascii="MS PGothic" w:cs="MS PGothic" w:eastAsia="MS PGothic" w:hAnsi="MS PGothic"/>
          <w:sz w:val="18"/>
          <w:szCs w:val="18"/>
          <w:color w:val="auto"/>
        </w:rPr>
        <w:t>‑</w:t>
      </w:r>
      <w:r>
        <w:rPr>
          <w:rFonts w:ascii="Arial" w:cs="Arial" w:eastAsia="Arial" w:hAnsi="Arial"/>
          <w:sz w:val="18"/>
          <w:szCs w:val="18"/>
          <w:color w:val="auto"/>
        </w:rPr>
        <w:t>created directorships, may, except as otherwise required by law, be filled by the affirmative vote of a majority of directors then in office, even if less than a quorum; and</w:t>
      </w:r>
    </w:p>
    <w:p>
      <w:pPr>
        <w:spacing w:after="0" w:line="175" w:lineRule="exact"/>
        <w:rPr>
          <w:rFonts w:ascii="Arial" w:cs="Arial" w:eastAsia="Arial" w:hAnsi="Arial"/>
          <w:sz w:val="18"/>
          <w:szCs w:val="18"/>
          <w:color w:val="auto"/>
        </w:rPr>
      </w:pPr>
    </w:p>
    <w:p>
      <w:pPr>
        <w:ind w:left="660" w:right="60" w:hanging="328"/>
        <w:spacing w:after="0" w:line="23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three classes of directors, each consisting of two or three directors, with each class elected every three years, which increases the difficulty of takeovers because a hostile bidder cannot replace an entire staggered board in a single proxy contest.</w:t>
      </w:r>
    </w:p>
    <w:p>
      <w:pPr>
        <w:spacing w:after="0" w:line="162"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The Articles provide that the Company must indemnify its officers and directors to the fullest extent authorized or permitted by the SDBCA or any other applicable laws as may from time to time be in effect, as the same exist or may be amended from time to time. Section 47-1A-851 and Section 47-1A-</w:t>
      </w:r>
    </w:p>
    <w:p>
      <w:pPr>
        <w:ind w:right="40"/>
        <w:spacing w:after="0" w:line="226" w:lineRule="auto"/>
        <w:rPr>
          <w:sz w:val="20"/>
          <w:szCs w:val="20"/>
          <w:color w:val="auto"/>
        </w:rPr>
      </w:pPr>
      <w:r>
        <w:rPr>
          <w:rFonts w:ascii="Arial" w:cs="Arial" w:eastAsia="Arial" w:hAnsi="Arial"/>
          <w:sz w:val="18"/>
          <w:szCs w:val="18"/>
          <w:color w:val="auto"/>
        </w:rPr>
        <w:t>856(1) of the SDBCA provide that the Company may indemnify its officers and directors against liability incurred in connection with proceedings in which such persons are parties by reason of being an officer or director of the Company if they (1) acted in good faith;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8" w:right="339" w:bottom="1440" w:gutter="0" w:footer="0" w:header="0"/>
        </w:sectPr>
      </w:pPr>
    </w:p>
    <w:bookmarkStart w:id="113" w:name="page114"/>
    <w:bookmarkEnd w:id="113"/>
    <w:p>
      <w:pPr>
        <w:ind w:right="220"/>
        <w:spacing w:after="0" w:line="248" w:lineRule="auto"/>
        <w:rPr>
          <w:sz w:val="20"/>
          <w:szCs w:val="20"/>
          <w:color w:val="auto"/>
        </w:rPr>
      </w:pPr>
      <w:r>
        <w:rPr>
          <w:rFonts w:ascii="Arial" w:cs="Arial" w:eastAsia="Arial" w:hAnsi="Arial"/>
          <w:sz w:val="16"/>
          <w:szCs w:val="16"/>
          <w:color w:val="auto"/>
        </w:rPr>
        <w:t>reasonably believed: (a) in the case of conduct in an official capacity, that the conduct was in the best interests of the Company, and (b) in all other cases, that the conduct was at least not opposed to the best interests of the Company; and (3) in the case of any criminal proceeding, had no reasonable cause to</w:t>
      </w:r>
    </w:p>
    <w:p>
      <w:pPr>
        <w:ind w:right="160"/>
        <w:spacing w:after="0" w:line="234" w:lineRule="auto"/>
        <w:rPr>
          <w:sz w:val="20"/>
          <w:szCs w:val="20"/>
          <w:color w:val="auto"/>
        </w:rPr>
      </w:pPr>
      <w:r>
        <w:rPr>
          <w:rFonts w:ascii="Arial" w:cs="Arial" w:eastAsia="Arial" w:hAnsi="Arial"/>
          <w:sz w:val="16"/>
          <w:szCs w:val="16"/>
          <w:color w:val="auto"/>
        </w:rPr>
        <w:t>believe that the conduct was unlawful. In addition, Section 47-1A-856(2)(b) of the SDBCA permits the Company to indemnify an officer of the Company who is a party to a proceeding by reason of being an officer of the Company against liability, except for liability arising out of conduct that constitutes receipt of a financial benefit to which the officer is not entitled, an intentional infliction of harm on the Company or its shareholders, or an intentional</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violation of criminal law. Section 47-1A-857 of the SDBCA permits the Company to purchase and maintain insurance on behalf of its officers and directors against any liability which may be asserted against, or incurred by, such persons in their capacities as officers and directors of the Company, whether or not the Company would have power to indemnify or advance expenses to the person against the same liability under the provisions of the SDBCA.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maintains officers’ and directors’ liability insurance for the benefit of its officers and directors.</w:t>
      </w:r>
    </w:p>
    <w:p>
      <w:pPr>
        <w:spacing w:after="0" w:line="16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Bylaws and Article 8 of our Articles of Incorporation also provide that the Company may indemnify other persons, for such expenses and liabilities, in such manner and under such circumstances, as the Board may determine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Dakota Law</w:t>
      </w:r>
    </w:p>
    <w:p>
      <w:pPr>
        <w:spacing w:after="0" w:line="185" w:lineRule="exact"/>
        <w:rPr>
          <w:sz w:val="20"/>
          <w:szCs w:val="20"/>
          <w:color w:val="auto"/>
        </w:rPr>
      </w:pPr>
    </w:p>
    <w:p>
      <w:pPr>
        <w:ind w:right="140"/>
        <w:spacing w:after="0" w:line="191" w:lineRule="exact"/>
        <w:rPr>
          <w:sz w:val="20"/>
          <w:szCs w:val="20"/>
          <w:color w:val="auto"/>
        </w:rPr>
      </w:pPr>
      <w:r>
        <w:rPr>
          <w:rFonts w:ascii="Arial" w:cs="Arial" w:eastAsia="Arial" w:hAnsi="Arial"/>
          <w:sz w:val="16"/>
          <w:szCs w:val="16"/>
          <w:color w:val="auto"/>
        </w:rPr>
        <w:t>South Dakota law, under which the Company is incorporated, contains certain provisions that may have anti</w:t>
      </w:r>
      <w:r>
        <w:rPr>
          <w:rFonts w:ascii="MS PGothic" w:cs="MS PGothic" w:eastAsia="MS PGothic" w:hAnsi="MS PGothic"/>
          <w:sz w:val="16"/>
          <w:szCs w:val="16"/>
          <w:color w:val="auto"/>
        </w:rPr>
        <w:t>‑</w:t>
      </w:r>
      <w:r>
        <w:rPr>
          <w:rFonts w:ascii="Arial" w:cs="Arial" w:eastAsia="Arial" w:hAnsi="Arial"/>
          <w:sz w:val="16"/>
          <w:szCs w:val="16"/>
          <w:color w:val="auto"/>
        </w:rPr>
        <w:t>takeover effects and thus may delay, deter, or prevent a change in control of the Company. For complete information, you should review the applicable provisions of the SDCL, including the Takeover</w:t>
      </w:r>
    </w:p>
    <w:p>
      <w:pPr>
        <w:spacing w:after="0"/>
        <w:rPr>
          <w:sz w:val="20"/>
          <w:szCs w:val="20"/>
          <w:color w:val="auto"/>
        </w:rPr>
      </w:pPr>
      <w:r>
        <w:rPr>
          <w:rFonts w:ascii="Arial" w:cs="Arial" w:eastAsia="Arial" w:hAnsi="Arial"/>
          <w:sz w:val="18"/>
          <w:szCs w:val="18"/>
          <w:color w:val="auto"/>
        </w:rPr>
        <w:t>Act.</w:t>
      </w:r>
    </w:p>
    <w:p>
      <w:pPr>
        <w:spacing w:after="0" w:line="169" w:lineRule="exact"/>
        <w:rPr>
          <w:sz w:val="20"/>
          <w:szCs w:val="20"/>
          <w:color w:val="auto"/>
        </w:rPr>
      </w:pPr>
    </w:p>
    <w:p>
      <w:pPr>
        <w:jc w:val="both"/>
        <w:ind w:right="380"/>
        <w:spacing w:after="0" w:line="203" w:lineRule="exact"/>
        <w:rPr>
          <w:sz w:val="20"/>
          <w:szCs w:val="20"/>
          <w:color w:val="auto"/>
        </w:rPr>
      </w:pPr>
      <w:r>
        <w:rPr>
          <w:rFonts w:ascii="Arial" w:cs="Arial" w:eastAsia="Arial" w:hAnsi="Arial"/>
          <w:sz w:val="16"/>
          <w:szCs w:val="16"/>
          <w:u w:val="single" w:color="auto"/>
          <w:color w:val="auto"/>
        </w:rPr>
        <w:t>Control Share Acquisitions</w:t>
      </w:r>
      <w:r>
        <w:rPr>
          <w:rFonts w:ascii="Arial" w:cs="Arial" w:eastAsia="Arial" w:hAnsi="Arial"/>
          <w:sz w:val="16"/>
          <w:szCs w:val="16"/>
          <w:color w:val="auto"/>
        </w:rPr>
        <w:t>. The Takeover Act generally provides that the shares of a publicly</w:t>
      </w:r>
      <w:r>
        <w:rPr>
          <w:rFonts w:ascii="MS PGothic" w:cs="MS PGothic" w:eastAsia="MS PGothic" w:hAnsi="MS PGothic"/>
          <w:sz w:val="16"/>
          <w:szCs w:val="16"/>
          <w:color w:val="auto"/>
        </w:rPr>
        <w:t>‑</w:t>
      </w:r>
      <w:r>
        <w:rPr>
          <w:rFonts w:ascii="Arial" w:cs="Arial" w:eastAsia="Arial" w:hAnsi="Arial"/>
          <w:sz w:val="16"/>
          <w:szCs w:val="16"/>
          <w:color w:val="auto"/>
        </w:rPr>
        <w:t>held South Dakota corporation acquired by a person that exceed the thresholds of voting power described below will have the same voting rights as other shares of the same class or series only if approved by:</w:t>
      </w:r>
    </w:p>
    <w:p>
      <w:pPr>
        <w:spacing w:after="0" w:line="17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affirmative vote of the majority of all outstanding shares entitled to vote, including all shares held by the acquiring person;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affirmative vote of the majority of all outstanding shares entitled to vote, excluding all interested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Each time an acquiring person reaches a threshold, the acquiring person must deliver an information statement to the Company and a vote must be held as</w:t>
      </w:r>
    </w:p>
    <w:p>
      <w:pPr>
        <w:spacing w:after="0" w:line="21" w:lineRule="exact"/>
        <w:rPr>
          <w:sz w:val="20"/>
          <w:szCs w:val="20"/>
          <w:color w:val="auto"/>
        </w:rPr>
      </w:pPr>
    </w:p>
    <w:p>
      <w:pPr>
        <w:ind w:right="480"/>
        <w:spacing w:after="0" w:line="189" w:lineRule="exact"/>
        <w:rPr>
          <w:sz w:val="20"/>
          <w:szCs w:val="20"/>
          <w:color w:val="auto"/>
        </w:rPr>
      </w:pPr>
      <w:r>
        <w:rPr>
          <w:rFonts w:ascii="Arial" w:cs="Arial" w:eastAsia="Arial" w:hAnsi="Arial"/>
          <w:sz w:val="18"/>
          <w:szCs w:val="18"/>
          <w:color w:val="auto"/>
        </w:rPr>
        <w:t>described above before the acquiring person will have any voting rights with respect to shares in excess of such threshold. The thresholds that require shareholder approval before voting powers are obtained with respect to shares acquired in excess of such thresholds are 20%, 33</w:t>
      </w:r>
      <w:r>
        <w:rPr>
          <w:rFonts w:ascii="MS PGothic" w:cs="MS PGothic" w:eastAsia="MS PGothic" w:hAnsi="MS PGothic"/>
          <w:sz w:val="18"/>
          <w:szCs w:val="18"/>
          <w:color w:val="auto"/>
        </w:rPr>
        <w:t>‑</w:t>
      </w:r>
      <w:r>
        <w:rPr>
          <w:rFonts w:ascii="Arial" w:cs="Arial" w:eastAsia="Arial" w:hAnsi="Arial"/>
          <w:sz w:val="18"/>
          <w:szCs w:val="18"/>
          <w:color w:val="auto"/>
        </w:rPr>
        <w:t>1/3% and 50%, respectively.</w:t>
      </w:r>
    </w:p>
    <w:p>
      <w:pPr>
        <w:spacing w:after="0" w:line="176" w:lineRule="exact"/>
        <w:rPr>
          <w:sz w:val="20"/>
          <w:szCs w:val="20"/>
          <w:color w:val="auto"/>
        </w:rPr>
      </w:pPr>
    </w:p>
    <w:p>
      <w:pPr>
        <w:ind w:right="180"/>
        <w:spacing w:after="0" w:line="194" w:lineRule="exact"/>
        <w:rPr>
          <w:sz w:val="20"/>
          <w:szCs w:val="20"/>
          <w:color w:val="auto"/>
        </w:rPr>
      </w:pPr>
      <w:r>
        <w:rPr>
          <w:rFonts w:ascii="Arial" w:cs="Arial" w:eastAsia="Arial" w:hAnsi="Arial"/>
          <w:sz w:val="18"/>
          <w:szCs w:val="18"/>
          <w:color w:val="auto"/>
        </w:rPr>
        <w:t>Shares acquired in the absence of such approval are denied voting rights and are redeemable at their then</w:t>
      </w:r>
      <w:r>
        <w:rPr>
          <w:rFonts w:ascii="MS PGothic" w:cs="MS PGothic" w:eastAsia="MS PGothic" w:hAnsi="MS PGothic"/>
          <w:sz w:val="18"/>
          <w:szCs w:val="18"/>
          <w:color w:val="auto"/>
        </w:rPr>
        <w:t>‑</w:t>
      </w:r>
      <w:r>
        <w:rPr>
          <w:rFonts w:ascii="Arial" w:cs="Arial" w:eastAsia="Arial" w:hAnsi="Arial"/>
          <w:sz w:val="18"/>
          <w:szCs w:val="18"/>
          <w:color w:val="auto"/>
        </w:rPr>
        <w:t>current market value by the Company within 10 days after the acquiring person has failed to give a timely information statement to the Company or the date the shareholders voted not to grant voting rights to the acquiring person’s shares.</w:t>
      </w:r>
    </w:p>
    <w:p>
      <w:pPr>
        <w:spacing w:after="0" w:line="176" w:lineRule="exact"/>
        <w:rPr>
          <w:sz w:val="20"/>
          <w:szCs w:val="20"/>
          <w:color w:val="auto"/>
        </w:rPr>
      </w:pPr>
    </w:p>
    <w:p>
      <w:pPr>
        <w:jc w:val="both"/>
        <w:ind w:right="160"/>
        <w:spacing w:after="0" w:line="185" w:lineRule="exact"/>
        <w:rPr>
          <w:sz w:val="20"/>
          <w:szCs w:val="20"/>
          <w:color w:val="auto"/>
        </w:rPr>
      </w:pPr>
      <w:r>
        <w:rPr>
          <w:rFonts w:ascii="Arial" w:cs="Arial" w:eastAsia="Arial" w:hAnsi="Arial"/>
          <w:sz w:val="16"/>
          <w:szCs w:val="16"/>
          <w:u w:val="single" w:color="auto"/>
          <w:color w:val="auto"/>
        </w:rPr>
        <w:t>Business Combinations</w:t>
      </w:r>
      <w:r>
        <w:rPr>
          <w:rFonts w:ascii="Arial" w:cs="Arial" w:eastAsia="Arial" w:hAnsi="Arial"/>
          <w:sz w:val="16"/>
          <w:szCs w:val="16"/>
          <w:color w:val="auto"/>
        </w:rPr>
        <w:t>. We are subject to the provisions of Section 47</w:t>
      </w:r>
      <w:r>
        <w:rPr>
          <w:rFonts w:ascii="MS PGothic" w:cs="MS PGothic" w:eastAsia="MS PGothic" w:hAnsi="MS PGothic"/>
          <w:sz w:val="16"/>
          <w:szCs w:val="16"/>
          <w:color w:val="auto"/>
        </w:rPr>
        <w:t>‑</w:t>
      </w:r>
      <w:r>
        <w:rPr>
          <w:rFonts w:ascii="Arial" w:cs="Arial" w:eastAsia="Arial" w:hAnsi="Arial"/>
          <w:sz w:val="16"/>
          <w:szCs w:val="16"/>
          <w:color w:val="auto"/>
        </w:rPr>
        <w:t>33</w:t>
      </w:r>
      <w:r>
        <w:rPr>
          <w:rFonts w:ascii="MS PGothic" w:cs="MS PGothic" w:eastAsia="MS PGothic" w:hAnsi="MS PGothic"/>
          <w:sz w:val="16"/>
          <w:szCs w:val="16"/>
          <w:color w:val="auto"/>
        </w:rPr>
        <w:t>‑</w:t>
      </w:r>
      <w:r>
        <w:rPr>
          <w:rFonts w:ascii="Arial" w:cs="Arial" w:eastAsia="Arial" w:hAnsi="Arial"/>
          <w:sz w:val="16"/>
          <w:szCs w:val="16"/>
          <w:color w:val="auto"/>
        </w:rPr>
        <w:t>17 of the Takeover Act. In general, Section 47</w:t>
      </w:r>
      <w:r>
        <w:rPr>
          <w:rFonts w:ascii="MS PGothic" w:cs="MS PGothic" w:eastAsia="MS PGothic" w:hAnsi="MS PGothic"/>
          <w:sz w:val="16"/>
          <w:szCs w:val="16"/>
          <w:color w:val="auto"/>
        </w:rPr>
        <w:t>‑</w:t>
      </w:r>
      <w:r>
        <w:rPr>
          <w:rFonts w:ascii="Arial" w:cs="Arial" w:eastAsia="Arial" w:hAnsi="Arial"/>
          <w:sz w:val="16"/>
          <w:szCs w:val="16"/>
          <w:color w:val="auto"/>
        </w:rPr>
        <w:t>33</w:t>
      </w:r>
      <w:r>
        <w:rPr>
          <w:rFonts w:ascii="MS PGothic" w:cs="MS PGothic" w:eastAsia="MS PGothic" w:hAnsi="MS PGothic"/>
          <w:sz w:val="16"/>
          <w:szCs w:val="16"/>
          <w:color w:val="auto"/>
        </w:rPr>
        <w:t>‑</w:t>
      </w:r>
      <w:r>
        <w:rPr>
          <w:rFonts w:ascii="Arial" w:cs="Arial" w:eastAsia="Arial" w:hAnsi="Arial"/>
          <w:sz w:val="16"/>
          <w:szCs w:val="16"/>
          <w:color w:val="auto"/>
        </w:rPr>
        <w:t>17 prohibits a publicly</w:t>
      </w:r>
      <w:r>
        <w:rPr>
          <w:rFonts w:ascii="MS PGothic" w:cs="MS PGothic" w:eastAsia="MS PGothic" w:hAnsi="MS PGothic"/>
          <w:sz w:val="16"/>
          <w:szCs w:val="16"/>
          <w:color w:val="auto"/>
        </w:rPr>
        <w:t>‑</w:t>
      </w:r>
      <w:r>
        <w:rPr>
          <w:rFonts w:ascii="Arial" w:cs="Arial" w:eastAsia="Arial" w:hAnsi="Arial"/>
          <w:sz w:val="16"/>
          <w:szCs w:val="16"/>
          <w:color w:val="auto"/>
        </w:rPr>
        <w:t>held South Dakota corporation from engaging in a “business combination” with an “interested shareholder” unless the business combination or the transaction in which the person became an interested shareholder is approved in a prescribed manner. A business combination with the interested shareholder must be</w:t>
      </w:r>
    </w:p>
    <w:p>
      <w:pPr>
        <w:spacing w:after="0" w:line="231" w:lineRule="auto"/>
        <w:rPr>
          <w:sz w:val="20"/>
          <w:szCs w:val="20"/>
          <w:color w:val="auto"/>
        </w:rPr>
      </w:pPr>
      <w:r>
        <w:rPr>
          <w:rFonts w:ascii="Arial" w:cs="Arial" w:eastAsia="Arial" w:hAnsi="Arial"/>
          <w:sz w:val="16"/>
          <w:szCs w:val="16"/>
          <w:color w:val="auto"/>
        </w:rPr>
        <w:t>approved by (1) the board of directors of the corporation prior to the date that the person became an interested shareholder of the corporation (referred to as</w:t>
      </w:r>
    </w:p>
    <w:p>
      <w:pPr>
        <w:spacing w:after="0" w:line="229" w:lineRule="auto"/>
        <w:rPr>
          <w:sz w:val="20"/>
          <w:szCs w:val="20"/>
          <w:color w:val="auto"/>
        </w:rPr>
      </w:pPr>
      <w:r>
        <w:rPr>
          <w:rFonts w:ascii="Arial" w:cs="Arial" w:eastAsia="Arial" w:hAnsi="Arial"/>
          <w:sz w:val="16"/>
          <w:szCs w:val="16"/>
          <w:color w:val="auto"/>
        </w:rPr>
        <w:t>the person’s “share acquisition date”); (2) the affirmative vote of all of the holders of all of the outstanding voting shares, or, under some circumstances, by</w:t>
      </w:r>
    </w:p>
    <w:p>
      <w:pPr>
        <w:spacing w:after="0"/>
        <w:rPr>
          <w:sz w:val="20"/>
          <w:szCs w:val="20"/>
          <w:color w:val="auto"/>
        </w:rPr>
      </w:pPr>
      <w:r>
        <w:rPr>
          <w:rFonts w:ascii="Arial" w:cs="Arial" w:eastAsia="Arial" w:hAnsi="Arial"/>
          <w:sz w:val="16"/>
          <w:szCs w:val="16"/>
          <w:color w:val="auto"/>
        </w:rPr>
        <w:t>the affirmative vote of the holders of a majority of the outstanding voting shares not including those shares beneficially owned by the interested shareholder</w:t>
      </w:r>
    </w:p>
    <w:p>
      <w:pPr>
        <w:spacing w:after="0" w:line="5" w:lineRule="exact"/>
        <w:rPr>
          <w:sz w:val="20"/>
          <w:szCs w:val="20"/>
          <w:color w:val="auto"/>
        </w:rPr>
      </w:pPr>
    </w:p>
    <w:p>
      <w:pPr>
        <w:ind w:right="20"/>
        <w:spacing w:after="0" w:line="179" w:lineRule="exact"/>
        <w:rPr>
          <w:sz w:val="20"/>
          <w:szCs w:val="20"/>
          <w:color w:val="auto"/>
        </w:rPr>
      </w:pPr>
      <w:r>
        <w:rPr>
          <w:rFonts w:ascii="Arial" w:cs="Arial" w:eastAsia="Arial" w:hAnsi="Arial"/>
          <w:sz w:val="16"/>
          <w:szCs w:val="16"/>
          <w:color w:val="auto"/>
        </w:rPr>
        <w:t>or any of its affiliates or associates; (3) the affirmative vote of the holders of a majority of the outstanding voting shares not including those shares beneficially owned by the interested shareholder or any of its affiliates or associates at a meeting no earlier than four years after the interested shareholder’s share acquisition date; or (4) the affirmative vote of the holders of a majority of the outstanding voting shares at a meeting no earlier than four years after the interested shareholder’s share acquisition date if the business combination satisfies the conditions of Section 47</w:t>
      </w:r>
      <w:r>
        <w:rPr>
          <w:rFonts w:ascii="MS PGothic" w:cs="MS PGothic" w:eastAsia="MS PGothic" w:hAnsi="MS PGothic"/>
          <w:sz w:val="16"/>
          <w:szCs w:val="16"/>
          <w:color w:val="auto"/>
        </w:rPr>
        <w:t>‑</w:t>
      </w:r>
      <w:r>
        <w:rPr>
          <w:rFonts w:ascii="Arial" w:cs="Arial" w:eastAsia="Arial" w:hAnsi="Arial"/>
          <w:sz w:val="16"/>
          <w:szCs w:val="16"/>
          <w:color w:val="auto"/>
        </w:rPr>
        <w:t>33</w:t>
      </w:r>
      <w:r>
        <w:rPr>
          <w:rFonts w:ascii="MS PGothic" w:cs="MS PGothic" w:eastAsia="MS PGothic" w:hAnsi="MS PGothic"/>
          <w:sz w:val="16"/>
          <w:szCs w:val="16"/>
          <w:color w:val="auto"/>
        </w:rPr>
        <w:t>‑</w:t>
      </w:r>
      <w:r>
        <w:rPr>
          <w:rFonts w:ascii="Arial" w:cs="Arial" w:eastAsia="Arial" w:hAnsi="Arial"/>
          <w:sz w:val="16"/>
          <w:szCs w:val="16"/>
          <w:color w:val="auto"/>
        </w:rPr>
        <w:t>18 of the Takeover Act. Generally,</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an “interested shareholder” is a person who, together with affiliates and associates, beneficially owns, directly or indirectly, 10% or more of the corporation’s voting stock. A “business combination” includes a merger, a transfer of 10% or more of the corporation’s assets, the issuance or transfer of stock equal to 5% or more of the aggregate market value of all of the corporation’s outstanding shares, the adoption of a plan of liquidation or dissolution,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other transaction resulting in a financial benefit to the interested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8" w:right="339" w:bottom="1440" w:gutter="0" w:footer="0" w:header="0"/>
        </w:sectPr>
      </w:pPr>
    </w:p>
    <w:bookmarkStart w:id="114" w:name="page115"/>
    <w:bookmarkEnd w:id="114"/>
    <w:p>
      <w:pPr>
        <w:ind w:right="200"/>
        <w:spacing w:after="0" w:line="191" w:lineRule="exact"/>
        <w:rPr>
          <w:sz w:val="20"/>
          <w:szCs w:val="20"/>
          <w:color w:val="auto"/>
        </w:rPr>
      </w:pPr>
      <w:r>
        <w:rPr>
          <w:rFonts w:ascii="Arial" w:cs="Arial" w:eastAsia="Arial" w:hAnsi="Arial"/>
          <w:sz w:val="16"/>
          <w:szCs w:val="16"/>
          <w:u w:val="single" w:color="auto"/>
          <w:color w:val="auto"/>
        </w:rPr>
        <w:t>Multiple Constituencies</w:t>
      </w:r>
      <w:r>
        <w:rPr>
          <w:rFonts w:ascii="Arial" w:cs="Arial" w:eastAsia="Arial" w:hAnsi="Arial"/>
          <w:sz w:val="16"/>
          <w:szCs w:val="16"/>
          <w:color w:val="auto"/>
        </w:rPr>
        <w:t>. The Takeover Act further provides that the Board, in determining whether to approve a merger or other change of control, may take into account both the long</w:t>
      </w:r>
      <w:r>
        <w:rPr>
          <w:rFonts w:ascii="MS PGothic" w:cs="MS PGothic" w:eastAsia="MS PGothic" w:hAnsi="MS PGothic"/>
          <w:sz w:val="16"/>
          <w:szCs w:val="16"/>
          <w:color w:val="auto"/>
        </w:rPr>
        <w:t>‑</w:t>
      </w:r>
      <w:r>
        <w:rPr>
          <w:rFonts w:ascii="Arial" w:cs="Arial" w:eastAsia="Arial" w:hAnsi="Arial"/>
          <w:sz w:val="16"/>
          <w:szCs w:val="16"/>
          <w:color w:val="auto"/>
        </w:rPr>
        <w:t>term as well as short</w:t>
      </w:r>
      <w:r>
        <w:rPr>
          <w:rFonts w:ascii="MS PGothic" w:cs="MS PGothic" w:eastAsia="MS PGothic" w:hAnsi="MS PGothic"/>
          <w:sz w:val="16"/>
          <w:szCs w:val="16"/>
          <w:color w:val="auto"/>
        </w:rPr>
        <w:t>‑</w:t>
      </w:r>
      <w:r>
        <w:rPr>
          <w:rFonts w:ascii="Arial" w:cs="Arial" w:eastAsia="Arial" w:hAnsi="Arial"/>
          <w:sz w:val="16"/>
          <w:szCs w:val="16"/>
          <w:color w:val="auto"/>
        </w:rPr>
        <w:t>term interests of us and our shareholders, the effect on our employees, customers, creditors and</w:t>
      </w:r>
    </w:p>
    <w:p>
      <w:pPr>
        <w:ind w:right="40"/>
        <w:spacing w:after="0" w:line="226" w:lineRule="auto"/>
        <w:rPr>
          <w:sz w:val="20"/>
          <w:szCs w:val="20"/>
          <w:color w:val="auto"/>
        </w:rPr>
      </w:pPr>
      <w:r>
        <w:rPr>
          <w:rFonts w:ascii="Arial" w:cs="Arial" w:eastAsia="Arial" w:hAnsi="Arial"/>
          <w:sz w:val="18"/>
          <w:szCs w:val="18"/>
          <w:color w:val="auto"/>
        </w:rPr>
        <w:t>suppliers, the effect upon the community in which we operate, and the effect on the economy of the state and nation. This provision may permit the Board to vote against some proposals that, in the absence of this provision, it would otherwise have a fiduciary duty to approve.</w:t>
      </w:r>
    </w:p>
    <w:p>
      <w:pPr>
        <w:spacing w:after="0" w:line="161" w:lineRule="exact"/>
        <w:rPr>
          <w:sz w:val="20"/>
          <w:szCs w:val="20"/>
          <w:color w:val="auto"/>
        </w:rPr>
      </w:pPr>
    </w:p>
    <w:p>
      <w:pPr>
        <w:spacing w:after="0" w:line="184" w:lineRule="exact"/>
        <w:rPr>
          <w:sz w:val="20"/>
          <w:szCs w:val="20"/>
          <w:color w:val="auto"/>
        </w:rPr>
      </w:pPr>
      <w:r>
        <w:rPr>
          <w:rFonts w:ascii="Arial" w:cs="Arial" w:eastAsia="Arial" w:hAnsi="Arial"/>
          <w:sz w:val="16"/>
          <w:szCs w:val="16"/>
          <w:u w:val="single" w:color="auto"/>
          <w:color w:val="auto"/>
        </w:rPr>
        <w:t>Shareholder Action by Written Consent Must Be Unanimous</w:t>
      </w:r>
      <w:r>
        <w:rPr>
          <w:rFonts w:ascii="Arial" w:cs="Arial" w:eastAsia="Arial" w:hAnsi="Arial"/>
          <w:sz w:val="16"/>
          <w:szCs w:val="16"/>
          <w:color w:val="auto"/>
        </w:rPr>
        <w:t>. Section 47</w:t>
      </w:r>
      <w:r>
        <w:rPr>
          <w:rFonts w:ascii="MS PGothic" w:cs="MS PGothic" w:eastAsia="MS PGothic" w:hAnsi="MS PGothic"/>
          <w:sz w:val="16"/>
          <w:szCs w:val="16"/>
          <w:color w:val="auto"/>
        </w:rPr>
        <w:t>‑</w:t>
      </w:r>
      <w:r>
        <w:rPr>
          <w:rFonts w:ascii="Arial" w:cs="Arial" w:eastAsia="Arial" w:hAnsi="Arial"/>
          <w:sz w:val="16"/>
          <w:szCs w:val="16"/>
          <w:color w:val="auto"/>
        </w:rPr>
        <w:t>1A</w:t>
      </w:r>
      <w:r>
        <w:rPr>
          <w:rFonts w:ascii="MS PGothic" w:cs="MS PGothic" w:eastAsia="MS PGothic" w:hAnsi="MS PGothic"/>
          <w:sz w:val="16"/>
          <w:szCs w:val="16"/>
          <w:color w:val="auto"/>
        </w:rPr>
        <w:t>‑</w:t>
      </w:r>
      <w:r>
        <w:rPr>
          <w:rFonts w:ascii="Arial" w:cs="Arial" w:eastAsia="Arial" w:hAnsi="Arial"/>
          <w:sz w:val="16"/>
          <w:szCs w:val="16"/>
          <w:color w:val="auto"/>
        </w:rPr>
        <w:t>704 of the SDBCA provides that any action that may be taken at a meeting of</w:t>
      </w:r>
    </w:p>
    <w:p>
      <w:pPr>
        <w:spacing w:after="0" w:line="21" w:lineRule="exact"/>
        <w:rPr>
          <w:sz w:val="20"/>
          <w:szCs w:val="20"/>
          <w:color w:val="auto"/>
        </w:rPr>
      </w:pPr>
    </w:p>
    <w:p>
      <w:pPr>
        <w:ind w:right="220"/>
        <w:spacing w:after="0" w:line="218" w:lineRule="auto"/>
        <w:rPr>
          <w:sz w:val="20"/>
          <w:szCs w:val="20"/>
          <w:color w:val="auto"/>
        </w:rPr>
      </w:pPr>
      <w:r>
        <w:rPr>
          <w:rFonts w:ascii="Arial" w:cs="Arial" w:eastAsia="Arial" w:hAnsi="Arial"/>
          <w:sz w:val="18"/>
          <w:szCs w:val="18"/>
          <w:color w:val="auto"/>
        </w:rPr>
        <w:t>shareholders may be taken without a meeting if a written consent, setting forth the action taken, is signed by all of the shareholders entitled to vote with respect to the action taken. This provision prevents holders of less than all of our Common Stock from using the written consent procedure to take shareholder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1408" w:right="4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Subsidiaries of Company</w:t>
            </w:r>
          </w:p>
        </w:tc>
        <w:tc>
          <w:tcPr>
            <w:tcW w:w="6200" w:type="dxa"/>
            <w:vAlign w:val="bottom"/>
          </w:tcPr>
          <w:p>
            <w:pPr>
              <w:spacing w:after="0"/>
              <w:rPr>
                <w:sz w:val="20"/>
                <w:szCs w:val="20"/>
                <w:color w:val="auto"/>
              </w:rPr>
            </w:pPr>
          </w:p>
        </w:tc>
      </w:tr>
      <w:tr>
        <w:trPr>
          <w:trHeight w:val="72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620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Jurisdiction of Incorporation</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Daktronics Canada Inc.</w:t>
            </w:r>
          </w:p>
        </w:tc>
        <w:tc>
          <w:tcPr>
            <w:tcW w:w="62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Canada</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Daktronics GmbH</w:t>
            </w:r>
          </w:p>
        </w:tc>
        <w:tc>
          <w:tcPr>
            <w:tcW w:w="6200" w:type="dxa"/>
            <w:vAlign w:val="bottom"/>
          </w:tcPr>
          <w:p>
            <w:pPr>
              <w:ind w:left="2320"/>
              <w:spacing w:after="0"/>
              <w:rPr>
                <w:sz w:val="20"/>
                <w:szCs w:val="20"/>
                <w:color w:val="auto"/>
              </w:rPr>
            </w:pPr>
            <w:r>
              <w:rPr>
                <w:rFonts w:ascii="Arial" w:cs="Arial" w:eastAsia="Arial" w:hAnsi="Arial"/>
                <w:sz w:val="18"/>
                <w:szCs w:val="18"/>
                <w:color w:val="auto"/>
              </w:rPr>
              <w:t>Germany</w:t>
            </w: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Daktronics UK Limited</w:t>
            </w:r>
          </w:p>
        </w:tc>
        <w:tc>
          <w:tcPr>
            <w:tcW w:w="62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Great Britain</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Daktronics (Shanghai) Co., Ltd.</w:t>
            </w:r>
          </w:p>
        </w:tc>
        <w:tc>
          <w:tcPr>
            <w:tcW w:w="6200" w:type="dxa"/>
            <w:vAlign w:val="bottom"/>
          </w:tcPr>
          <w:p>
            <w:pPr>
              <w:ind w:left="2320"/>
              <w:spacing w:after="0"/>
              <w:rPr>
                <w:sz w:val="20"/>
                <w:szCs w:val="20"/>
                <w:color w:val="auto"/>
              </w:rPr>
            </w:pPr>
            <w:r>
              <w:rPr>
                <w:rFonts w:ascii="Arial" w:cs="Arial" w:eastAsia="Arial" w:hAnsi="Arial"/>
                <w:sz w:val="18"/>
                <w:szCs w:val="18"/>
                <w:color w:val="auto"/>
              </w:rPr>
              <w:t>Peoples Republic of China</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Daktronics France</w:t>
            </w:r>
          </w:p>
        </w:tc>
        <w:tc>
          <w:tcPr>
            <w:tcW w:w="62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France</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Daktronics Australia Pty Ltd.</w:t>
            </w:r>
          </w:p>
        </w:tc>
        <w:tc>
          <w:tcPr>
            <w:tcW w:w="62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Daktronics Installation, Inc.</w:t>
            </w:r>
          </w:p>
        </w:tc>
        <w:tc>
          <w:tcPr>
            <w:tcW w:w="62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South Dakota</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Daktronics Japan, Inc.</w:t>
            </w:r>
          </w:p>
        </w:tc>
        <w:tc>
          <w:tcPr>
            <w:tcW w:w="6200" w:type="dxa"/>
            <w:vAlign w:val="bottom"/>
          </w:tcPr>
          <w:p>
            <w:pPr>
              <w:ind w:left="2320"/>
              <w:spacing w:after="0"/>
              <w:rPr>
                <w:sz w:val="20"/>
                <w:szCs w:val="20"/>
                <w:color w:val="auto"/>
              </w:rPr>
            </w:pPr>
            <w:r>
              <w:rPr>
                <w:rFonts w:ascii="Arial" w:cs="Arial" w:eastAsia="Arial" w:hAnsi="Arial"/>
                <w:sz w:val="18"/>
                <w:szCs w:val="18"/>
                <w:color w:val="auto"/>
              </w:rPr>
              <w:t>Japan</w:t>
            </w: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Daktronics HK Limited</w:t>
            </w:r>
          </w:p>
        </w:tc>
        <w:tc>
          <w:tcPr>
            <w:tcW w:w="62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Hong Kong</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Daktronics (International) Limited</w:t>
            </w:r>
          </w:p>
        </w:tc>
        <w:tc>
          <w:tcPr>
            <w:tcW w:w="6200" w:type="dxa"/>
            <w:vAlign w:val="bottom"/>
          </w:tcPr>
          <w:p>
            <w:pPr>
              <w:ind w:left="2320"/>
              <w:spacing w:after="0"/>
              <w:rPr>
                <w:sz w:val="20"/>
                <w:szCs w:val="20"/>
                <w:color w:val="auto"/>
              </w:rPr>
            </w:pPr>
            <w:r>
              <w:rPr>
                <w:rFonts w:ascii="Arial" w:cs="Arial" w:eastAsia="Arial" w:hAnsi="Arial"/>
                <w:sz w:val="18"/>
                <w:szCs w:val="18"/>
                <w:color w:val="auto"/>
              </w:rPr>
              <w:t>Macau</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Daktronics Singapore Pte. Ltd.</w:t>
            </w:r>
          </w:p>
        </w:tc>
        <w:tc>
          <w:tcPr>
            <w:tcW w:w="62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Singapore</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Daktronics Spain S.L.</w:t>
            </w:r>
          </w:p>
        </w:tc>
        <w:tc>
          <w:tcPr>
            <w:tcW w:w="6200" w:type="dxa"/>
            <w:vAlign w:val="bottom"/>
          </w:tcPr>
          <w:p>
            <w:pPr>
              <w:ind w:left="2320"/>
              <w:spacing w:after="0"/>
              <w:rPr>
                <w:sz w:val="20"/>
                <w:szCs w:val="20"/>
                <w:color w:val="auto"/>
              </w:rPr>
            </w:pPr>
            <w:r>
              <w:rPr>
                <w:rFonts w:ascii="Arial" w:cs="Arial" w:eastAsia="Arial" w:hAnsi="Arial"/>
                <w:sz w:val="18"/>
                <w:szCs w:val="18"/>
                <w:color w:val="auto"/>
              </w:rPr>
              <w:t>Spain</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Daktronics Belgium</w:t>
            </w:r>
          </w:p>
        </w:tc>
        <w:tc>
          <w:tcPr>
            <w:tcW w:w="62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Belgium</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Daktronics Ireland Holdings Limited</w:t>
            </w:r>
          </w:p>
        </w:tc>
        <w:tc>
          <w:tcPr>
            <w:tcW w:w="6200" w:type="dxa"/>
            <w:vAlign w:val="bottom"/>
          </w:tcPr>
          <w:p>
            <w:pPr>
              <w:ind w:left="232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240"/>
          </w:cols>
          <w:pgMar w:left="320" w:top="1404" w:right="339" w:bottom="1440" w:gutter="0" w:footer="0" w:header="0"/>
        </w:sectPr>
      </w:pPr>
    </w:p>
    <w:bookmarkStart w:id="116" w:name="page117"/>
    <w:bookmarkEnd w:id="116"/>
    <w:p>
      <w:pPr>
        <w:ind w:left="10320"/>
        <w:spacing w:after="0"/>
        <w:rPr>
          <w:sz w:val="20"/>
          <w:szCs w:val="20"/>
          <w:color w:val="auto"/>
        </w:rPr>
      </w:pPr>
      <w:r>
        <w:rPr>
          <w:rFonts w:ascii="Arial" w:cs="Arial" w:eastAsia="Arial" w:hAnsi="Arial"/>
          <w:sz w:val="16"/>
          <w:szCs w:val="16"/>
          <w:b w:val="1"/>
          <w:bCs w:val="1"/>
          <w:color w:val="auto"/>
        </w:rPr>
        <w:t>Exhibit 23.1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consent to the incorporation by reference in Registration Statement Nos. 333-54006 and 333-221901 on Form S-3 and Registration Statement Nos. 333-100842, 333-109962, 333-146768, 333-169568, 333-206750, 333-221862, 333-227580, 333-248591 and 333-268779 on Form S-8 of our reports dated July 12, 2023, relating to the financial statements of Daktronics, Inc. and subsidiaries and the effectiveness of Daktronics, Inc. and subsidiaries’ internal control over financial reporting appearing in this Annual Report on Form 10-K for the year ended April 29,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July 12, 2023</w:t>
      </w:r>
    </w:p>
    <w:p>
      <w:pPr>
        <w:sectPr>
          <w:pgSz w:w="11900" w:h="16838" w:orient="portrait"/>
          <w:cols w:equalWidth="0" w:num="1">
            <w:col w:w="11240"/>
          </w:cols>
          <w:pgMar w:left="320" w:top="140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KNOW ALL BY THESE PRESENTS, that each person whose signature appears below constitutes and appoints each of Reece A. Kurtenbach and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29, 2023, and any or all amendments to said Annual Report, and to file the same, with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ratifying and confirming all that each such attorney-in-fact and agent, or his substitute, may lawfully do or cause to be done by virtue 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720" w:type="dxa"/>
            <w:vAlign w:val="bottom"/>
          </w:tcPr>
          <w:p>
            <w:pPr>
              <w:ind w:left="1240"/>
              <w:spacing w:after="0"/>
              <w:rPr>
                <w:sz w:val="20"/>
                <w:szCs w:val="20"/>
                <w:color w:val="auto"/>
              </w:rPr>
            </w:pPr>
            <w:r>
              <w:rPr>
                <w:rFonts w:ascii="Arial" w:cs="Arial" w:eastAsia="Arial" w:hAnsi="Arial"/>
                <w:sz w:val="18"/>
                <w:szCs w:val="18"/>
                <w:b w:val="1"/>
                <w:bCs w:val="1"/>
                <w:color w:val="auto"/>
              </w:rPr>
              <w:t>Title</w:t>
            </w:r>
          </w:p>
        </w:tc>
        <w:tc>
          <w:tcPr>
            <w:tcW w:w="1840" w:type="dxa"/>
            <w:vAlign w:val="bottom"/>
          </w:tcPr>
          <w:p>
            <w:pPr>
              <w:ind w:left="860"/>
              <w:spacing w:after="0"/>
              <w:rPr>
                <w:sz w:val="20"/>
                <w:szCs w:val="20"/>
                <w:color w:val="auto"/>
              </w:rPr>
            </w:pPr>
            <w:r>
              <w:rPr>
                <w:rFonts w:ascii="Arial" w:cs="Arial" w:eastAsia="Arial" w:hAnsi="Arial"/>
                <w:sz w:val="18"/>
                <w:szCs w:val="18"/>
                <w:b w:val="1"/>
                <w:bCs w:val="1"/>
                <w:color w:val="auto"/>
              </w:rPr>
              <w:t>Date</w:t>
            </w:r>
          </w:p>
        </w:tc>
      </w:tr>
      <w:tr>
        <w:trPr>
          <w:trHeight w:val="527"/>
        </w:trPr>
        <w:tc>
          <w:tcPr>
            <w:tcW w:w="3540" w:type="dxa"/>
            <w:vAlign w:val="bottom"/>
            <w:gridSpan w:val="9"/>
          </w:tcPr>
          <w:p>
            <w:pPr>
              <w:spacing w:after="0"/>
              <w:rPr>
                <w:sz w:val="20"/>
                <w:szCs w:val="20"/>
                <w:color w:val="auto"/>
              </w:rPr>
            </w:pPr>
            <w:r>
              <w:rPr>
                <w:rFonts w:ascii="Arial" w:cs="Arial" w:eastAsia="Arial" w:hAnsi="Arial"/>
                <w:sz w:val="18"/>
                <w:szCs w:val="18"/>
                <w:color w:val="auto"/>
              </w:rPr>
              <w:t>By /s/ Shereta Williams</w:t>
            </w: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20"/>
        </w:trPr>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91"/>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Shereta Williams</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26"/>
        </w:trPr>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By /s/ Lance D. Bultena</w:t>
            </w:r>
          </w:p>
        </w:tc>
        <w:tc>
          <w:tcPr>
            <w:tcW w:w="1800" w:type="dxa"/>
            <w:vAlign w:val="bottom"/>
            <w:gridSpan w:val="5"/>
          </w:tcPr>
          <w:p>
            <w:pPr>
              <w:spacing w:after="0"/>
              <w:rPr>
                <w:sz w:val="24"/>
                <w:szCs w:val="24"/>
                <w:color w:val="auto"/>
              </w:rPr>
            </w:pP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291"/>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Lance D. Bultena</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3"/>
        </w:trPr>
        <w:tc>
          <w:tcPr>
            <w:tcW w:w="3540" w:type="dxa"/>
            <w:vAlign w:val="bottom"/>
            <w:gridSpan w:val="9"/>
          </w:tcPr>
          <w:p>
            <w:pPr>
              <w:spacing w:after="0"/>
              <w:rPr>
                <w:sz w:val="20"/>
                <w:szCs w:val="20"/>
                <w:color w:val="auto"/>
              </w:rPr>
            </w:pPr>
            <w:r>
              <w:rPr>
                <w:rFonts w:ascii="Arial" w:cs="Arial" w:eastAsia="Arial" w:hAnsi="Arial"/>
                <w:sz w:val="18"/>
                <w:szCs w:val="18"/>
                <w:color w:val="auto"/>
              </w:rPr>
              <w:t>By /s/ Dr. José-Marie Griffiths</w:t>
            </w: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20"/>
        </w:trPr>
        <w:tc>
          <w:tcPr>
            <w:tcW w:w="1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Dr. José-Marie Griffiths</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3"/>
        </w:trPr>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By /s/ Reece A. Kurtenbach</w:t>
            </w:r>
          </w:p>
        </w:tc>
        <w:tc>
          <w:tcPr>
            <w:tcW w:w="1500" w:type="dxa"/>
            <w:vAlign w:val="bottom"/>
            <w:gridSpan w:val="2"/>
          </w:tcPr>
          <w:p>
            <w:pPr>
              <w:spacing w:after="0"/>
              <w:rPr>
                <w:sz w:val="24"/>
                <w:szCs w:val="24"/>
                <w:color w:val="auto"/>
              </w:rPr>
            </w:pP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304"/>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Reece A. Kurtenbach</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3"/>
        </w:trPr>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By /s/ Andrew D. Siegel</w:t>
            </w:r>
          </w:p>
        </w:tc>
        <w:tc>
          <w:tcPr>
            <w:tcW w:w="1740" w:type="dxa"/>
            <w:vAlign w:val="bottom"/>
            <w:gridSpan w:val="4"/>
          </w:tcPr>
          <w:p>
            <w:pPr>
              <w:spacing w:after="0"/>
              <w:rPr>
                <w:sz w:val="24"/>
                <w:szCs w:val="24"/>
                <w:color w:val="auto"/>
              </w:rPr>
            </w:pP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304"/>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Andrew D. Siegel</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3"/>
        </w:trPr>
        <w:tc>
          <w:tcPr>
            <w:tcW w:w="3540" w:type="dxa"/>
            <w:vAlign w:val="bottom"/>
            <w:gridSpan w:val="9"/>
          </w:tcPr>
          <w:p>
            <w:pPr>
              <w:spacing w:after="0"/>
              <w:rPr>
                <w:sz w:val="20"/>
                <w:szCs w:val="20"/>
                <w:color w:val="auto"/>
              </w:rPr>
            </w:pPr>
            <w:r>
              <w:rPr>
                <w:rFonts w:ascii="Arial" w:cs="Arial" w:eastAsia="Arial" w:hAnsi="Arial"/>
                <w:sz w:val="18"/>
                <w:szCs w:val="18"/>
                <w:color w:val="auto"/>
              </w:rPr>
              <w:t>By /s/ John P. Friel</w:t>
            </w: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20"/>
        </w:trPr>
        <w:tc>
          <w:tcPr>
            <w:tcW w:w="1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John P. Friel</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3"/>
        </w:trPr>
        <w:tc>
          <w:tcPr>
            <w:tcW w:w="3540" w:type="dxa"/>
            <w:vAlign w:val="bottom"/>
            <w:gridSpan w:val="9"/>
          </w:tcPr>
          <w:p>
            <w:pPr>
              <w:spacing w:after="0"/>
              <w:rPr>
                <w:sz w:val="20"/>
                <w:szCs w:val="20"/>
                <w:color w:val="auto"/>
              </w:rPr>
            </w:pPr>
            <w:r>
              <w:rPr>
                <w:rFonts w:ascii="Arial" w:cs="Arial" w:eastAsia="Arial" w:hAnsi="Arial"/>
                <w:sz w:val="18"/>
                <w:szCs w:val="18"/>
                <w:color w:val="auto"/>
              </w:rPr>
              <w:t>By /s/ Kevin P. McDermott</w:t>
            </w: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Kevin P. McDermott</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By /s/ Howard I. Atkins</w:t>
            </w:r>
          </w:p>
        </w:tc>
        <w:tc>
          <w:tcPr>
            <w:tcW w:w="1820" w:type="dxa"/>
            <w:vAlign w:val="bottom"/>
            <w:gridSpan w:val="6"/>
          </w:tcPr>
          <w:p>
            <w:pPr>
              <w:spacing w:after="0"/>
              <w:rPr>
                <w:sz w:val="24"/>
                <w:szCs w:val="24"/>
                <w:color w:val="auto"/>
              </w:rPr>
            </w:pPr>
          </w:p>
        </w:tc>
        <w:tc>
          <w:tcPr>
            <w:tcW w:w="272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12, 2023</w:t>
            </w:r>
          </w:p>
        </w:tc>
      </w:tr>
      <w:tr>
        <w:trPr>
          <w:trHeight w:val="304"/>
        </w:trPr>
        <w:tc>
          <w:tcPr>
            <w:tcW w:w="3540" w:type="dxa"/>
            <w:vAlign w:val="bottom"/>
            <w:gridSpan w:val="9"/>
          </w:tcPr>
          <w:p>
            <w:pPr>
              <w:ind w:left="580"/>
              <w:spacing w:after="0"/>
              <w:rPr>
                <w:sz w:val="20"/>
                <w:szCs w:val="20"/>
                <w:color w:val="auto"/>
              </w:rPr>
            </w:pPr>
            <w:r>
              <w:rPr>
                <w:rFonts w:ascii="Arial" w:cs="Arial" w:eastAsia="Arial" w:hAnsi="Arial"/>
                <w:sz w:val="18"/>
                <w:szCs w:val="18"/>
                <w:color w:val="auto"/>
              </w:rPr>
              <w:t>Howard I. Atkins</w:t>
            </w: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0980"/>
          </w:cols>
          <w:pgMar w:left="460" w:top="1404" w:right="4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18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29, 2023 of Daktronics, Inc.;</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260"/>
        <w:spacing w:after="0"/>
        <w:rPr>
          <w:sz w:val="20"/>
          <w:szCs w:val="20"/>
          <w:color w:val="auto"/>
        </w:rPr>
      </w:pPr>
      <w:r>
        <w:rPr>
          <w:rFonts w:ascii="Arial" w:cs="Arial" w:eastAsia="Arial" w:hAnsi="Arial"/>
          <w:sz w:val="18"/>
          <w:szCs w:val="18"/>
          <w:u w:val="single" w:color="auto"/>
          <w:color w:val="auto"/>
        </w:rPr>
        <w:t>/s/ Reece A. Kurtenbach</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Reece A. Kurtenbach</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July 12, 2023</w:t>
      </w:r>
    </w:p>
    <w:p>
      <w:pPr>
        <w:sectPr>
          <w:pgSz w:w="11900" w:h="16838" w:orient="portrait"/>
          <w:cols w:equalWidth="0" w:num="1">
            <w:col w:w="11240"/>
          </w:cols>
          <w:pgMar w:left="320" w:top="110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 certify that:</w:t>
      </w:r>
    </w:p>
    <w:p>
      <w:pPr>
        <w:spacing w:after="0" w:line="18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29, 2023 of Daktronics, Inc.;</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260"/>
        <w:spacing w:after="0"/>
        <w:rPr>
          <w:sz w:val="20"/>
          <w:szCs w:val="20"/>
          <w:color w:val="auto"/>
        </w:rPr>
      </w:pPr>
      <w:r>
        <w:rPr>
          <w:rFonts w:ascii="Arial" w:cs="Arial" w:eastAsia="Arial" w:hAnsi="Arial"/>
          <w:sz w:val="18"/>
          <w:szCs w:val="18"/>
          <w:u w:val="single" w:color="auto"/>
          <w:color w:val="auto"/>
        </w:rPr>
        <w:t>/s/ Sheila M. Anderson</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Sheila M. Anderson</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July 12, 2023</w:t>
      </w:r>
    </w:p>
    <w:p>
      <w:pPr>
        <w:sectPr>
          <w:pgSz w:w="11900" w:h="16838" w:orient="portrait"/>
          <w:cols w:equalWidth="0" w:num="1">
            <w:col w:w="11240"/>
          </w:cols>
          <w:pgMar w:left="320" w:top="110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April 29, 2023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left="6260"/>
        <w:spacing w:after="0"/>
        <w:rPr>
          <w:sz w:val="20"/>
          <w:szCs w:val="20"/>
          <w:color w:val="auto"/>
        </w:rPr>
      </w:pPr>
      <w:r>
        <w:rPr>
          <w:rFonts w:ascii="Arial" w:cs="Arial" w:eastAsia="Arial" w:hAnsi="Arial"/>
          <w:sz w:val="18"/>
          <w:szCs w:val="18"/>
          <w:u w:val="single" w:color="auto"/>
          <w:color w:val="auto"/>
        </w:rPr>
        <w:t>/s/ Reece A. Kurtenbach</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July 12, 2023</w:t>
      </w:r>
    </w:p>
    <w:p>
      <w:pPr>
        <w:sectPr>
          <w:pgSz w:w="11900" w:h="16838" w:orient="portrait"/>
          <w:cols w:equalWidth="0" w:num="1">
            <w:col w:w="11240"/>
          </w:cols>
          <w:pgMar w:left="320" w:top="110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 connection with the Annual Report on Form 10-K of Daktronics, Inc. (the “Company”) for the annual period ended April 29, 2023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0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left="6260"/>
        <w:spacing w:after="0"/>
        <w:rPr>
          <w:sz w:val="20"/>
          <w:szCs w:val="20"/>
          <w:color w:val="auto"/>
        </w:rPr>
      </w:pPr>
      <w:r>
        <w:rPr>
          <w:rFonts w:ascii="Arial" w:cs="Arial" w:eastAsia="Arial" w:hAnsi="Arial"/>
          <w:sz w:val="18"/>
          <w:szCs w:val="18"/>
          <w:u w:val="single" w:color="auto"/>
          <w:color w:val="auto"/>
        </w:rPr>
        <w:t>/s/ Sheila M. Anderson</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July 12, 2023</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lowerRoman"/>
      <w:start w:val="17"/>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lvl w:ilvl="1">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lvl w:ilvl="1">
      <w:lvlJc w:val="left"/>
      <w:lvlText w:val="%2."/>
      <w:numFmt w:val="lowerLetter"/>
      <w:start w:val="1"/>
    </w:lvl>
  </w:abstractNum>
  <w:abstractNum w:abstractNumId="17">
    <w:nsid w:val="3006C83E"/>
    <w:multiLevelType w:val="hybridMultilevel"/>
    <w:lvl w:ilvl="0">
      <w:lvlJc w:val="left"/>
      <w:lvlText w:val="%1"/>
      <w:numFmt w:val="decimal"/>
      <w:start w:val="1"/>
    </w:lvl>
    <w:lvl w:ilvl="1">
      <w:lvlJc w:val="left"/>
      <w:lvlText w:val="%2."/>
      <w:numFmt w:val="lowerLetter"/>
      <w:start w:val="2"/>
    </w:lvl>
  </w:abstractNum>
  <w:abstractNum w:abstractNumId="18">
    <w:nsid w:val="614FD4A1"/>
    <w:multiLevelType w:val="hybridMultilevel"/>
    <w:lvl w:ilvl="0">
      <w:lvlJc w:val="left"/>
      <w:lvlText w:val="%1."/>
      <w:numFmt w:val="decimal"/>
      <w:start w:val="8"/>
    </w:lvl>
    <w:lvl w:ilvl="1">
      <w:lvlJc w:val="left"/>
      <w:lvlText w:val="%2"/>
      <w:numFmt w:val="low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2"/>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lvl w:ilvl="1">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lvl w:ilvl="1">
      <w:lvlJc w:val="left"/>
      <w:lvlText w:val="(%2)"/>
      <w:numFmt w:val="decimal"/>
      <w:start w:val="1"/>
    </w:lvl>
  </w:abstractNum>
  <w:abstractNum w:abstractNumId="34">
    <w:nsid w:val="70A64E2A"/>
    <w:multiLevelType w:val="hybridMultilevel"/>
    <w:lvl w:ilvl="0">
      <w:lvlJc w:val="left"/>
      <w:lvlText w:val="%1"/>
      <w:numFmt w:val="decimal"/>
      <w:start w:val="1"/>
    </w:lvl>
    <w:lvl w:ilvl="1">
      <w:lvlJc w:val="left"/>
      <w:lvlText w:val="(%2)"/>
      <w:numFmt w:val="decimal"/>
      <w:start w:val="3"/>
    </w:lvl>
  </w:abstractNum>
  <w:abstractNum w:abstractNumId="35">
    <w:nsid w:val="6A2342EC"/>
    <w:multiLevelType w:val="hybridMultilevel"/>
    <w:lvl w:ilvl="0">
      <w:lvlJc w:val="left"/>
      <w:lvlText w:val="(%1)"/>
      <w:numFmt w:val="decimal"/>
      <w:start w:val="8"/>
    </w:lvl>
    <w:lvl w:ilvl="1">
      <w:lvlJc w:val="left"/>
      <w:lvlText w:val="(%2)"/>
      <w:numFmt w:val="decimal"/>
      <w:start w:val="9"/>
    </w:lvl>
  </w:abstractNum>
  <w:abstractNum w:abstractNumId="36">
    <w:nsid w:val="2A487CB0"/>
    <w:multiLevelType w:val="hybridMultilevel"/>
    <w:lvl w:ilvl="0">
      <w:lvlJc w:val="left"/>
      <w:lvlText w:val="(%1)"/>
      <w:numFmt w:val="decimal"/>
      <w:start w:val="18"/>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1"/>
      <w:numFmt w:val="decimal"/>
      <w:start w:val="24"/>
    </w:lvl>
  </w:abstractNum>
  <w:abstractNum w:abstractNumId="41">
    <w:nsid w:val="7A6D8D3C"/>
    <w:multiLevelType w:val="hybridMultilevel"/>
    <w:lvl w:ilvl="0">
      <w:lvlJc w:val="left"/>
      <w:lvlText w:val="%1"/>
      <w:numFmt w:val="decimal"/>
      <w:start w:val="101"/>
    </w:lvl>
  </w:abstractNum>
  <w:abstractNum w:abstractNumId="42">
    <w:nsid w:val="4B588F54"/>
    <w:multiLevelType w:val="hybridMultilevel"/>
    <w:lvl w:ilvl="0">
      <w:lvlJc w:val="left"/>
      <w:lvlText w:val="%1"/>
      <w:numFmt w:val="decimal"/>
      <w:start w:val="104"/>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36" Type="http://schemas.openxmlformats.org/officeDocument/2006/relationships/image" Target="media/image118.png"/><Relationship Id="rId152" Type="http://schemas.openxmlformats.org/officeDocument/2006/relationships/image" Target="media/image119.png"/><Relationship Id="rId155"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39" Type="http://schemas.openxmlformats.org/officeDocument/2006/relationships/hyperlink" Target="https://www.sec.gov/ix?doc=/Archives/edgar/data/915779/000091577922000007/dakt-20220430.htm" TargetMode="External"/><Relationship Id="rId126" Type="http://schemas.openxmlformats.org/officeDocument/2006/relationships/hyperlink" Target="http://www.sec.gov/Archives/edgar/data/915779/000091577918000119/exhibit31.htm" TargetMode="External"/><Relationship Id="rId127" Type="http://schemas.openxmlformats.org/officeDocument/2006/relationships/hyperlink" Target="https://www.sec.gov/Archives/edgar/data/915779/000091577923000007/exhibit31.htm" TargetMode="External"/><Relationship Id="rId128" Type="http://schemas.openxmlformats.org/officeDocument/2006/relationships/hyperlink" Target="http://www.sec.gov/Archives/edgar/data/915779/000091577918000089/dakt_20181116x8-kxex41.htm" TargetMode="External"/><Relationship Id="rId129" Type="http://schemas.openxmlformats.org/officeDocument/2006/relationships/hyperlink" Target="https://www.sec.gov/Archives/edgar/data/915779/000143774921027158/ex_309612.htm" TargetMode="External"/><Relationship Id="rId130" Type="http://schemas.openxmlformats.org/officeDocument/2006/relationships/hyperlink" Target="http://www.sec.gov/Archives/edgar/data/915779/000091577907000084/exhibit10-5.htm" TargetMode="External"/><Relationship Id="rId131" Type="http://schemas.openxmlformats.org/officeDocument/2006/relationships/hyperlink" Target="http://www.sec.gov/Archives/edgar/data/915779/000091577915000046/dakt-20150501_defx14a.htm#s4b4ce7db85924a1dba35b799a722a4cd" TargetMode="External"/><Relationship Id="rId132" Type="http://schemas.openxmlformats.org/officeDocument/2006/relationships/hyperlink" Target="http://www.sec.gov/Archives/edgar/data/915779/000091577920000033/dakt-20200502_defx14a.htm#s5535584329af4387ba038501fc36f575" TargetMode="External"/><Relationship Id="rId133" Type="http://schemas.openxmlformats.org/officeDocument/2006/relationships/hyperlink" Target="http://www.sec.gov/Archives/edgar/data/0000915779/000091577920000054/daktex1028-ksom2020.htm" TargetMode="External"/><Relationship Id="rId134" Type="http://schemas.openxmlformats.org/officeDocument/2006/relationships/hyperlink" Target="https://www.sec.gov/Archives/edgar/data/915779/000091577920000054/daktex1038-ksom2020.htm" TargetMode="External"/><Relationship Id="rId135" Type="http://schemas.openxmlformats.org/officeDocument/2006/relationships/hyperlink" Target="http://www.sec.gov/Archives/edgar/data/0000915779/000091577920000054/daktex1048-ksom2020.htm" TargetMode="External"/><Relationship Id="rId137" Type="http://schemas.openxmlformats.org/officeDocument/2006/relationships/hyperlink" Target="http://www.sec.gov/Archives/edgar/data/0000915779/000091577920000054/daktex1058-ksom2020.htm" TargetMode="External"/><Relationship Id="rId138" Type="http://schemas.openxmlformats.org/officeDocument/2006/relationships/hyperlink" Target="http://www.sec.gov/Archives/edgar/data/915779/000091577916000233/dakt_20161115xex101.htm" TargetMode="External"/><Relationship Id="rId139" Type="http://schemas.openxmlformats.org/officeDocument/2006/relationships/hyperlink" Target="http://www.sec.gov/Archives/edgar/data/915779/000091577916000233/dakt_20161115xex102.htm" TargetMode="External"/><Relationship Id="rId140" Type="http://schemas.openxmlformats.org/officeDocument/2006/relationships/hyperlink" Target="http://www.sec.gov/Archives/edgar/data/915779/000091577919000079/dakt_20191115xex101.htm" TargetMode="External"/><Relationship Id="rId141" Type="http://schemas.openxmlformats.org/officeDocument/2006/relationships/hyperlink" Target="http://www.sec.gov/Archives/edgar/data/0000915779/000091577920000052/dakt20200801q1ex104.htm" TargetMode="External"/><Relationship Id="rId142" Type="http://schemas.openxmlformats.org/officeDocument/2006/relationships/hyperlink" Target="https://www.sec.gov/Archives/edgar/data/915779/000143774921014600/ex_246991.htm" TargetMode="External"/><Relationship Id="rId143" Type="http://schemas.openxmlformats.org/officeDocument/2006/relationships/hyperlink" Target="https://www.sec.gov/Archives/edgar/data/915779/000143774922010278/ex_367356.htm" TargetMode="External"/><Relationship Id="rId144" Type="http://schemas.openxmlformats.org/officeDocument/2006/relationships/hyperlink" Target="https://www.sec.gov/Archives/edgar/data/915779/000091577922000023/exhibit101_08152022credita.htm" TargetMode="External"/><Relationship Id="rId145" Type="http://schemas.openxmlformats.org/officeDocument/2006/relationships/hyperlink" Target="https://www.sec.gov/Archives/edgar/data/915779/000091577922000092/a101amendmenttocreditagree.htm" TargetMode="External"/><Relationship Id="rId146" Type="http://schemas.openxmlformats.org/officeDocument/2006/relationships/hyperlink" Target="https://www.sec.gov/Archives/edgar/data/915779/000091577922000115/a101sixthamendmenttocredit.htm" TargetMode="External"/><Relationship Id="rId147" Type="http://schemas.openxmlformats.org/officeDocument/2006/relationships/hyperlink" Target="https://www.sec.gov/Archives/edgar/data/915779/000091577923000003/exhibit101_seventhamendment.htm" TargetMode="External"/><Relationship Id="rId148" Type="http://schemas.openxmlformats.org/officeDocument/2006/relationships/hyperlink" Target="https://www.sec.gov/Archives/edgar/data/915779/000091577920000052/dakt20200801q1ex105.htm" TargetMode="External"/><Relationship Id="rId149" Type="http://schemas.openxmlformats.org/officeDocument/2006/relationships/hyperlink" Target="https://www.sec.gov/Archives/edgar/data/915779/000091577922000010/exhibit101_071822.htm" TargetMode="External"/><Relationship Id="rId150" Type="http://schemas.openxmlformats.org/officeDocument/2006/relationships/hyperlink" Target="https://www.sec.gov/Archives/edgar/data/915779/000091577923000022/seniorsecondliensecuredcon.htm" TargetMode="External"/><Relationship Id="rId151" Type="http://schemas.openxmlformats.org/officeDocument/2006/relationships/hyperlink" Target="https://www.sec.gov/Archives/edgar/data/915779/000091577923000029/exhibit101toformexecuted.htm" TargetMode="External"/><Relationship Id="rId153" Type="http://schemas.openxmlformats.org/officeDocument/2006/relationships/hyperlink" Target="https://www.sec.gov/Archives/edgar/data/915779/000091577923000029/exhibit102toformexecuted.htm" TargetMode="External"/><Relationship Id="rId154" Type="http://schemas.openxmlformats.org/officeDocument/2006/relationships/hyperlink" Target="https://www.sec.gov/Archives/edgar/data/915779/000091577923000029/exhibit103toform_execute.htm" TargetMode="External"/><Relationship Id="rId156" Type="http://schemas.openxmlformats.org/officeDocument/2006/relationships/hyperlink" Target="https://www.sec.gov/Archives/edgar/data/915779/000091577923000029/exhibit104toform_execute.htm" TargetMode="External"/><Relationship Id="rId157" Type="http://schemas.openxmlformats.org/officeDocument/2006/relationships/hyperlink" Target="https://www.sec.gov/Archives/edgar/data/915779/000091577923000029/exhibit105toform_execute.htm" TargetMode="External"/><Relationship Id="rId158" Type="http://schemas.openxmlformats.org/officeDocument/2006/relationships/hyperlink" Target="https://www.sec.gov/Archives/edgar/data/915779/000091577923000029/exhibit106toform_execute.htm" TargetMode="External"/><Relationship Id="rId159" Type="http://schemas.openxmlformats.org/officeDocument/2006/relationships/hyperlink" Target="https://www.sec.gov/Archives/edgar/data/915779/000091577923000029/exhibit107toform_execu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2023-07-12T14:16:40Z</dcterms:created>
  <dcterms:modified xsi:type="dcterms:W3CDTF">2023-07-12T14:16:40Z</dcterms:modified>
</cp:coreProperties>
</file>