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3900" w:right="1780" w:hanging="3892"/>
        <w:spacing w:after="0" w:line="282" w:lineRule="auto"/>
        <w:tabs>
          <w:tab w:leader="none" w:pos="31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January 29, 2022</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4120" w:right="1780" w:hanging="4112"/>
        <w:spacing w:after="0" w:line="253" w:lineRule="auto"/>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142875</wp:posOffset>
            </wp:positionV>
            <wp:extent cx="109728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1"/>
              </w:rPr>
              <w:t>South Dakota</w:t>
            </w:r>
          </w:p>
        </w:tc>
        <w:tc>
          <w:tcPr>
            <w:tcW w:w="8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46-0306862</w:t>
            </w:r>
          </w:p>
        </w:tc>
        <w:tc>
          <w:tcPr>
            <w:tcW w:w="80" w:type="dxa"/>
            <w:vAlign w:val="bottom"/>
          </w:tcPr>
          <w:p>
            <w:pPr>
              <w:spacing w:after="0"/>
              <w:rPr>
                <w:sz w:val="20"/>
                <w:szCs w:val="20"/>
                <w:color w:val="auto"/>
              </w:rPr>
            </w:pPr>
          </w:p>
        </w:tc>
      </w:tr>
      <w:tr>
        <w:trPr>
          <w:trHeight w:val="195"/>
        </w:trPr>
        <w:tc>
          <w:tcPr>
            <w:tcW w:w="3380" w:type="dxa"/>
            <w:vAlign w:val="bottom"/>
          </w:tcPr>
          <w:p>
            <w:pPr>
              <w:jc w:val="center"/>
              <w:ind w:left="710"/>
              <w:spacing w:after="0" w:line="195" w:lineRule="exact"/>
              <w:rPr>
                <w:sz w:val="20"/>
                <w:szCs w:val="20"/>
                <w:color w:val="auto"/>
              </w:rPr>
            </w:pPr>
            <w:r>
              <w:rPr>
                <w:rFonts w:ascii="Arial" w:cs="Arial" w:eastAsia="Arial" w:hAnsi="Arial"/>
                <w:sz w:val="18"/>
                <w:szCs w:val="18"/>
                <w:color w:val="auto"/>
                <w:w w:val="91"/>
              </w:rPr>
              <w:t>(State or Other Jurisdiction of</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3"/>
              </w:rPr>
              <w:t>(I.R.S. Employer Identification No.)</w:t>
            </w:r>
          </w:p>
        </w:tc>
        <w:tc>
          <w:tcPr>
            <w:tcW w:w="80" w:type="dxa"/>
            <w:vAlign w:val="bottom"/>
          </w:tcPr>
          <w:p>
            <w:pPr>
              <w:spacing w:after="0"/>
              <w:rPr>
                <w:sz w:val="16"/>
                <w:szCs w:val="16"/>
                <w:color w:val="auto"/>
              </w:rPr>
            </w:pPr>
          </w:p>
        </w:tc>
      </w:tr>
      <w:tr>
        <w:trPr>
          <w:trHeight w:val="230"/>
        </w:trPr>
        <w:tc>
          <w:tcPr>
            <w:tcW w:w="3380" w:type="dxa"/>
            <w:vAlign w:val="bottom"/>
          </w:tcPr>
          <w:p>
            <w:pPr>
              <w:jc w:val="center"/>
              <w:ind w:left="710"/>
              <w:spacing w:after="0"/>
              <w:rPr>
                <w:sz w:val="20"/>
                <w:szCs w:val="20"/>
                <w:color w:val="auto"/>
              </w:rPr>
            </w:pPr>
            <w:r>
              <w:rPr>
                <w:rFonts w:ascii="Arial" w:cs="Arial" w:eastAsia="Arial" w:hAnsi="Arial"/>
                <w:sz w:val="18"/>
                <w:szCs w:val="18"/>
                <w:color w:val="auto"/>
                <w:w w:val="92"/>
              </w:rPr>
              <w:t>Incorporation or Organization)</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380" w:type="dxa"/>
            <w:vAlign w:val="bottom"/>
          </w:tcPr>
          <w:p>
            <w:pPr>
              <w:jc w:val="center"/>
              <w:ind w:left="730"/>
              <w:spacing w:after="0"/>
              <w:rPr>
                <w:sz w:val="20"/>
                <w:szCs w:val="20"/>
                <w:color w:val="auto"/>
              </w:rPr>
            </w:pPr>
            <w:r>
              <w:rPr>
                <w:rFonts w:ascii="Arial" w:cs="Arial" w:eastAsia="Arial" w:hAnsi="Arial"/>
                <w:sz w:val="18"/>
                <w:szCs w:val="18"/>
                <w:b w:val="1"/>
                <w:bCs w:val="1"/>
                <w:color w:val="auto"/>
                <w:w w:val="92"/>
              </w:rPr>
              <w:t>201 Daktronics Drive</w:t>
            </w:r>
          </w:p>
        </w:tc>
        <w:tc>
          <w:tcPr>
            <w:tcW w:w="80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Brookings,</w:t>
            </w:r>
          </w:p>
        </w:tc>
        <w:tc>
          <w:tcPr>
            <w:tcW w:w="1820" w:type="dxa"/>
            <w:vAlign w:val="bottom"/>
            <w:gridSpan w:val="3"/>
          </w:tcPr>
          <w:p>
            <w:pPr>
              <w:ind w:left="840"/>
              <w:spacing w:after="0"/>
              <w:rPr>
                <w:sz w:val="20"/>
                <w:szCs w:val="20"/>
                <w:color w:val="auto"/>
              </w:rPr>
            </w:pPr>
            <w:r>
              <w:rPr>
                <w:rFonts w:ascii="Arial" w:cs="Arial" w:eastAsia="Arial" w:hAnsi="Arial"/>
                <w:sz w:val="18"/>
                <w:szCs w:val="18"/>
                <w:b w:val="1"/>
                <w:bCs w:val="1"/>
                <w:color w:val="auto"/>
              </w:rPr>
              <w:t>SD</w:t>
            </w:r>
          </w:p>
        </w:tc>
        <w:tc>
          <w:tcPr>
            <w:tcW w:w="4000" w:type="dxa"/>
            <w:vAlign w:val="bottom"/>
          </w:tcPr>
          <w:p>
            <w:pPr>
              <w:jc w:val="right"/>
              <w:ind w:right="1750"/>
              <w:spacing w:after="0"/>
              <w:rPr>
                <w:sz w:val="20"/>
                <w:szCs w:val="20"/>
                <w:color w:val="auto"/>
              </w:rPr>
            </w:pPr>
            <w:r>
              <w:rPr>
                <w:rFonts w:ascii="Arial" w:cs="Arial" w:eastAsia="Arial" w:hAnsi="Arial"/>
                <w:sz w:val="18"/>
                <w:szCs w:val="18"/>
                <w:b w:val="1"/>
                <w:bCs w:val="1"/>
                <w:color w:val="auto"/>
              </w:rPr>
              <w:t>57006</w:t>
            </w:r>
          </w:p>
        </w:tc>
        <w:tc>
          <w:tcPr>
            <w:tcW w:w="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3780" w:type="dxa"/>
            <w:vAlign w:val="bottom"/>
            <w:gridSpan w:val="6"/>
          </w:tcPr>
          <w:p>
            <w:pPr>
              <w:ind w:left="740"/>
              <w:spacing w:after="0"/>
              <w:rPr>
                <w:sz w:val="20"/>
                <w:szCs w:val="20"/>
                <w:color w:val="auto"/>
              </w:rPr>
            </w:pPr>
            <w:r>
              <w:rPr>
                <w:rFonts w:ascii="Arial" w:cs="Arial" w:eastAsia="Arial" w:hAnsi="Arial"/>
                <w:sz w:val="18"/>
                <w:szCs w:val="18"/>
                <w:color w:val="auto"/>
                <w:w w:val="95"/>
              </w:rPr>
              <w:t>(Address of Principal Executive Offices)</w:t>
            </w: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380" w:type="dxa"/>
            <w:vAlign w:val="bottom"/>
          </w:tcPr>
          <w:p>
            <w:pPr>
              <w:spacing w:after="0"/>
              <w:rPr>
                <w:sz w:val="24"/>
                <w:szCs w:val="24"/>
                <w:color w:val="auto"/>
              </w:rPr>
            </w:pPr>
          </w:p>
        </w:tc>
        <w:tc>
          <w:tcPr>
            <w:tcW w:w="334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0"/>
              </w:rPr>
              <w:t>(605) 692-0200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7780" w:type="dxa"/>
            <w:vAlign w:val="bottom"/>
            <w:gridSpan w:val="7"/>
          </w:tcPr>
          <w:p>
            <w:pPr>
              <w:jc w:val="center"/>
              <w:ind w:right="3210"/>
              <w:spacing w:after="0"/>
              <w:rPr>
                <w:sz w:val="20"/>
                <w:szCs w:val="20"/>
                <w:color w:val="auto"/>
              </w:rPr>
            </w:pPr>
            <w:r>
              <w:rPr>
                <w:rFonts w:ascii="Arial" w:cs="Arial" w:eastAsia="Arial" w:hAnsi="Arial"/>
                <w:sz w:val="18"/>
                <w:szCs w:val="18"/>
                <w:color w:val="auto"/>
                <w:w w:val="91"/>
              </w:rPr>
              <w:t>(Registrant’s Telephone Number, Including Area Code)</w:t>
            </w:r>
          </w:p>
        </w:tc>
        <w:tc>
          <w:tcPr>
            <w:tcW w:w="8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7780" w:type="dxa"/>
            <w:vAlign w:val="bottom"/>
            <w:gridSpan w:val="7"/>
          </w:tcPr>
          <w:p>
            <w:pPr>
              <w:jc w:val="center"/>
              <w:ind w:right="31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80" w:type="dxa"/>
            <w:vAlign w:val="bottom"/>
          </w:tcPr>
          <w:p>
            <w:pPr>
              <w:spacing w:after="0"/>
              <w:rPr>
                <w:sz w:val="24"/>
                <w:szCs w:val="24"/>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09"/>
        </w:trPr>
        <w:tc>
          <w:tcPr>
            <w:tcW w:w="3380" w:type="dxa"/>
            <w:vAlign w:val="bottom"/>
            <w:tcBorders>
              <w:left w:val="single" w:sz="8" w:color="auto"/>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0" w:type="dxa"/>
            <w:vAlign w:val="bottom"/>
            <w:tcBorders>
              <w:bottom w:val="single" w:sz="8" w:color="auto"/>
            </w:tcBorders>
            <w:gridSpan w:val="2"/>
          </w:tcPr>
          <w:p>
            <w:pPr>
              <w:spacing w:after="0"/>
              <w:rPr>
                <w:sz w:val="18"/>
                <w:szCs w:val="18"/>
                <w:color w:val="auto"/>
              </w:rPr>
            </w:pPr>
          </w:p>
        </w:tc>
        <w:tc>
          <w:tcPr>
            <w:tcW w:w="40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80" w:type="dxa"/>
            <w:vAlign w:val="bottom"/>
            <w:tcBorders>
              <w:bottom w:val="single" w:sz="8" w:color="auto"/>
              <w:right w:val="single" w:sz="8" w:color="auto"/>
            </w:tcBorders>
          </w:tcPr>
          <w:p>
            <w:pPr>
              <w:spacing w:after="0"/>
              <w:rPr>
                <w:sz w:val="18"/>
                <w:szCs w:val="18"/>
                <w:color w:val="auto"/>
              </w:rPr>
            </w:pPr>
          </w:p>
        </w:tc>
      </w:tr>
      <w:tr>
        <w:trPr>
          <w:trHeight w:val="226"/>
        </w:trPr>
        <w:tc>
          <w:tcPr>
            <w:tcW w:w="3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Common Stock, No Par Value</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rPr>
              <w:t>DAKT</w:t>
            </w:r>
          </w:p>
        </w:tc>
        <w:tc>
          <w:tcPr>
            <w:tcW w:w="440" w:type="dxa"/>
            <w:vAlign w:val="bottom"/>
            <w:tcBorders>
              <w:bottom w:val="single" w:sz="8" w:color="auto"/>
            </w:tcBorders>
            <w:gridSpan w:val="2"/>
          </w:tcPr>
          <w:p>
            <w:pPr>
              <w:spacing w:after="0"/>
              <w:rPr>
                <w:sz w:val="19"/>
                <w:szCs w:val="19"/>
                <w:color w:val="auto"/>
              </w:rPr>
            </w:pPr>
          </w:p>
        </w:tc>
        <w:tc>
          <w:tcPr>
            <w:tcW w:w="40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Nasdaq Global Select Market</w:t>
            </w:r>
          </w:p>
        </w:tc>
        <w:tc>
          <w:tcPr>
            <w:tcW w:w="80" w:type="dxa"/>
            <w:vAlign w:val="bottom"/>
            <w:tcBorders>
              <w:bottom w:val="single" w:sz="8" w:color="auto"/>
              <w:right w:val="single" w:sz="8" w:color="auto"/>
            </w:tcBorders>
          </w:tcPr>
          <w:p>
            <w:pPr>
              <w:spacing w:after="0"/>
              <w:rPr>
                <w:sz w:val="19"/>
                <w:szCs w:val="19"/>
                <w:color w:val="auto"/>
              </w:rPr>
            </w:pPr>
          </w:p>
        </w:tc>
      </w:tr>
      <w:tr>
        <w:trPr>
          <w:trHeight w:val="190"/>
        </w:trPr>
        <w:tc>
          <w:tcPr>
            <w:tcW w:w="3380" w:type="dxa"/>
            <w:vAlign w:val="bottom"/>
            <w:tcBorders>
              <w:left w:val="single" w:sz="8" w:color="auto"/>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Preferred Stock Purchase Rights</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ind w:right="710"/>
              <w:spacing w:after="0" w:line="189" w:lineRule="exact"/>
              <w:rPr>
                <w:sz w:val="20"/>
                <w:szCs w:val="20"/>
                <w:color w:val="auto"/>
              </w:rPr>
            </w:pPr>
            <w:r>
              <w:rPr>
                <w:rFonts w:ascii="Arial" w:cs="Arial" w:eastAsia="Arial" w:hAnsi="Arial"/>
                <w:sz w:val="18"/>
                <w:szCs w:val="18"/>
                <w:color w:val="auto"/>
              </w:rPr>
              <w:t>DAKT</w:t>
            </w:r>
          </w:p>
        </w:tc>
        <w:tc>
          <w:tcPr>
            <w:tcW w:w="440" w:type="dxa"/>
            <w:vAlign w:val="bottom"/>
            <w:tcBorders>
              <w:bottom w:val="single" w:sz="8" w:color="auto"/>
            </w:tcBorders>
            <w:gridSpan w:val="2"/>
          </w:tcPr>
          <w:p>
            <w:pPr>
              <w:spacing w:after="0"/>
              <w:rPr>
                <w:sz w:val="16"/>
                <w:szCs w:val="16"/>
                <w:color w:val="auto"/>
              </w:rPr>
            </w:pPr>
          </w:p>
        </w:tc>
        <w:tc>
          <w:tcPr>
            <w:tcW w:w="4000" w:type="dxa"/>
            <w:vAlign w:val="bottom"/>
            <w:tcBorders>
              <w:bottom w:val="single" w:sz="8" w:color="auto"/>
            </w:tcBorders>
          </w:tcPr>
          <w:p>
            <w:pPr>
              <w:jc w:val="center"/>
              <w:ind w:right="310"/>
              <w:spacing w:after="0" w:line="189" w:lineRule="exact"/>
              <w:rPr>
                <w:sz w:val="20"/>
                <w:szCs w:val="20"/>
                <w:color w:val="auto"/>
              </w:rPr>
            </w:pPr>
            <w:r>
              <w:rPr>
                <w:rFonts w:ascii="Arial" w:cs="Arial" w:eastAsia="Arial" w:hAnsi="Arial"/>
                <w:sz w:val="18"/>
                <w:szCs w:val="18"/>
                <w:color w:val="auto"/>
                <w:w w:val="90"/>
              </w:rPr>
              <w:t>Nasdaq Global Select Market</w:t>
            </w:r>
          </w:p>
        </w:tc>
        <w:tc>
          <w:tcPr>
            <w:tcW w:w="80" w:type="dxa"/>
            <w:vAlign w:val="bottom"/>
            <w:tcBorders>
              <w:bottom w:val="single" w:sz="8" w:color="auto"/>
              <w:right w:val="single" w:sz="8" w:color="auto"/>
            </w:tcBorders>
          </w:tcPr>
          <w:p>
            <w:pPr>
              <w:spacing w:after="0"/>
              <w:rPr>
                <w:sz w:val="16"/>
                <w:szCs w:val="16"/>
                <w:color w:val="auto"/>
              </w:rPr>
            </w:pPr>
          </w:p>
        </w:tc>
      </w:tr>
    </w:tbl>
    <w:p>
      <w:pPr>
        <w:spacing w:after="0" w:line="19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86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86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00" w:type="dxa"/>
            <w:vAlign w:val="bottom"/>
          </w:tcPr>
          <w:p>
            <w:pPr>
              <w:ind w:left="186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February 22, 2022 was 45,466,357.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20" w:type="dxa"/>
            <w:vAlign w:val="bottom"/>
            <w:gridSpan w:val="2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1"/>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8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rPr>
              <w:t>DAKTRONICS, INC. AND SUBSIDIARIES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gridSpan w:val="9"/>
          </w:tcPr>
          <w:p>
            <w:pPr>
              <w:jc w:val="center"/>
              <w:ind w:right="2920"/>
              <w:spacing w:after="0"/>
              <w:rPr>
                <w:sz w:val="20"/>
                <w:szCs w:val="20"/>
                <w:color w:val="auto"/>
              </w:rPr>
            </w:pPr>
            <w:r>
              <w:rPr>
                <w:rFonts w:ascii="Arial" w:cs="Arial" w:eastAsia="Arial" w:hAnsi="Arial"/>
                <w:sz w:val="18"/>
                <w:szCs w:val="18"/>
                <w:color w:val="auto"/>
                <w:w w:val="93"/>
              </w:rPr>
              <w:t>FORM 10-Q</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gridSpan w:val="9"/>
          </w:tcPr>
          <w:p>
            <w:pPr>
              <w:jc w:val="center"/>
              <w:ind w:right="2900"/>
              <w:spacing w:after="0"/>
              <w:rPr>
                <w:sz w:val="20"/>
                <w:szCs w:val="20"/>
                <w:color w:val="auto"/>
              </w:rPr>
            </w:pPr>
            <w:r>
              <w:rPr>
                <w:rFonts w:ascii="Arial" w:cs="Arial" w:eastAsia="Arial" w:hAnsi="Arial"/>
                <w:sz w:val="18"/>
                <w:szCs w:val="18"/>
                <w:color w:val="auto"/>
                <w:w w:val="89"/>
              </w:rPr>
              <w:t>For the Quarter Ended January 29, 2022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8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w w:val="89"/>
              </w:rPr>
              <w:t>Table of Contents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920" w:type="dxa"/>
            <w:vAlign w:val="bottom"/>
            <w:gridSpan w:val="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800" w:type="dxa"/>
            <w:vAlign w:val="bottom"/>
            <w:gridSpan w:val="22"/>
            <w:vMerge w:val="restart"/>
          </w:tcPr>
          <w:p>
            <w:pPr>
              <w:ind w:left="1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gridSpan w:val="5"/>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920" w:type="dxa"/>
            <w:vAlign w:val="bottom"/>
            <w:gridSpan w:val="6"/>
            <w:vMerge w:val="continue"/>
          </w:tcPr>
          <w:p>
            <w:pPr>
              <w:spacing w:after="0"/>
              <w:rPr>
                <w:sz w:val="16"/>
                <w:szCs w:val="16"/>
                <w:color w:val="auto"/>
              </w:rPr>
            </w:pPr>
          </w:p>
        </w:tc>
        <w:tc>
          <w:tcPr>
            <w:tcW w:w="9800" w:type="dxa"/>
            <w:vAlign w:val="bottom"/>
            <w:gridSpan w:val="22"/>
            <w:vMerge w:val="continue"/>
          </w:tcPr>
          <w:p>
            <w:pPr>
              <w:spacing w:after="0"/>
              <w:rPr>
                <w:sz w:val="16"/>
                <w:szCs w:val="16"/>
                <w:color w:val="auto"/>
              </w:rPr>
            </w:pPr>
          </w:p>
        </w:tc>
        <w:tc>
          <w:tcPr>
            <w:tcW w:w="340" w:type="dxa"/>
            <w:vAlign w:val="bottom"/>
            <w:gridSpan w:val="4"/>
          </w:tcPr>
          <w:p>
            <w:pPr>
              <w:jc w:val="center"/>
              <w:ind w:left="50"/>
              <w:spacing w:after="0" w:line="19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9"/>
          </w:tcPr>
          <w:p>
            <w:pPr>
              <w:spacing w:after="0"/>
              <w:rPr>
                <w:sz w:val="17"/>
                <w:szCs w:val="17"/>
                <w:color w:val="auto"/>
              </w:rPr>
            </w:pPr>
          </w:p>
        </w:tc>
        <w:tc>
          <w:tcPr>
            <w:tcW w:w="340" w:type="dxa"/>
            <w:vAlign w:val="bottom"/>
            <w:gridSpan w:val="4"/>
          </w:tcPr>
          <w:p>
            <w:pPr>
              <w:jc w:val="center"/>
              <w:ind w:left="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gridSpan w:val="1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January 29, 2022 and May 1, 2021</w:t>
              </w:r>
            </w:hyperlink>
          </w:p>
        </w:tc>
        <w:tc>
          <w:tcPr>
            <w:tcW w:w="3340" w:type="dxa"/>
            <w:vAlign w:val="bottom"/>
            <w:gridSpan w:val="6"/>
          </w:tcPr>
          <w:p>
            <w:pPr>
              <w:spacing w:after="0"/>
              <w:rPr>
                <w:sz w:val="17"/>
                <w:szCs w:val="17"/>
                <w:color w:val="auto"/>
              </w:rPr>
            </w:pPr>
          </w:p>
        </w:tc>
        <w:tc>
          <w:tcPr>
            <w:tcW w:w="340" w:type="dxa"/>
            <w:vAlign w:val="bottom"/>
            <w:gridSpan w:val="4"/>
          </w:tcPr>
          <w:p>
            <w:pPr>
              <w:jc w:val="center"/>
              <w:ind w:left="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20" w:type="dxa"/>
            <w:vAlign w:val="bottom"/>
            <w:gridSpan w:val="1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Nine Months Ended January 29, 2022 and January 30,</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360" w:type="dxa"/>
            <w:vAlign w:val="bottom"/>
            <w:tcBorders>
              <w:top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2021</w:t>
              </w:r>
            </w:hyperlink>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4"/>
          </w:tcPr>
          <w:p>
            <w:pPr>
              <w:jc w:val="center"/>
              <w:ind w:left="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Income for the Three and Nine Months Ended January 29, 2022</w:t>
              </w:r>
            </w:hyperlink>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January 30, 2021</w:t>
              </w:r>
            </w:hyperlink>
          </w:p>
        </w:tc>
        <w:tc>
          <w:tcPr>
            <w:tcW w:w="340" w:type="dxa"/>
            <w:vAlign w:val="bottom"/>
            <w:gridSpan w:val="4"/>
          </w:tcPr>
          <w:p>
            <w:pPr>
              <w:jc w:val="center"/>
              <w:ind w:left="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Shareholders' Equity for the Three and Nine Months Ended January 29, 2022 and</w:t>
              </w:r>
            </w:hyperlink>
          </w:p>
        </w:tc>
        <w:tc>
          <w:tcPr>
            <w:tcW w:w="4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January 30, 2021</w:t>
              </w:r>
            </w:hyperlink>
          </w:p>
        </w:tc>
        <w:tc>
          <w:tcPr>
            <w:tcW w:w="340" w:type="dxa"/>
            <w:vAlign w:val="bottom"/>
            <w:gridSpan w:val="4"/>
          </w:tcPr>
          <w:p>
            <w:pPr>
              <w:jc w:val="center"/>
              <w:ind w:left="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0" w:type="dxa"/>
            <w:vAlign w:val="bottom"/>
            <w:gridSpan w:val="15"/>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Months Ended January 29, 2022 and January 30, 2021</w:t>
              </w:r>
            </w:hyperlink>
          </w:p>
        </w:tc>
        <w:tc>
          <w:tcPr>
            <w:tcW w:w="620" w:type="dxa"/>
            <w:vAlign w:val="bottom"/>
            <w:gridSpan w:val="4"/>
          </w:tcPr>
          <w:p>
            <w:pPr>
              <w:spacing w:after="0"/>
              <w:rPr>
                <w:sz w:val="17"/>
                <w:szCs w:val="17"/>
                <w:color w:val="auto"/>
              </w:rPr>
            </w:pPr>
          </w:p>
        </w:tc>
        <w:tc>
          <w:tcPr>
            <w:tcW w:w="340" w:type="dxa"/>
            <w:vAlign w:val="bottom"/>
            <w:gridSpan w:val="4"/>
          </w:tcPr>
          <w:p>
            <w:pPr>
              <w:jc w:val="center"/>
              <w:ind w:left="5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620" w:type="dxa"/>
            <w:vAlign w:val="bottom"/>
            <w:gridSpan w:val="4"/>
          </w:tcPr>
          <w:p>
            <w:pPr>
              <w:spacing w:after="0"/>
              <w:rPr>
                <w:sz w:val="17"/>
                <w:szCs w:val="17"/>
                <w:color w:val="auto"/>
              </w:rPr>
            </w:pPr>
          </w:p>
        </w:tc>
        <w:tc>
          <w:tcPr>
            <w:tcW w:w="340" w:type="dxa"/>
            <w:vAlign w:val="bottom"/>
            <w:gridSpan w:val="4"/>
          </w:tcPr>
          <w:p>
            <w:pPr>
              <w:jc w:val="center"/>
              <w:ind w:left="5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16"/>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5"/>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13"/>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20" w:type="dxa"/>
            <w:vAlign w:val="bottom"/>
            <w:gridSpan w:val="3"/>
          </w:tcPr>
          <w:p>
            <w:pPr>
              <w:spacing w:after="0"/>
              <w:rPr>
                <w:sz w:val="17"/>
                <w:szCs w:val="17"/>
                <w:color w:val="auto"/>
              </w:rPr>
            </w:pPr>
          </w:p>
        </w:tc>
        <w:tc>
          <w:tcPr>
            <w:tcW w:w="3240" w:type="dxa"/>
            <w:vAlign w:val="bottom"/>
            <w:gridSpan w:val="5"/>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60" w:type="dxa"/>
            <w:vAlign w:val="bottom"/>
            <w:tcBorders>
              <w:left w:val="single" w:sz="8" w:color="0000EE"/>
            </w:tcBorders>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360" w:type="dxa"/>
            <w:vAlign w:val="bottom"/>
            <w:gridSpan w:val="8"/>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520" w:type="dxa"/>
            <w:vAlign w:val="bottom"/>
            <w:gridSpan w:val="5"/>
          </w:tcPr>
          <w:p>
            <w:pPr>
              <w:jc w:val="center"/>
              <w:ind w:right="2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1.</w:t>
              </w:r>
            </w:hyperlink>
          </w:p>
        </w:tc>
        <w:tc>
          <w:tcPr>
            <w:tcW w:w="6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120" w:type="dxa"/>
            <w:vAlign w:val="bottom"/>
          </w:tcPr>
          <w:p>
            <w:pPr>
              <w:spacing w:after="0"/>
              <w:rPr>
                <w:sz w:val="17"/>
                <w:szCs w:val="17"/>
                <w:color w:val="auto"/>
              </w:rPr>
            </w:pPr>
          </w:p>
        </w:tc>
        <w:tc>
          <w:tcPr>
            <w:tcW w:w="8260" w:type="dxa"/>
            <w:vAlign w:val="bottom"/>
            <w:gridSpan w:val="14"/>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800" w:type="dxa"/>
            <w:vAlign w:val="bottom"/>
            <w:gridSpan w:val="22"/>
          </w:tcPr>
          <w:p>
            <w:pPr>
              <w:ind w:left="10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70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5360" w:type="dxa"/>
            <w:vAlign w:val="bottom"/>
            <w:gridSpan w:val="8"/>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7380" w:type="dxa"/>
            <w:vAlign w:val="bottom"/>
            <w:gridSpan w:val="10"/>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94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5.</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Other Information</w:t>
              </w:r>
            </w:hyperlink>
          </w:p>
        </w:tc>
        <w:tc>
          <w:tcPr>
            <w:tcW w:w="440" w:type="dxa"/>
            <w:vAlign w:val="bottom"/>
            <w:gridSpan w:val="3"/>
          </w:tcPr>
          <w:p>
            <w:pPr>
              <w:spacing w:after="0"/>
              <w:rPr>
                <w:sz w:val="17"/>
                <w:szCs w:val="17"/>
                <w:color w:val="auto"/>
              </w:rPr>
            </w:pPr>
          </w:p>
        </w:tc>
        <w:tc>
          <w:tcPr>
            <w:tcW w:w="7940" w:type="dxa"/>
            <w:vAlign w:val="bottom"/>
            <w:gridSpan w:val="12"/>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38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380" w:type="dxa"/>
            <w:vAlign w:val="bottom"/>
            <w:gridSpan w:val="15"/>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100" w:type="dxa"/>
            <w:vAlign w:val="bottom"/>
            <w:gridSpan w:val="1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20" w:type="dxa"/>
            <w:vAlign w:val="bottom"/>
            <w:gridSpan w:val="2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Index to Exhibits</w:t>
              </w:r>
            </w:hyperlink>
          </w:p>
        </w:tc>
        <w:tc>
          <w:tcPr>
            <w:tcW w:w="520" w:type="dxa"/>
            <w:vAlign w:val="bottom"/>
            <w:gridSpan w:val="5"/>
          </w:tcPr>
          <w:p>
            <w:pPr>
              <w:jc w:val="center"/>
              <w:ind w:right="2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22</w:t>
              </w:r>
            </w:hyperlink>
          </w:p>
        </w:tc>
        <w:tc>
          <w:tcPr>
            <w:tcW w:w="0" w:type="dxa"/>
            <w:vAlign w:val="bottom"/>
          </w:tcPr>
          <w:p>
            <w:pPr>
              <w:spacing w:after="0"/>
              <w:rPr>
                <w:sz w:val="1"/>
                <w:szCs w:val="1"/>
                <w:color w:val="auto"/>
              </w:rPr>
            </w:pPr>
          </w:p>
        </w:tc>
      </w:tr>
      <w:tr>
        <w:trPr>
          <w:trHeight w:val="20"/>
        </w:trPr>
        <w:tc>
          <w:tcPr>
            <w:tcW w:w="8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Signatures</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5"/>
          </w:tcPr>
          <w:p>
            <w:pPr>
              <w:jc w:val="center"/>
              <w:ind w:right="2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23</w:t>
              </w:r>
            </w:hyperlink>
          </w:p>
        </w:tc>
        <w:tc>
          <w:tcPr>
            <w:tcW w:w="0" w:type="dxa"/>
            <w:vAlign w:val="bottom"/>
          </w:tcPr>
          <w:p>
            <w:pPr>
              <w:spacing w:after="0"/>
              <w:rPr>
                <w:sz w:val="1"/>
                <w:szCs w:val="1"/>
                <w:color w:val="auto"/>
              </w:rPr>
            </w:pPr>
          </w:p>
        </w:tc>
      </w:tr>
      <w:tr>
        <w:trPr>
          <w:trHeight w:val="594"/>
        </w:trPr>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DAKTRONICS, INC.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7"/>
              </w:rPr>
              <w:t>(in thousands, except per share data)</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May 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77,590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2,812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96,710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67,808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74,356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39,874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32,799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7,445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receivables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300,327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265,003</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58,262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58,682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receivables, less current maturities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8,414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Investment in affiliates and other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27,398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27,403</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11,944</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415,051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375,164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62,835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40,251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64,495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32,031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30,672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Warranty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w:t>
            </w: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186,380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146,620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warranty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15,496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Long-term contract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10,720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Long-term income taxes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34,832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34,990</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no par value, authorized 115,000,000 shares; 46,733,544 and 46,264,576 shares issued at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January 29, 2022 and May 1, 2021, respectively</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60,575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47,903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46,595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97,725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96,016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w w:val="90"/>
              </w:rPr>
              <w:t>Treasury Stock, at cost, 1,866,526 and 1,297,409 shares at January 29, 2022 and May 1, 2021, respectively</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(7,297)</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193,839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193,554</w:t>
            </w: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375,164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450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rPr>
              <w:t>DAKTRONICS, INC. AND SUBSIDIARIES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74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500" w:type="dxa"/>
            <w:vAlign w:val="bottom"/>
            <w:gridSpan w:val="4"/>
          </w:tcPr>
          <w:p>
            <w:pPr>
              <w:jc w:val="center"/>
              <w:ind w:left="950"/>
              <w:spacing w:after="0"/>
              <w:rPr>
                <w:sz w:val="20"/>
                <w:szCs w:val="20"/>
                <w:color w:val="auto"/>
              </w:rPr>
            </w:pPr>
            <w:r>
              <w:rPr>
                <w:rFonts w:ascii="Arial" w:cs="Arial" w:eastAsia="Arial" w:hAnsi="Arial"/>
                <w:sz w:val="18"/>
                <w:szCs w:val="18"/>
                <w:color w:val="auto"/>
                <w:w w:val="87"/>
              </w:rPr>
              <w:t>(in thousands, except per share data)</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20" w:type="dxa"/>
            <w:vAlign w:val="bottom"/>
            <w:gridSpan w:val="2"/>
          </w:tcPr>
          <w:p>
            <w:pPr>
              <w:jc w:val="center"/>
              <w:ind w:left="2210"/>
              <w:spacing w:after="0"/>
              <w:rPr>
                <w:sz w:val="20"/>
                <w:szCs w:val="20"/>
                <w:color w:val="auto"/>
              </w:rPr>
            </w:pPr>
            <w:r>
              <w:rPr>
                <w:rFonts w:ascii="Arial" w:cs="Arial" w:eastAsia="Arial" w:hAnsi="Arial"/>
                <w:sz w:val="18"/>
                <w:szCs w:val="18"/>
                <w:color w:val="auto"/>
                <w:w w:val="92"/>
              </w:rPr>
              <w:t>(unaudited)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6"/>
                <w:szCs w:val="16"/>
                <w:color w:val="auto"/>
              </w:rPr>
            </w:pPr>
          </w:p>
        </w:tc>
        <w:tc>
          <w:tcPr>
            <w:tcW w:w="11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30,</w:t>
            </w:r>
          </w:p>
        </w:tc>
      </w:tr>
      <w:tr>
        <w:trPr>
          <w:trHeight w:val="234"/>
        </w:trPr>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9"/>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94,139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365,150</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117,250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70,198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362,007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272,134</w:t>
            </w:r>
          </w:p>
        </w:tc>
      </w:tr>
      <w:tr>
        <w:trPr>
          <w:trHeight w:val="209"/>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93,016</w:t>
            </w:r>
          </w:p>
        </w:tc>
      </w:tr>
      <w:tr>
        <w:trPr>
          <w:trHeight w:val="216"/>
        </w:trPr>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Selling</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36,214</w:t>
            </w:r>
          </w:p>
        </w:tc>
      </w:tr>
      <w:tr>
        <w:trPr>
          <w:trHeight w:val="21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20,777</w:t>
            </w:r>
          </w:p>
        </w:tc>
      </w:tr>
      <w:tr>
        <w:trPr>
          <w:trHeight w:val="216"/>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Product design and development</w:t>
            </w:r>
          </w:p>
        </w:tc>
        <w:tc>
          <w:tcPr>
            <w:tcW w:w="3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21,283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20,053</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27,988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77,044</w:t>
            </w:r>
          </w:p>
        </w:tc>
      </w:tr>
      <w:tr>
        <w:trPr>
          <w:trHeight w:val="210"/>
        </w:trPr>
        <w:tc>
          <w:tcPr>
            <w:tcW w:w="286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(loss)income</w:t>
            </w:r>
          </w:p>
        </w:tc>
        <w:tc>
          <w:tcPr>
            <w:tcW w:w="3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15,972</w:t>
            </w:r>
          </w:p>
        </w:tc>
      </w:tr>
      <w:tr>
        <w:trPr>
          <w:trHeight w:val="209"/>
        </w:trPr>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Nonoperating (expense) income: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Other (expense) income, net</w:t>
            </w:r>
          </w:p>
        </w:tc>
        <w:tc>
          <w:tcPr>
            <w:tcW w:w="3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r>
      <w:tr>
        <w:trPr>
          <w:trHeight w:val="210"/>
        </w:trPr>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60" w:type="dxa"/>
            <w:vAlign w:val="bottom"/>
            <w:gridSpan w:val="2"/>
          </w:tcPr>
          <w:p>
            <w:pPr>
              <w:ind w:left="180"/>
              <w:spacing w:after="0"/>
              <w:rPr>
                <w:sz w:val="20"/>
                <w:szCs w:val="20"/>
                <w:color w:val="auto"/>
              </w:rPr>
            </w:pPr>
            <w:r>
              <w:rPr>
                <w:rFonts w:ascii="Arial" w:cs="Arial" w:eastAsia="Arial" w:hAnsi="Arial"/>
                <w:sz w:val="18"/>
                <w:szCs w:val="18"/>
                <w:b w:val="1"/>
                <w:bCs w:val="1"/>
                <w:color w:val="auto"/>
                <w:w w:val="88"/>
              </w:rPr>
              <w:t>(Loss) income before income taxes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13,549</w:t>
            </w:r>
          </w:p>
        </w:tc>
      </w:tr>
      <w:tr>
        <w:trPr>
          <w:trHeight w:val="216"/>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3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2,880</w:t>
            </w:r>
          </w:p>
        </w:tc>
      </w:tr>
      <w:tr>
        <w:trPr>
          <w:trHeight w:val="210"/>
        </w:trPr>
        <w:tc>
          <w:tcPr>
            <w:tcW w:w="28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 income</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10,669</w:t>
            </w: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w w:val="92"/>
              </w:rPr>
              <w:t>Weighted average shares outstanding:</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44,908</w:t>
            </w:r>
          </w:p>
        </w:tc>
      </w:tr>
      <w:tr>
        <w:trPr>
          <w:trHeight w:val="216"/>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45,223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45,064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45,061</w:t>
            </w:r>
          </w:p>
        </w:tc>
      </w:tr>
      <w:tr>
        <w:trPr>
          <w:trHeight w:val="216"/>
        </w:trPr>
        <w:tc>
          <w:tcPr>
            <w:tcW w:w="1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(Loss) earnings per share:</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0"/>
        </w:trPr>
        <w:tc>
          <w:tcPr>
            <w:tcW w:w="12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080" w:type="dxa"/>
            <w:vAlign w:val="bottom"/>
            <w:gridSpan w:val="5"/>
          </w:tcPr>
          <w:p>
            <w:pPr>
              <w:jc w:val="center"/>
              <w:ind w:left="2510"/>
              <w:spacing w:after="0"/>
              <w:rPr>
                <w:sz w:val="20"/>
                <w:szCs w:val="20"/>
                <w:color w:val="auto"/>
              </w:rPr>
            </w:pPr>
            <w:r>
              <w:rPr>
                <w:rFonts w:ascii="Arial" w:cs="Arial" w:eastAsia="Arial" w:hAnsi="Arial"/>
                <w:sz w:val="18"/>
                <w:szCs w:val="18"/>
                <w:b w:val="1"/>
                <w:bCs w:val="1"/>
                <w:color w:val="auto"/>
              </w:rPr>
              <w:t>DAKTRONICS, INC. AND SUBSIDIARIES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6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COMPREHENSIVE (LOSS)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20" w:type="dxa"/>
            <w:vAlign w:val="bottom"/>
            <w:gridSpan w:val="4"/>
          </w:tcPr>
          <w:p>
            <w:pPr>
              <w:jc w:val="center"/>
              <w:ind w:right="104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14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(unaudited)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6"/>
                <w:szCs w:val="16"/>
                <w:color w:val="auto"/>
              </w:rPr>
            </w:pPr>
          </w:p>
        </w:tc>
        <w:tc>
          <w:tcPr>
            <w:tcW w:w="11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30,</w:t>
            </w:r>
          </w:p>
        </w:tc>
      </w:tr>
      <w:tr>
        <w:trPr>
          <w:trHeight w:val="234"/>
        </w:trPr>
        <w:tc>
          <w:tcPr>
            <w:tcW w:w="1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9"/>
        </w:trPr>
        <w:tc>
          <w:tcPr>
            <w:tcW w:w="1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r>
      <w:tr>
        <w:trPr>
          <w:trHeight w:val="216"/>
        </w:trPr>
        <w:tc>
          <w:tcPr>
            <w:tcW w:w="1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Cumulative translation adjustments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2,717</w:t>
            </w:r>
          </w:p>
        </w:tc>
      </w:tr>
      <w:tr>
        <w:trPr>
          <w:trHeight w:val="216"/>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3"/>
              </w:rPr>
              <w:t>Unrealized gain (loss) on available-for-sale securities, net of tax</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 net of tax</w:t>
            </w: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2,717</w:t>
            </w:r>
          </w:p>
        </w:tc>
      </w:tr>
      <w:tr>
        <w:trPr>
          <w:trHeight w:val="229"/>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13,386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2"/>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60,575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193,554</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3,685</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savings plan activity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r>
      <w:tr>
        <w:trPr>
          <w:trHeight w:val="203"/>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Treasury stock reissued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r>
      <w:tr>
        <w:trPr>
          <w:trHeight w:val="19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July 31, 2021</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61,172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47,117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99,701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198,181</w:t>
            </w:r>
          </w:p>
        </w:tc>
      </w:tr>
      <w:tr>
        <w:trPr>
          <w:trHeight w:val="196"/>
        </w:trPr>
        <w:tc>
          <w:tcPr>
            <w:tcW w:w="4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2,374</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494</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Tax payments related to RSU issuances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19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October 30, 2021</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61,175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47,412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102,075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200,803</w:t>
            </w:r>
          </w:p>
        </w:tc>
      </w:tr>
      <w:tr>
        <w:trPr>
          <w:trHeight w:val="196"/>
        </w:trPr>
        <w:tc>
          <w:tcPr>
            <w:tcW w:w="44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(4,350)</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193"/>
        </w:trPr>
        <w:tc>
          <w:tcPr>
            <w:tcW w:w="4400" w:type="dxa"/>
            <w:vAlign w:val="bottom"/>
          </w:tcPr>
          <w:p>
            <w:pPr>
              <w:ind w:left="180"/>
              <w:spacing w:after="0"/>
              <w:rPr>
                <w:sz w:val="20"/>
                <w:szCs w:val="20"/>
                <w:color w:val="auto"/>
              </w:rPr>
            </w:pPr>
            <w:r>
              <w:rPr>
                <w:rFonts w:ascii="Arial" w:cs="Arial" w:eastAsia="Arial" w:hAnsi="Arial"/>
                <w:sz w:val="16"/>
                <w:szCs w:val="16"/>
                <w:color w:val="auto"/>
                <w:w w:val="99"/>
              </w:rPr>
              <w:t>Unrealized gain (loss) on available-for-sale securities, net of</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6"/>
                <w:szCs w:val="16"/>
                <w:color w:val="auto"/>
              </w:rPr>
              <w:t>tax</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5"/>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Exercise of stock options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savings plan activity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Treasury stock purchase</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January 29,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61,794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97,725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193,839</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May 2,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176,980</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7,467</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539</w:t>
            </w:r>
          </w:p>
        </w:tc>
      </w:tr>
      <w:tr>
        <w:trPr>
          <w:trHeight w:val="203"/>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reissued</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 as of August 1, 2020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60,010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45,192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92,557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(7,297)</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186,222</w:t>
            </w:r>
          </w:p>
        </w:tc>
      </w:tr>
      <w:tr>
        <w:trPr>
          <w:trHeight w:val="196"/>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3,416</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384</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Tax payments related to RSU issuances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19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October 31, 2020</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60,010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45,575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95,973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190,405</w:t>
            </w:r>
          </w:p>
        </w:tc>
      </w:tr>
      <w:tr>
        <w:trPr>
          <w:trHeight w:val="196"/>
        </w:trPr>
        <w:tc>
          <w:tcPr>
            <w:tcW w:w="44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516</w:t>
            </w:r>
          </w:p>
        </w:tc>
      </w:tr>
      <w:tr>
        <w:trPr>
          <w:trHeight w:val="203"/>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savings plan activity</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 as of January 30,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60,575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46,091</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95,759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(7,297)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(2,560)</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192,568</w:t>
            </w: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DAKTRONICS, INC.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30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98"/>
              </w:rPr>
              <w:t>January 30,</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10,669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12,848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property, equipment and other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1,563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loss of investees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1,551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20,115</w:t>
            </w: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48,221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(6,935)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equipment and other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sales or maturities of marketable securities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and loans to equity investees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Principal payments on long-term obligations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for common shares repurchased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 from exercise of stock options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payments related to RSU issuances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40,349</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80,402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40,412</w:t>
            </w:r>
          </w:p>
        </w:tc>
      </w:tr>
      <w:tr>
        <w:trPr>
          <w:trHeight w:val="25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80,761</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Cash paid for:</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Income taxes, net of refunds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1,491</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Demonstration equipment transferred to inventory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Contributions of common stock under the ESPP</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disclosures normally included in financial statements prepared in accordance with GAAP have been condensed or omitted. The balance sheet at May 1, 2021,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year ended May 1, 2021,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nine months ended January 29, 2022 and January 30, 2021, contained operating results for 39 weeks.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issuances of foreign bank guarantees.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January 30,</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76,877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195"/>
        </w:trPr>
        <w:tc>
          <w:tcPr>
            <w:tcW w:w="8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Total cash, cash equivalents, and restricted cash shown in the condensed consolidated statements of cash</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31,719</w:t>
            </w:r>
          </w:p>
        </w:tc>
        <w:tc>
          <w:tcPr>
            <w:tcW w:w="10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80,761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flows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Developments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Impacts to and changes in global economic conditions are expected as the world economies recover from the COVID-19 pandemic, adjust to supply chain conditions and disruptions, and react to the evolving war and geopolitical environment. Our ability to fund operations and capital expenditures in the future will be dependent on our ability to generate cash flow from operations in these conditions, to maintain or improve margins, and to use funds from our credit facility or other funding sources.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needing to utilize a portion of our line of credit which expires in November 2022, and there can be no assurances that we will be successful in renewing the line of credit with sufficient capacity or that we will otherwise be able to obtain sufficient cash. However, based on our initial discussions with lenders and other alternatives we have available to us, such as increasing prices of our goods and services, reducing capital expenditures, reducing operating expenses, negotiating longer payment terms to our suppliers, and obtaining other forms of debt or equity financing, we believe it is probable our existing cash balances and future actions will be sufficient to fund our normal business operations over the next twelve months from the date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and estimates as described in our Annual Report on Form 10-K for the fiscal year ended May 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Accounting Standard Updates ("ASUs") issued that we adopted as of January 29,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November 2021, the Financial Accounting Standards Board ("FASB") issued ASU 2021-10, </w:t>
      </w:r>
      <w:r>
        <w:rPr>
          <w:rFonts w:ascii="Arial" w:cs="Arial" w:eastAsia="Arial" w:hAnsi="Arial"/>
          <w:sz w:val="18"/>
          <w:szCs w:val="18"/>
          <w:i w:val="1"/>
          <w:iCs w:val="1"/>
          <w:color w:val="auto"/>
        </w:rPr>
        <w:t>Government Assistance (Topic 832): Disclosures by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Entities About Government Assistance </w:t>
      </w:r>
      <w:r>
        <w:rPr>
          <w:rFonts w:ascii="Arial" w:cs="Arial" w:eastAsia="Arial" w:hAnsi="Arial"/>
          <w:sz w:val="18"/>
          <w:szCs w:val="18"/>
          <w:color w:val="auto"/>
        </w:rPr>
        <w:t>("ASU 2021-10"), which requires business entities to disclose information about transactions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that are accounted for by applying a grant or contribution model by analogy. For transactions covered by ASU 2021-10, the new standard requires the disclosure of information about the nature of the transaction, including significant terms and conditions, as well as the amounts and specific financial statement line items affected by the transaction. ASU 2021-10 is effective for annual periods beginning after December 15, 2021, which for us is the first quarter of fiscal 2023. Early adoption is permitted. The Company does not expect the adoption of ASU 2021-10 to have a material impact on future disclosures.</w:t>
      </w:r>
    </w:p>
    <w:p>
      <w:pPr>
        <w:sectPr>
          <w:pgSz w:w="11900" w:h="16838" w:orient="portrait"/>
          <w:cols w:equalWidth="0" w:num="1">
            <w:col w:w="11240"/>
          </w:cols>
          <w:pgMar w:left="320" w:top="125" w:right="339" w:bottom="177"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77"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aggregate amount of our investments in affiliates accounted for under the equity method was $17,921 and $19,887 as of January 29, 2022 and May 1, 2021, respectively. Our proportional share of the respective affiliates' earnings or losses is included in the "Other (expense) income, net" line item in our condensed consolidated statements of operations. For the three and nine months ended January 29, 2022, our share of the losses of our affiliates was $401 and $1,966 as compared to $595 and $1,740 for the three and nine months ended January 30, 2021. We purchased services for research and development activities from our equity method investees. The total of these related party transactions was $1,520 for the nine months ended January 29, 2022, which is included in the "Product design and development" line item in our condensed consolidated statement of operations, and $117 of this remains unpaid and is included in the "Accounts payable " line item in our condensed consolidated balance sheet. We have loaned equity investees $6,335, which is evidenced by convertible notes (“Notes”) and included in the “Long-term receivables, less current maturities" line item in our condensed consolidated balance sheet.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net income and common share amounts used in the calculation of basic and diluted EPS for the three and nine months ended January 29, 2022 and January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Per share (loss)</w:t>
            </w:r>
          </w:p>
        </w:tc>
      </w:tr>
      <w:tr>
        <w:trPr>
          <w:trHeight w:val="234"/>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89"/>
              </w:rPr>
              <w:t>Net (loss) income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income</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January 29, 2022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(loss) earnings per share</w:t>
            </w:r>
          </w:p>
        </w:tc>
        <w:tc>
          <w:tcPr>
            <w:tcW w:w="52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(4,350)</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45,223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Diluted (loss) earnings per share</w:t>
            </w:r>
          </w:p>
        </w:tc>
        <w:tc>
          <w:tcPr>
            <w:tcW w:w="20" w:type="dxa"/>
            <w:vAlign w:val="bottom"/>
          </w:tcPr>
          <w:p>
            <w:pPr>
              <w:spacing w:after="0"/>
              <w:rPr>
                <w:sz w:val="18"/>
                <w:szCs w:val="18"/>
                <w:color w:val="auto"/>
              </w:rPr>
            </w:pPr>
          </w:p>
        </w:tc>
        <w:tc>
          <w:tcPr>
            <w:tcW w:w="50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45,223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three months ended January 30, 2021</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(loss) earnings per share</w:t>
            </w:r>
          </w:p>
        </w:tc>
        <w:tc>
          <w:tcPr>
            <w:tcW w:w="52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45,064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Diluted (loss) earnings per share</w:t>
            </w:r>
          </w:p>
        </w:tc>
        <w:tc>
          <w:tcPr>
            <w:tcW w:w="52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45,064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nine months ended January 29, 2022</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52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1,709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45,263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1,709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45,442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nine months ended January 30, 2021</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52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10,669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44,908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10,669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45,061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2,216 shares of common stock with a weighted average exercise price of $8.17 for the three months ended January 29, 2022 and 2,337 shares of common stock with a weighted average exercise price of $8.70 for the three months ended January 30, 2021 were not included in the computation of diluted earnings per share because the effects would be anti-dilutive.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1,857 shares of common stock with a weighted average exercise price of $9.26 for the nine months ended January 29, 2022 and 2,268 shares of common stock with a weighted average exercise price of $9.29 for the nine months ended January 30, 2021 were not included in the computation of diluted earnings per share because the effects would be anti-dilutive.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w w:val="93"/>
              </w:rPr>
              <w:t>Three Months Ended January 29, 2022</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Live Events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4,112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25,950</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4,167</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9,803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8,606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52,638</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32,081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73,363</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3,902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6,264</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13,557</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40,095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23,721</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139,558</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02"/>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32,829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17,351</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10,967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75,263</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7,266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30,517</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10,247</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9,895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64,295</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40,095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23,721</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139,558</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929"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2"/>
              </w:rPr>
              <w:t>Nine Months Ended January 29, 2022</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Live Events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12,258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110,986</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15,241</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25,320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26,051</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189,856</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83,965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66,590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32,464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219,702</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11,116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18,344</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5,277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39,209</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107,339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150,840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84,362</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63,792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448,767</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2"/>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85,570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62,407</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15,781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33,801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224,436</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21,769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123,963</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21,955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26,653</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29,991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224,331</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107,339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150,840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84,362</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63,792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448,767</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r>
        <w:trPr>
          <w:trHeight w:val="396"/>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2"/>
              </w:rPr>
              <w:t>Three Months Ended January 30, 2021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Live Events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2,087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14,006</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3,604</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7,880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5,155</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32,732</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24,630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10,424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50,254</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3,368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4,788</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11,153</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30,085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14,644</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94,139</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25,092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9,163</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7,785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51,196</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4,993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17,610</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5,481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8,333</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42,943</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30,085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14,644</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94,139</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r>
        <w:trPr>
          <w:trHeight w:val="396"/>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2"/>
              </w:rPr>
              <w:t>Nine Months Ended January 30, 2021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Live Events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14,322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83,283</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16,363</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24,579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15,534</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154,081</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69,796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52,808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176,802</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10,829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14,777</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34,267</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94,947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112,626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71,165</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41,590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44,822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365,150</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71,210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48,249</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179,301</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23,737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93,956</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22,916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25,850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19,390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185,849</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94,947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112,626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71,165</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41,590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44,822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365,150</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8"/>
              </w:rPr>
              <w:t>The following table reflects the changes in our contract assets and liabilities: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Contract liabilities - current</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79,591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64,495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 noncurrent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our contract assets and contract liabilities from May 1, 2021 to January 29, 2022 were due to the timing of billing schedules and revenue recognition, which can vary significantly depending on the contractual payment terms and the construction and sports market seasonality. We had no impairments of contract assets for the nine months ended January 29, 2022.</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in our condensed consolidated balance sheets. Changes in unearned service-type warranty contracts, net were as follows:</w:t>
      </w:r>
    </w:p>
    <w:p>
      <w:pPr>
        <w:sectPr>
          <w:pgSz w:w="11900" w:h="16838" w:orient="portrait"/>
          <w:cols w:equalWidth="0" w:num="1">
            <w:col w:w="11240"/>
          </w:cols>
          <w:pgMar w:left="320" w:top="61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contracts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Less: reductions for revenue recognized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25"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January 29,</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24,590</w:t>
      </w:r>
    </w:p>
    <w:p>
      <w:pPr>
        <w:spacing w:after="0" w:line="2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33,145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(30,337)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26,998</w:t>
      </w:r>
    </w:p>
    <w:p>
      <w:pPr>
        <w:sectPr>
          <w:pgSz w:w="11900" w:h="16838" w:orient="portrait"/>
          <w:cols w:equalWidth="0" w:num="2">
            <w:col w:w="8960" w:space="720"/>
            <w:col w:w="1560"/>
          </w:cols>
          <w:pgMar w:left="320" w:top="612" w:right="339" w:bottom="0" w:gutter="0" w:footer="0" w:header="0"/>
          <w:type w:val="continuous"/>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As of January 29, 2022 and May 1, 2021, our contracts in progress that were identified as loss contracts were immaterial. For these contracts, the provision for losses is included in the "Accrued expenses" line item in our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January 29, 2022, we recognized revenue of $47,356 related to our contract liabilities as of May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January 29, 2022, the aggregate amount of the transaction price allocated to the remaining performance obligations was $412,675. We expect approximately $378,092 of our remaining performance obligations to be recognized over the next 12 months, with the remainder recognized thereafter. Remaining performance obligations related to product and service agreements at January 29, 2022 are $353,345 and $59,330,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30,</w:t>
            </w: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40,095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107,339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94,947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150,840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112,626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71,165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41,590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20,862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14,311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63,792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44,822</w:t>
            </w:r>
          </w:p>
        </w:tc>
      </w:tr>
      <w:tr>
        <w:trPr>
          <w:trHeight w:val="250"/>
        </w:trPr>
        <w:tc>
          <w:tcPr>
            <w:tcW w:w="5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139,558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448,767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365,150</w:t>
            </w:r>
          </w:p>
        </w:tc>
      </w:tr>
      <w:tr>
        <w:trPr>
          <w:trHeight w:val="197"/>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22,862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24,730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20,910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27,216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25,410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7,158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7,666</w:t>
            </w: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22,308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86,760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93,016</w:t>
            </w: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36,214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20,777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Product design and development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21,283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20,053</w:t>
            </w: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27,988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77,044</w:t>
            </w:r>
          </w:p>
        </w:tc>
      </w:tr>
      <w:tr>
        <w:trPr>
          <w:trHeight w:val="209"/>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Operating (loss) income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15,972</w:t>
            </w: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13,549</w:t>
            </w:r>
          </w:p>
        </w:tc>
      </w:tr>
      <w:tr>
        <w:trPr>
          <w:trHeight w:val="196"/>
        </w:trPr>
        <w:tc>
          <w:tcPr>
            <w:tcW w:w="5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2,132</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corporate depreciation</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r>
      <w:tr>
        <w:trPr>
          <w:trHeight w:val="210"/>
        </w:trPr>
        <w:tc>
          <w:tcPr>
            <w:tcW w:w="59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3,755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11,544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12,848</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30,</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112,389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78,152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374,692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314,674</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2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27,169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74,075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50,476</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139,558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94,139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448,767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365,150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34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May 1,</w:t>
            </w: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50,271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50,130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8,552</w:t>
            </w:r>
          </w:p>
        </w:tc>
      </w:tr>
      <w:tr>
        <w:trPr>
          <w:trHeight w:val="209"/>
        </w:trPr>
        <w:tc>
          <w:tcPr>
            <w:tcW w:w="80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58,262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58,682</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numerous customers worldwide for sales of our products and services. No customer accounted for 10 percent or more of net sales for the three and nine months ended January 29, 2022; therefore, we are not economically dependent on a limited number of customers for the sale of our products and services.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percent or more of our cost of sales; however, we have a number of single-source suppliers that could limit our supply or cause delays in obtaining raw material and components needed in manufacturing.</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nine months ended January 29, 2022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Live Events</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7"/>
              </w:rPr>
              <w:t>Commercial</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Transportation</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International</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2,313</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3,464</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29,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8,099</w:t>
            </w:r>
          </w:p>
        </w:tc>
      </w:tr>
    </w:tbl>
    <w:p>
      <w:pPr>
        <w:spacing w:after="0" w:line="20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October 31, 2021 and concluded no goodwill impairment existed.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29, 2022, there were no advances under the loan portion of our line of credit, and the balance of letters of credit outstanding was approximately $4,463. As of January 29, 2022, $30,537 of the credit facility remains in place and available.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sometimes required to obtain bank guarantees or other financial instruments for display installations. If we are unable to meet the terms of the arrangement, our customer would draw on the banking arrangement, and the bank would subrogate its loss to Daktronics. As of January 29, 2022, we had $715 of such instruments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29, 2022, we were in compliance with all applicable bank loan covenants.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a party to legal proceedings and claims which arise during the ordinary course of business. For unresolved legal proceedings or claims,</w:t>
      </w:r>
      <w:r>
        <w:rPr>
          <w:rFonts w:ascii="Arial" w:cs="Arial" w:eastAsia="Arial" w:hAnsi="Arial"/>
          <w:sz w:val="18"/>
          <w:szCs w:val="18"/>
          <w:i w:val="1"/>
          <w:iCs w:val="1"/>
          <w:color w:val="auto"/>
        </w:rPr>
        <w:t xml:space="preserve"> </w:t>
      </w:r>
      <w:r>
        <w:rPr>
          <w:rFonts w:ascii="Arial" w:cs="Arial" w:eastAsia="Arial" w:hAnsi="Arial"/>
          <w:sz w:val="18"/>
          <w:szCs w:val="18"/>
          <w:color w:val="auto"/>
        </w:rPr>
        <w:t>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607" w:right="339" w:bottom="70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Changes in our warranty obligation for the nine months ended January 29, 2022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Beginning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Settlements made during the period</w:t>
      </w:r>
    </w:p>
    <w:p>
      <w:pPr>
        <w:spacing w:after="0" w:line="9" w:lineRule="exact"/>
        <w:rPr>
          <w:sz w:val="20"/>
          <w:szCs w:val="20"/>
          <w:color w:val="auto"/>
        </w:rPr>
      </w:pPr>
    </w:p>
    <w:p>
      <w:pPr>
        <w:ind w:right="840" w:firstLine="324"/>
        <w:spacing w:after="0" w:line="323" w:lineRule="auto"/>
        <w:rPr>
          <w:sz w:val="20"/>
          <w:szCs w:val="20"/>
          <w:color w:val="auto"/>
        </w:rPr>
      </w:pPr>
      <w:r>
        <w:rPr>
          <w:rFonts w:ascii="Arial" w:cs="Arial" w:eastAsia="Arial" w:hAnsi="Arial"/>
          <w:sz w:val="18"/>
          <w:szCs w:val="18"/>
          <w:color w:val="auto"/>
        </w:rPr>
        <w:t>Changes in accrued warranty obligations for pre-existing warranties during the period, including expirations Ending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January 29,</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25,960</w:t>
      </w:r>
    </w:p>
    <w:p>
      <w:pPr>
        <w:spacing w:after="0" w:line="2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7,529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(5,782)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27,171</w:t>
      </w:r>
    </w:p>
    <w:p>
      <w:pPr>
        <w:spacing w:after="0" w:line="265" w:lineRule="exact"/>
        <w:rPr>
          <w:sz w:val="20"/>
          <w:szCs w:val="20"/>
          <w:color w:val="auto"/>
        </w:rPr>
      </w:pPr>
    </w:p>
    <w:p>
      <w:pPr>
        <w:sectPr>
          <w:pgSz w:w="11900" w:h="16838" w:orient="portrait"/>
          <w:cols w:equalWidth="0" w:num="2">
            <w:col w:w="8960" w:space="720"/>
            <w:col w:w="1560"/>
          </w:cols>
          <w:pgMar w:left="320" w:top="607" w:right="339" w:bottom="700" w:gutter="0" w:footer="0" w:header="0"/>
          <w:type w:val="continuous"/>
        </w:sectPr>
      </w:pPr>
    </w:p>
    <w:p>
      <w:pPr>
        <w:jc w:val="both"/>
        <w:spacing w:after="0" w:line="291" w:lineRule="auto"/>
        <w:rPr>
          <w:sz w:val="20"/>
          <w:szCs w:val="20"/>
          <w:color w:val="auto"/>
        </w:rPr>
      </w:pPr>
      <w:r>
        <w:rPr>
          <w:rFonts w:ascii="Arial" w:cs="Arial" w:eastAsia="Arial" w:hAnsi="Arial"/>
          <w:sz w:val="16"/>
          <w:szCs w:val="16"/>
          <w:i w:val="1"/>
          <w:iCs w:val="1"/>
          <w:color w:val="auto"/>
        </w:rPr>
        <w:t xml:space="preserve">Performance guarantees: </w:t>
      </w:r>
      <w:r>
        <w:rPr>
          <w:rFonts w:ascii="Arial" w:cs="Arial" w:eastAsia="Arial" w:hAnsi="Arial"/>
          <w:sz w:val="16"/>
          <w:szCs w:val="16"/>
          <w:color w:val="auto"/>
        </w:rPr>
        <w:t>We have entered into standby letters of credit, bank guarantees and surety bonds with financial institutions relating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of our future performance on contracts, primarily construction-type contracts. As of January 29, 2022, we had outstanding letters of credit, bank guarantees and surety bonds in the amount of $4,463, $715 and $39,150,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January 29, 2022, we were not aware of any indemnification claim from a customer.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70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three and nine months ended January 29, 2022 reflected effective tax rates of 32.2 percent and 9.4 percent, respectively, as compared to effective tax rates of 82.0 percent and 21.3 percent tax for the three and nine months ended January 30, 2021. The difference in tax rates is primarily driven by an increase in estimated permanent tax costs such as BEAT and GILTI proportionate to a decrease in estimated pre-tax earnings in the third quarter of fiscal 2022 compared to no change in the estimated tax rate from the second quarter to the third quarter of fiscal 2021. Additionally, a return to provision expense was recorded for the third quarter of fiscal 2022 which impacted the overall effective rate compared to a return to provision benefit recorded in fiscal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both domestically and internationally and, as of January 29, 2022, undistributed earnings of our foreign subsidiaries were considered to be reinvested indefinitely. Additionally, as of January 29, 2022, we had $478 of unrecognized tax benefits which would reduce our effective tax rate if recognized.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Level within the fair value hierarchy our financial assets and liabilities that were accounted for at fair value on a recurring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basis at January 29, 2022 and May 1, 2021 according to the valuation techniques we used to determine their fair values. There have been no transfers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among the fair value hierarchies presented.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Fair Value Measurements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29, 2022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30,883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30,883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US Government sponsored entities</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asset position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16"/>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Derivatives - liability position</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5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35,941</w:t>
            </w: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as of May 1, 2021</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77,590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77,590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2,812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asset position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Derivatives - liability position</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09"/>
        </w:trPr>
        <w:tc>
          <w:tcPr>
            <w:tcW w:w="59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80,402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79,782</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the Level 3 contingent liabilities, both short- and long-term, for the nine months ended January 29, 2022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 as of May 1, 2021</w:t>
            </w:r>
          </w:p>
        </w:tc>
        <w:tc>
          <w:tcPr>
            <w:tcW w:w="30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Additions</w:t>
            </w:r>
          </w:p>
        </w:tc>
        <w:tc>
          <w:tcPr>
            <w:tcW w:w="2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Interest</w:t>
            </w:r>
          </w:p>
        </w:tc>
        <w:tc>
          <w:tcPr>
            <w:tcW w:w="24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 as of January 29, 2022</w:t>
            </w:r>
          </w:p>
        </w:tc>
        <w:tc>
          <w:tcPr>
            <w:tcW w:w="2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valuation techniques used by us to value our financial instruments since the end of fiscal 2021. For additional information, see our Annual Report on Form 10-K for the fiscal year ended May 1, 2021 for the methods and assumptions used to estimate the fair value of each class of financial instrument.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the Board had suspended the program. On December 2, 2021, the Board of Directors of Daktronics voted to reauthorize the stock repurchase program.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January 29, 2022, we repurchased 600 shares of common stock at a total cost of $3,000. As of January 29, 2022, we had $29,539 of remaining capacity under our current share repurchase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92"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May 1, 2021, to and including January 29, 2022 and (ii) results of operations during the current fiscal period(s) as compared to the corresponding period(s) of the preceding fiscal year.</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Any and all forecasts and projections in this document are “forward 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of our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wish to caution investors that other factors might in the future prove to be important in affecting our results of operations. New factors emerge from time to time; it is not possible for management to predict all of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undertake no obligation to update publicly or revise any forward-looking statements, whether as a result of new information, future events or otherwise.</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MD&amp;A should be read in conjunction with the Consolidated Financial Statements and related Notes included in Item 1 of Part 1 of this Quarterly Report on Form 10-Q and our Annual Report on Form 10-K for the fiscal year ended May 1, 2021 (including the information presented therein under Risk Factors), as well other publicly available information about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principally in the design, market,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selected financial data should be read in conjunction with our Annual Report on Form 10-K for the year ended May 1, 2021 and the consolidated financial statements set forth in that Annual Report on Form 10-K, including the notes to consolidated financial statements included therein.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 PANDEMIC, SUPPLY CHAIN DISRUPTIONS AND DELAYS, AND CURRENT CONDITIONS</w:t>
      </w:r>
    </w:p>
    <w:p>
      <w:pPr>
        <w:spacing w:after="0" w:line="22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Impacts to and changes in global economic conditions are expected as the world economies recover from the COVID-19 pandemic, adjust to supply chain conditions and disruptions, and react to the evolving war and geopolitical environment. We continue to monitor guidance from international and domestic authorities regarding the COVID-19 pandemic and may take additional actions based on their requirements and recommendations. Since late fiscal 2021, our order and quoting activities have increased, creating a strong backlog and positive outlook; however, there is no assurance that this trend will continue in future quarters.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Supply chain disruptions continue as a result of several factors including the pandemic, shipping container shortages, labor shortages, and changes in global demand. We are specifically impacted by the global shortage of semiconductors and related electronic components. We have experienced increased input costs in many areas including material, commodity, freight, and tariff costs and increased personnel spend throughout the 2022 fiscal year. We have responded to input cost increases by increasing pricing and we began quoting at the new price levels in the third quarter of fiscal 2022. We will continue to monitor our supply chains and our marketplaces and adapt our pricing methodologies as we see appropriate.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cannot predict the length or severity of these conditions, we expect continued disruptions in obtaining material, commodities, labor, and freight availability and an increase in inflation as the world economies react to and recover from the pandemic. We also expect impacts to the global economic conditions in reaction to the evolving war and geopolitical environment. Due to longer planning horizons and volatility in supply chains, we plan to carry higher quantities of inventory and anticipate changes in the timing of payments from our customers as we work through different disruptions and fulfill our backlog, all likely creating a consumption of cash. We are also planning additional cash use for capital spending to grow our manufacturing capacity.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needing to utilize a portion of our line of credit which expires in November 2022, and there can be no assurances that we will be successful in renewing the line of credit with sufficient capacity or that we will otherwise be able to obtain sufficient cash. However, based on our initial discussions with lenders and other alternatives we have available to us, such as increasing prices of our goods and services, reducing capital expenditures, reducing operating expenses, negotiating longer payment terms to our suppliers, and obtaining other forms of debt or equity financing, we believe it is probable our existing cash balances and future actions will be sufficient to fund our normal business operations over the next twelve months from the date of this Report.</w:t>
      </w:r>
    </w:p>
    <w:p>
      <w:pPr>
        <w:sectPr>
          <w:pgSz w:w="11900" w:h="16838" w:orient="portrait"/>
          <w:cols w:equalWidth="0" w:num="1">
            <w:col w:w="11240"/>
          </w:cols>
          <w:pgMar w:left="320" w:top="125" w:right="339" w:bottom="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All of these conditions will cause volatility in our cash flow, pricing, order volumes, lead-times, competitiveness, revenue cycles, and production costs and it is reasonably likely these conditions will negatively affect our financial conditions of operations and cashflows throughout the remainder of fiscal 2022 and have some negative impact into fiscal 2023. However, the full impact to our financial condition, results of operations and cash flows cannot be determined at this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COVID-19 and raw material and component related risk factors disclosed in Item 1A of Part I in our Annual Report on Form 10-K for the fiscal year ended May 1,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JANUARY 29, 2022 AND JANUARY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Order and backlog levels provide management and investors additional details surrounding the results of our business activities in the marketplace and highlights fluctuation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and future revenues.</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product order backlog as of January 29, 2022 was $353 million as compared to $195 million as of January 30, 2021 and $282 million at October 30, 2021, which was the end of our second quarter of fiscal 2022. We expect to fulfill the backlog as of January 29, 2022 within the next 24 months. The timing and our ability to fulfill backlog may be impacted by project delays resulting from the COVID-19 pandemic and supply chain issues.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net sales for the three months ended January 29, 2022 and January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10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6"/>
                <w:szCs w:val="16"/>
                <w:color w:val="auto"/>
              </w:rPr>
            </w:pPr>
          </w:p>
        </w:tc>
        <w:tc>
          <w:tcPr>
            <w:tcW w:w="12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Percent</w:t>
            </w:r>
          </w:p>
        </w:tc>
      </w:tr>
      <w:tr>
        <w:trPr>
          <w:trHeight w:val="207"/>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40,095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30,085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15,727</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67.4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9,077</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62.0</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20,862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14,311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6,551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45.8</w:t>
            </w:r>
          </w:p>
        </w:tc>
      </w:tr>
      <w:tr>
        <w:trPr>
          <w:trHeight w:val="250"/>
        </w:trPr>
        <w:tc>
          <w:tcPr>
            <w:tcW w:w="1080" w:type="dxa"/>
            <w:vAlign w:val="bottom"/>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139,558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196"/>
        </w:trPr>
        <w:tc>
          <w:tcPr>
            <w:tcW w:w="59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Orders:</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68,403</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617.6</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19,518</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119.3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20,810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7,819</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60.2</w:t>
            </w:r>
          </w:p>
        </w:tc>
      </w:tr>
      <w:tr>
        <w:trPr>
          <w:trHeight w:val="21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19,955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171.3</w:t>
            </w:r>
          </w:p>
        </w:tc>
      </w:tr>
      <w:tr>
        <w:trPr>
          <w:trHeight w:val="210"/>
        </w:trPr>
        <w:tc>
          <w:tcPr>
            <w:tcW w:w="10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214,789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86,888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127,901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147.2%</w:t>
            </w:r>
          </w:p>
        </w:tc>
      </w:tr>
      <w:tr>
        <w:trPr>
          <w:trHeight w:val="20"/>
        </w:trPr>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fiscal 2022 third quarter, net sales were $139.6 million, an increase of $45.4 million from the prior year's third quarter. The year-over-year growth was driven by increased orders. Material supply shortages are creating an increase in lead times and extending the timing of converting some orders to sales in the near-term. We expect supply chain conditions to persist through the calendar year.</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Order volume increased across all business units in the third quarter of fiscal 2022, reflecting the continued recovery from the impact of the global pandemic among our customers. The pandemic recovery in regions around the world has varied. Some countries have eased travel restrictions and we have seen business in those locations increase. However, other countries still continue to deal with the ongoing challenges of the pandemic.</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Gross Profit and Contribution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0"/>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January 29, 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January 30, 2021</w:t>
            </w:r>
          </w:p>
        </w:tc>
      </w:tr>
      <w:tr>
        <w:trPr>
          <w:trHeight w:val="191"/>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8,239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4,256</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6,958</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6,437</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44.0</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4,108</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3,845</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32.7</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993</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6.9</w:t>
            </w:r>
          </w:p>
        </w:tc>
      </w:tr>
      <w:tr>
        <w:trPr>
          <w:trHeight w:val="249"/>
        </w:trPr>
        <w:tc>
          <w:tcPr>
            <w:tcW w:w="108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22,308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23,941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r>
    </w:tbl>
    <w:p>
      <w:pPr>
        <w:sectPr>
          <w:pgSz w:w="11900" w:h="16838" w:orient="portrait"/>
          <w:cols w:equalWidth="0" w:num="1">
            <w:col w:w="11240"/>
          </w:cols>
          <w:pgMar w:left="320" w:top="125" w:right="339" w:bottom="55"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7"/>
          <w:szCs w:val="17"/>
          <w:color w:val="auto"/>
        </w:rPr>
        <w:t>The decline in gross profit percentage is primarily related to the ongoing supply chain disruptions and inflationary challenges in input and personnel related cost, the difference in sales mix between periods, a warranty charge in fiscal 2022 third quarter, and other factors experienced during fiscal 2021 which had a positive impact on fiscal 2021 margins. The factors impacting the gross profit in the third quarter of fiscal 2021 included a positive $2.1 million or 14.4% gross profit impact litigation claim reversal in High School Park and Recreation and adjustments to operations because of the COVID-19 pandemic. During the third quarter of fiscal 2021, we lowered overall staffing and temporarily furloughed employees to achieve lower operating costs to align with the uncertainties faced at that time created by the COVID-19 pandemic. Since the beginning of fiscal 2022, we have increased manufacturing and service staffing levels to achieve current and expected future sales levels.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costs as a percent of sales for the three months ended January 29, 2022 compared to the same period one year ago increased to 2.4 percent from 1.6 percent.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January 29,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January 30, 2021</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Contribution Margin:</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5,061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2,062</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3,938</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4,276</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is a non-GAAP measure and consists of gross profit less selling expenses. Selling expenses consist primarily of personnel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travel and entertainment expenses, marketing related expenses (show rooms, product demonstration, depreciation and maintenance, conventions and trade show expenses), customer relationship management/marketing systems, bad debt expenses, third-party commissions, and other expenses.</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Contribution margin is impacted by the previously discussed sales and gross margin for each business unit and other factors experienced during fiscal 2021. During fiscal 2021, each business unit's contribution margin was impacted by a decrease in personnel related expenses and continued reductions in travel and entertainment, marketing, and convention related expenses due to limited ability to travel or fewer number of conventions because of COVID-19 restrictions. These savings were partly offset by a $1.3 million increase in bad debt expenses. During fiscal 2021, we had lowered overall staffing and furloughed employees to achieve lower operating costs to align with the uncertainties created by the COVID-19 pandemic. Since the beginning of fiscal 2022, we have adjusted our sales and marketing activities and staffing levels to achieve current and expected future sales levels.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from non-GAAP contribution margin to operating loss GAAP measure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January 29, 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00" w:type="dxa"/>
            <w:vAlign w:val="bottom"/>
          </w:tcPr>
          <w:p>
            <w:pPr>
              <w:spacing w:after="0"/>
              <w:rPr>
                <w:sz w:val="18"/>
                <w:szCs w:val="18"/>
                <w:color w:val="auto"/>
              </w:rPr>
            </w:pPr>
          </w:p>
        </w:tc>
        <w:tc>
          <w:tcPr>
            <w:tcW w:w="13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January 30, 2021</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Contribution margin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9,573</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(2,364)</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(19.8)%</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11,937</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8,328</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1,939</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6,389</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 design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6,925</w:t>
            </w:r>
          </w:p>
        </w:tc>
        <w:tc>
          <w:tcPr>
            <w:tcW w:w="1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5,784</w:t>
            </w:r>
          </w:p>
        </w:tc>
        <w:tc>
          <w:tcPr>
            <w:tcW w:w="1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316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2306.8%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beginning of fiscal 2022, we have adjusted our staffing levels to current and expected future business activity levels. Through the third quarter of fiscal 2021, we lowered overall staffing and temporarily furloughed employees to achieve lower operating costs to align with the uncertainties faced at that time created by the COVID-19 pandemic.</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 the third quarter of fiscal 2022 increased as compared to the same period one year ago primarily due to increases in personnel related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Product design and development expenses in the third quarter of fiscal 2022 increased as compared to the same period one year ago primarily due to an increase in personnel related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Decreased contribution margin and increased spend in general and administrative and product development led to a larger operating loss for the third quarter of fiscal 2022 compared to the prior year third quarter.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Other Income and Expenses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January 29, 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00" w:type="dxa"/>
            <w:vAlign w:val="bottom"/>
          </w:tcPr>
          <w:p>
            <w:pPr>
              <w:spacing w:after="0"/>
              <w:rPr>
                <w:sz w:val="18"/>
                <w:szCs w:val="18"/>
                <w:color w:val="auto"/>
              </w:rPr>
            </w:pPr>
          </w:p>
        </w:tc>
        <w:tc>
          <w:tcPr>
            <w:tcW w:w="13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January 30, 2021</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0" w:type="dxa"/>
            <w:vAlign w:val="bottom"/>
          </w:tcPr>
          <w:p>
            <w:pPr>
              <w:spacing w:after="0"/>
              <w:rPr>
                <w:sz w:val="1"/>
                <w:szCs w:val="1"/>
                <w:color w:val="auto"/>
              </w:rPr>
            </w:pPr>
          </w:p>
        </w:tc>
      </w:tr>
      <w:tr>
        <w:trPr>
          <w:trHeight w:val="207"/>
        </w:trPr>
        <w:tc>
          <w:tcPr>
            <w:tcW w:w="2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 income, net</w:t>
            </w:r>
          </w:p>
        </w:tc>
        <w:tc>
          <w:tcPr>
            <w:tcW w:w="6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56</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96</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(240.0)%</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The change in interest income and expense, net for the third quarter of fiscal 2022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the reduction of interest expense, as we have no outstanding amounts due on the line of credit this year as compared to $15.0 million last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third quarter of fiscal 2022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losses recorded for equity method affiliates and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recorded an effective tax rate of 32.2 percent for the third quarter of fiscal 2022 as compared to 82.0 percent for the third quarter of fiscal 2021. The decrease in tax rate is primarily driven by an increase in estimated permanent tax costs such as BEAT and GILTI proportionate to a decrease in estimated pre-tax earnings in the third quarter of fiscal 2022 compared to discrete tax benefits recorded proportionate to the book loss recognized in the third quarter of fiscal 2021.</w:t>
      </w:r>
    </w:p>
    <w:p>
      <w:pPr>
        <w:sectPr>
          <w:pgSz w:w="11900" w:h="16838" w:orient="portrait"/>
          <w:cols w:equalWidth="0" w:num="1">
            <w:col w:w="11240"/>
          </w:cols>
          <w:pgMar w:left="320" w:top="108" w:right="339" w:bottom="183"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83"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JANUARY 29, 2022 AND JANUARY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net sales for the nine months ended January 29, 2022 and January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10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6"/>
                <w:szCs w:val="16"/>
                <w:color w:val="auto"/>
              </w:rPr>
            </w:pPr>
          </w:p>
        </w:tc>
        <w:tc>
          <w:tcPr>
            <w:tcW w:w="12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Percent</w:t>
            </w:r>
          </w:p>
        </w:tc>
      </w:tr>
      <w:tr>
        <w:trPr>
          <w:trHeight w:val="207"/>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107,339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94,947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150,840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38,214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33.9</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13,197</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18.5</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63,792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18,970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42.3</w:t>
            </w:r>
          </w:p>
        </w:tc>
      </w:tr>
      <w:tr>
        <w:trPr>
          <w:trHeight w:val="249"/>
        </w:trPr>
        <w:tc>
          <w:tcPr>
            <w:tcW w:w="1080" w:type="dxa"/>
            <w:vAlign w:val="bottom"/>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365,150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197"/>
        </w:trPr>
        <w:tc>
          <w:tcPr>
            <w:tcW w:w="59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Orders:</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143,699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92,929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169,665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76,046</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81.2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42,664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66.1</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37,713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19,141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50.8</w:t>
            </w:r>
          </w:p>
        </w:tc>
      </w:tr>
      <w:tr>
        <w:trPr>
          <w:trHeight w:val="21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82,778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26,914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48.2</w:t>
            </w:r>
          </w:p>
        </w:tc>
      </w:tr>
      <w:tr>
        <w:trPr>
          <w:trHeight w:val="209"/>
        </w:trPr>
        <w:tc>
          <w:tcPr>
            <w:tcW w:w="10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560,242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344,707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215,535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orders increased, as demand was up across all markets in the nine months ended January 29, 2022 compared to the prior year nine-month periods. During the nine months ended January 30, 2021, sales and orders in all business units were negatively impacted as a result of the economic downturn caused by the COVID-19 pandemic.</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sales during thenine months ended January 29, 2022 increased due to the conversion of the higher order volume for reasons noted below to sales during the first nine months of the year, including several large multimillion-dollar orders ("large orders") in both Live Events and International. Material supply and labor shortages are creating an increase in lead times, extending the timing of converting some orders to sales in the near-term.</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Orders during the first nine months ended January 29, 2022 continued to improve, reflecting the continued economic recovery from the impact of the global pandemic among our customers.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Gross Profit and Contribution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0"/>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January 29, 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January 30, 2021</w:t>
            </w:r>
          </w:p>
        </w:tc>
      </w:tr>
      <w:tr>
        <w:trPr>
          <w:trHeight w:val="191"/>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7"/>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7"/>
              </w:rPr>
              <w:t>As a Percent</w:t>
            </w:r>
          </w:p>
        </w:tc>
      </w:t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of Net Sales</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22,862</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90"/>
              </w:rPr>
              <w:t>21.3%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24,730</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90"/>
              </w:rPr>
              <w:t>26.0%</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17,261</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20,910</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18.6</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27,216</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25,410</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35.7</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12,263</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14,300</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34.4</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7,158</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7,666</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17.1</w:t>
            </w:r>
          </w:p>
        </w:tc>
      </w:tr>
      <w:tr>
        <w:trPr>
          <w:trHeight w:val="249"/>
        </w:trPr>
        <w:tc>
          <w:tcPr>
            <w:tcW w:w="108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86,760</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0"/>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93,016</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0"/>
              </w:rPr>
              <w:t>25.5%</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decline in gross profit percentage is primarily related to the ongoing supply chain disruptions and inflationary challenges in materials, freight and personnel related costs; the difference in sales mix between periods; and other factors experienced during fiscal 2021 which had a positive impact on fiscal 2021 margins. The factors impacting the gross profit in fiscal 2021 included the positive $2.1 million litigation claim reversal in High School Park and Recreation and $1.6 million of COVID relief governmental subsidies offset by $2.8 million of severance costs to reduce our workforce to adjust to the impacts of the COVID-19 pandemic.</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uncertainties created by the COVID-19 pandemic during fiscal 2021, we lowered overall staffing and temporarily furloughed employees. Since the beginning of fiscal 2022, we have increased our manufacturing and services personnel levels to achieve current and expected future sales levels.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nine months of fiscal 2021, we earned a higher rate of gross profit on our service agreements due to reduced stand ready services conducted during the year because of the pandemic. During the first nine months of fiscal year 2022, we had more large project sales which generally have lower gross profit because of their competitive nature.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cost as a percent of sales for the nine months ended January 29, 2022 compared to the same period one year ago increased to 1.6 percent from 1.5 percent.</w:t>
      </w:r>
    </w:p>
    <w:p>
      <w:pPr>
        <w:sectPr>
          <w:pgSz w:w="11900" w:h="16838" w:orient="portrait"/>
          <w:cols w:equalWidth="0" w:num="1">
            <w:col w:w="11240"/>
          </w:cols>
          <w:pgMar w:left="320" w:top="125" w:right="339" w:bottom="426"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26"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January 29,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January 30, 2021</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Contribution Margin:</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(3,036)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10,199</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14,081</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18,539</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18,142</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9,601</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12,039</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1,905</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49,748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Contribution margin in the nine months ended January 29, 2022 was impacted by the previously discussed sales levels and impacts within gross profit.</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the beginning of fiscal 2022, we have adjusted our sales and marketing activities and staffing levels to achieve current and expected future sales levels. During fiscal 2021, each business unit's contribution margin was impacted by a decrease in personnel related expenses and continued reductions in travel and entertainment, marketing, and convention related expenses due to limited ability to travel or fewer number of conventions because of COVID-19 restrictions. These fiscal 2021 savings were partly offset by a $1.5 million increase in bad debt expenses. During fiscal 2021, we had lowered overall staffing and furloughed employees to achieve lower operating costs to align with the uncertainties created by the COVID-19 pandemic.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from non-GAAP contribution margin to operating income GAAP measure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January 29,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January 30, 2021</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Contribution margin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49,748</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(7,054)</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56,802</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24,100</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3,323</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20,777</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 design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21,283</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20,053</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15,972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the third quarter of fiscal 2021, we lowered overall staffing and temporarily furloughed employees to achieve lower operating costs to align with the uncertainties faced at that time created by the COVID-19 pandemic. Since the beginning of fiscal 2022, we have adjusted our staffing levels to current and expected future business activity levels.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for the nine months ended January 29, 2022 increased as compared to the same period one year ago primarily due to increases in personnel related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design and development expenses in the nine months ended January 29, 2022 stayed relatively steady as compared to the same period one year ago.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was lower than the previous year due to a lower contribution margin and an increase in personnel expense to match the increase in orders discussed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Other Income and Expenses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January 29, 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00" w:type="dxa"/>
            <w:vAlign w:val="bottom"/>
          </w:tcPr>
          <w:p>
            <w:pPr>
              <w:spacing w:after="0"/>
              <w:rPr>
                <w:sz w:val="18"/>
                <w:szCs w:val="18"/>
                <w:color w:val="auto"/>
              </w:rPr>
            </w:pPr>
          </w:p>
        </w:tc>
        <w:tc>
          <w:tcPr>
            <w:tcW w:w="13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January 30, 2021</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0" w:type="dxa"/>
            <w:vAlign w:val="bottom"/>
          </w:tcPr>
          <w:p>
            <w:pPr>
              <w:spacing w:after="0"/>
              <w:rPr>
                <w:sz w:val="1"/>
                <w:szCs w:val="1"/>
                <w:color w:val="auto"/>
              </w:rPr>
            </w:pPr>
          </w:p>
        </w:tc>
      </w:tr>
      <w:tr>
        <w:trPr>
          <w:trHeight w:val="207"/>
        </w:trPr>
        <w:tc>
          <w:tcPr>
            <w:tcW w:w="2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 income, net</w:t>
            </w:r>
          </w:p>
        </w:tc>
        <w:tc>
          <w:tcPr>
            <w:tcW w:w="6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134</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180</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(391.3)%</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The change in interest income and expense, net for the nine months ended January 29, 2022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was primarily due to the reduction of interest expense, as we have no outstanding drawings on the line of credit this year as compared to $15.0 million last year.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nine months ended January 29, 2022 as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due to losses recorded for equity method affiliates and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recorded an effective tax rate of 9.4 percent for the nine months ended January 29, 2022, as compared to an effective tax rate of 21.3 percent for the nine months ended January 30, 2021. The difference in tax rates is primarily driven by an increase in permanent tax costs such as BEAT and GILTI proportionate to a decrease in estimated pre-tax earnings in the third quarter of fiscal 2022 compared to no change in the estimated tax rate from the second quarter to the third quarter of fiscal 2021. Additionally, a return to provision expense was recorded for the third quarter impacting the overall effective rate compared to a return to provision benefit recorded in fiscal 2021.</w:t>
      </w:r>
    </w:p>
    <w:p>
      <w:pPr>
        <w:sectPr>
          <w:pgSz w:w="11900" w:h="16838" w:orient="portrait"/>
          <w:cols w:equalWidth="0" w:num="1">
            <w:col w:w="11240"/>
          </w:cols>
          <w:pgMar w:left="320" w:top="108" w:right="339" w:bottom="61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615"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 of exchange rate changes on cash</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w w:val="98"/>
              </w:rPr>
              <w:t>January 29,</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w w:val="98"/>
              </w:rPr>
              <w:t>January 30,</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Dollar</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411"/>
        </w:trPr>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(25,464)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48,221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(73,685)</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(13,115)</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(2,835)</w:t>
            </w:r>
          </w:p>
        </w:tc>
      </w:tr>
      <w:tr>
        <w:trPr>
          <w:trHeight w:val="230"/>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603</w:t>
            </w:r>
          </w:p>
        </w:tc>
      </w:tr>
      <w:tr>
        <w:trPr>
          <w:trHeight w:val="209"/>
        </w:trPr>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(89,032)</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5" w:right="339" w:bottom="159" w:gutter="0" w:footer="0" w:header="0"/>
        </w:sectPr>
      </w:pP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decreased by $48.7 million for the first nine months of fiscal 2022 primarily due to the use of cash for increases in accounts receivable, contract assets, and inventory required to support the increased order volume and holding more inventory as a strategy during this time of supply chain disruptions. The decrease in cash was also due to investing in capital assets for increased capacity, loans to affiliates, purchase of marketable securities, and purchase of shares through the share repurchase program. Cash increased by $40.3 million in the first nine months of fiscal 2021 because of cash conservation measures during the pandemic, including: reductions in operating asset levels, decreases in capital expenditures, and the suspension of our dividend and share repurchase program.</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in) provided by operating activities: </w:t>
      </w:r>
      <w:r>
        <w:rPr>
          <w:rFonts w:ascii="Arial" w:cs="Arial" w:eastAsia="Arial" w:hAnsi="Arial"/>
          <w:sz w:val="18"/>
          <w:szCs w:val="18"/>
          <w:color w:val="auto"/>
        </w:rPr>
        <w:t>Net cash used in operating activities was $25.5 million for the first nine months of fiscal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cash provided by operating activities of $48.2 million in the first nine months of fiscal 2021. The $73.7 million difference between net cash used in fiscal 2022 compared to net cash provided in fiscal 2021 by operating activities was primarily the result of changes in net operating assets and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The changes in net operating assets and liabilities consisted of the following:</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98"/>
              </w:rPr>
              <w:t>January 30,</w:t>
            </w: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(29,015)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9,089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15,757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2,342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Investment in affiliates and other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21,429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(14,355)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(7,557)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Warranty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Long-term warranty obligations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Long-term marketing obligations and other payables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2,380</w:t>
            </w: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20,115</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Net cash used in investing activities totaled $19.9 million in the first nine months of fiscal 2022 compared to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investing activities of $6.8 million in the first nine months of fiscal 2021. Purchases of property and equipment totaled $10.0 million in the first nine months of fiscal 2022 compared to $6.9 million in the first nine months of fiscal 2021. We used $4.0 million for purchases of marketable securities in the first nine months of fiscal 2022 as compared to $1.0 million proceeds from sales or maturities of marketable securities in the first nine months of fiscal 2021. Purchases of and loans to affiliates accounted for by the equity investment method totaled $6.7 million in the first nine months of fiscal 2022 as compared to $1.3 million in the first nine months of fiscal 2021.</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$3.4 million for the nine months ended January 29,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$0.6 million in the same period one year ago primarily due to payments for shares repurchased.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The timing and amounts of working capital changes, dividend payments, stock repurchases,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impact our liquidity.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Working capital was $113.9 million and $118.4 million as of January 29, 2022 and May 1, 2021, respectively. The changes in working capital, particularly changes in accounts receivable, accounts payable, inventory, contract assets and liabilities, and the sports market and construction seasonality can have a significant impact on the amount of net cash provided by operating activities largely due to the timing of payments and receipts. On multimillion-dollar orders, the time between order acceptance and project completion may extend up to or exceed 12 months depending on the amount of custom work and a customer’s delivery needs. We often receive down payments or progress payments on these orders. We expect to use cash in operations as our business returns and exceeds pre-pandemic levels.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$8.9 million of retainage on long-term contracts included in receivables and contract assets as of January 29, 2022, which has an impact on our liquidity. We expect to collect these amounts within one year. We have historically financed our cash needs through a combination of cash flow from operations and borrowings under bank credit agreements.</w:t>
      </w:r>
    </w:p>
    <w:p>
      <w:pPr>
        <w:sectPr>
          <w:pgSz w:w="11900" w:h="16838" w:orient="portrait"/>
          <w:cols w:equalWidth="0" w:num="1">
            <w:col w:w="11240"/>
          </w:cols>
          <w:pgMar w:left="320" w:top="125" w:right="339" w:bottom="159" w:gutter="0" w:footer="0" w:header="0"/>
          <w:type w:val="continuous"/>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The Board of Directors suspended dividends and share repurchases during fiscal 2020 as part of our cash conservations measures through the pandemic. The timing of the future reinstatement of dividends is at the discretion of the Board of Directors. Future dividends are also impacted by the limitations imposed in our credit facility, as further described in "Note 7. Financing Agreements" in our Annual Report on Form 10-K for the fiscal year ended May 1, 2021. The share repurchase program was reinstated on December 2,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Shares may be repurchased from time to time in open market purchases, private transactions or other transactions. The timing, volume and nature of share repurchases will be at the sole discretion of management and will be dependent on market conditions, applicable securities laws and other factors, and may be suspended or discontinued at any time. During the nine months ended January 29, 2022, we repurchased 600 shares of common stock at a total cost of $3,000.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 loss to Daktronics' restricted cash accounts. As of January 29, 2022, we had $0.7 million of such instruments outstanding.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installation work, and our customer would call upon the bond for payment, the surety company would subrogate its loss to Daktronics. As of January 29, 2022, we had $39.2 million of bonded work outstanding against this line.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and strategic investments. We are projecting total capital expenditures to be approximately $25 million for fiscal 2022. Projected capital expenditures include manufacturing equipment for new or enhanced product production, expanded capacity, investments in quality and reliability equipment, demonstration and showroom assets, and continued information infrastructure investments. We also evaluate and may make strategic investments in new technologies, in our affiliates, or acquire companies aligned with our business strategy.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audiovisual industry fundamentals will drive long-term growth for our business; however, for the near-term outlook, we expect our customers may continue to have disruptions and may continue to reduce or increase their spend on audiovisual systems and related services as they work through the economic and business implications of COVID-19, supply chain challenges, and emerging war and geopolitical situations. Ongoing supply chain disruptions and inflationary challenges in materials, freight and personnel related costs also impact our profitability and cash flows. We have increased pricing when we are able in effort to offset the increase in input costs.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longer planning horizons and volatility in supply chains, we plan to carry higher quantities of inventory and anticipate changes in the timing of payments from our customers as we work through different disruptions and fulfill our backlog. In addition, we are planning additional capital spending to grow our manufacturing capacity. We anticipate needing to utilize a portion of our line of credit which expires in November 2022, and there can be no assurances that we will be successful in renewing the line of credit with sufficient capacity or that we will otherwise be able to obtain sufficient cash. However, based on our initial discussions with lenders and other alternatives we have available to us, such as increasing prices of our goods and services, reducing operating expenses, negotiating longer payment terms to our suppliers, reducing capital expenditures and obtaining other forms of debt or equity financing, we believe it is probable our existing cash balances and future actions will be sufficient to fund our normal business operations over the next twelve months from the date of this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May 1, 2021. We discuss our critical accounting estimates in "Part II, Item 7. Management’s Discussion and Analysis of Financial Condition and Results of Operations" in our Annual Report on Form 10-K for the fiscal year ended May 1, 2021. There have been no material changes in our significant accounting policies or critical accounting estimates since the end of fiscal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interest rate, foreign currency, and commodity risks as disclosed in our Annual Report on Form 10-K for the fiscal year ended May 1, 2021. There have been no material changes in our exposure to these risks during the first nine months of fiscal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29, 2022, which is the end of the period covered by this Report. Based upon that evaluation, the Chief Executive Officer and Chief Financial Officer concluded that as of January 29, 2022, our disclosure controls and procedures were effective.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29, 2022, there was no change in our internal control over financial reporting which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May 1, 2021.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share repurchases of common stock during the third quarter of fiscal 2022 there were no share repurchases during the first two quarters of fiscal 2022:</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of shares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of shares may</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 as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yet be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part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purchased</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Total number</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paid per share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announces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of shares</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(including</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plans or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repurchase</w:t>
            </w:r>
          </w:p>
        </w:tc>
      </w:t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fees)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program (1)</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May 2, 2021 - November 27,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32,539,076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November 28, 2021 - December 25, 2021</w:t>
            </w:r>
          </w:p>
        </w:tc>
        <w:tc>
          <w:tcPr>
            <w:tcW w:w="1120" w:type="dxa"/>
            <w:vAlign w:val="bottom"/>
          </w:tcPr>
          <w:p>
            <w:pPr>
              <w:jc w:val="right"/>
              <w:spacing w:after="0"/>
              <w:rPr>
                <w:sz w:val="20"/>
                <w:szCs w:val="20"/>
                <w:color w:val="auto"/>
              </w:rPr>
            </w:pPr>
            <w:r>
              <w:rPr>
                <w:rFonts w:ascii="Arial" w:cs="Arial" w:eastAsia="Arial" w:hAnsi="Arial"/>
                <w:sz w:val="18"/>
                <w:szCs w:val="18"/>
                <w:color w:val="auto"/>
              </w:rPr>
              <w:t>413,055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413,055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30,457,171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December 26, 2021 - January 29,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29,539,079</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600,125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600,125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firstLine="8"/>
        <w:spacing w:after="0" w:line="260" w:lineRule="auto"/>
        <w:tabs>
          <w:tab w:leader="none" w:pos="2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 repurchases described in the above table were made pursuant to the $40.0 million share repurchase program authorized by the Board of Directors on June 17, 2016 and reinstated on December 2, 2021.</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Repurchases of shares are treated as dividends under the South Dakota Business Corporation Act (which is codified as Chapter 47-1A to the South Dakota statutes), our repurchases of shares could be affected by the limitations imposed on dividends in our credit facility, as further described in "Note 7. Financing Agreements" in our Annual Report on Form 10-K for the fiscal year ended May 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ectPr>
          <w:pgSz w:w="11900" w:h="16838" w:orient="portrait"/>
          <w:cols w:equalWidth="0" w:num="1">
            <w:col w:w="11240"/>
          </w:cols>
          <w:pgMar w:left="320" w:top="125" w:right="3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70" w:lineRule="exact"/>
        <w:rPr>
          <w:sz w:val="20"/>
          <w:szCs w:val="20"/>
          <w:color w:val="auto"/>
        </w:rPr>
      </w:pPr>
    </w:p>
    <w:p>
      <w:pPr>
        <w:ind w:left="680" w:hanging="674"/>
        <w:spacing w:after="0" w:line="258" w:lineRule="auto"/>
        <w:tabs>
          <w:tab w:leader="none" w:pos="660" w:val="left"/>
        </w:tabs>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43">
        <w:r>
          <w:rPr>
            <w:rFonts w:ascii="Arial" w:cs="Arial" w:eastAsia="Arial" w:hAnsi="Arial"/>
            <w:sz w:val="18"/>
            <w:szCs w:val="18"/>
            <w:u w:val="single" w:color="auto"/>
            <w:color w:val="0000EE"/>
          </w:rPr>
          <w:t>Amended and Restated Articles of Incorporation of the Company. (Incorporated by reference to Exhibit 3.1 of the Current Report on Form 10-</w:t>
        </w:r>
      </w:hyperlink>
      <w:hyperlink r:id="rId43">
        <w:r>
          <w:rPr>
            <w:rFonts w:ascii="Arial" w:cs="Arial" w:eastAsia="Arial" w:hAnsi="Arial"/>
            <w:sz w:val="18"/>
            <w:szCs w:val="18"/>
            <w:u w:val="single" w:color="auto"/>
            <w:color w:val="0000EE"/>
          </w:rPr>
          <w:t>Q/A (Amendment No. 1) of Daktronics, Inc. filed on December 21,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660" w:val="left"/>
        </w:tabs>
        <w:rPr>
          <w:rFonts w:ascii="Arial" w:cs="Arial" w:eastAsia="Arial" w:hAnsi="Arial"/>
          <w:sz w:val="16"/>
          <w:szCs w:val="16"/>
          <w:u w:val="single" w:color="auto"/>
          <w:color w:val="0000EE"/>
        </w:rPr>
      </w:pPr>
      <w:hyperlink r:id="rId45">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45">
        <w:r>
          <w:rPr>
            <w:rFonts w:ascii="Arial" w:cs="Arial" w:eastAsia="Arial" w:hAnsi="Arial"/>
            <w:sz w:val="16"/>
            <w:szCs w:val="16"/>
            <w:u w:val="single" w:color="auto"/>
            <w:color w:val="0000EE"/>
          </w:rPr>
          <w:t>Amended and Restated Bylaws of the Company (Incorporated by reference to Exhibit 3.4 filed with our Annual Report on Form 10-K on June 12,</w:t>
        </w:r>
      </w:hyperlink>
    </w:p>
    <w:p>
      <w:pPr>
        <w:spacing w:after="0" w:line="9" w:lineRule="exact"/>
        <w:rPr>
          <w:sz w:val="20"/>
          <w:szCs w:val="20"/>
          <w:color w:val="auto"/>
        </w:rPr>
      </w:pPr>
    </w:p>
    <w:p>
      <w:pPr>
        <w:ind w:left="680"/>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47">
        <w:r>
          <w:rPr>
            <w:rFonts w:ascii="Arial" w:cs="Arial" w:eastAsia="Arial" w:hAnsi="Arial"/>
            <w:sz w:val="18"/>
            <w:szCs w:val="18"/>
            <w:u w:val="single" w:color="auto"/>
            <w:color w:val="0000EE"/>
          </w:rPr>
          <w:t>Rights Agreement dated as of November 16, 2018 between Daktronics, Inc. and Equiniti Trust Company, as Rights Agent (Incorporated by</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reference to Exhibit 4.1 of the Current Report on Form 8-K of Daktronics, Inc. filed on November 16, 2018).</w:t>
        </w:r>
      </w:hyperlink>
    </w:p>
    <w:p>
      <w:pPr>
        <w:spacing w:after="0" w:line="1" w:lineRule="exact"/>
        <w:rPr>
          <w:rFonts w:ascii="Arial" w:cs="Arial" w:eastAsia="Arial" w:hAnsi="Arial"/>
          <w:sz w:val="18"/>
          <w:szCs w:val="18"/>
          <w:u w:val="single" w:color="auto"/>
          <w:color w:val="0000EE"/>
        </w:rPr>
      </w:pPr>
    </w:p>
    <w:p>
      <w:pPr>
        <w:ind w:left="680" w:right="280" w:hanging="674"/>
        <w:spacing w:after="0" w:line="265" w:lineRule="auto"/>
        <w:tabs>
          <w:tab w:leader="none" w:pos="660" w:val="left"/>
        </w:tabs>
        <w:rPr>
          <w:rFonts w:ascii="Arial" w:cs="Arial" w:eastAsia="Arial" w:hAnsi="Arial"/>
          <w:sz w:val="17"/>
          <w:szCs w:val="17"/>
          <w:u w:val="single" w:color="auto"/>
          <w:color w:val="0000EE"/>
        </w:rPr>
      </w:pPr>
      <w:hyperlink r:id="rId48">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48">
        <w:r>
          <w:rPr>
            <w:rFonts w:ascii="Arial" w:cs="Arial" w:eastAsia="Arial" w:hAnsi="Arial"/>
            <w:sz w:val="17"/>
            <w:szCs w:val="17"/>
            <w:u w:val="single" w:color="auto"/>
            <w:color w:val="0000EE"/>
          </w:rPr>
          <w:t>First Amendment to Rights Agreement dated as of November 19, 2021 between Daktronics, Inc. and Equiniti Trust Company, as Rights Agent</w:t>
        </w:r>
      </w:hyperlink>
      <w:r>
        <w:rPr>
          <w:rFonts w:ascii="Arial" w:cs="Arial" w:eastAsia="Arial" w:hAnsi="Arial"/>
          <w:sz w:val="17"/>
          <w:szCs w:val="17"/>
          <w:u w:val="single" w:color="auto"/>
          <w:color w:val="0000EE"/>
        </w:rPr>
        <w:t xml:space="preserve"> </w:t>
      </w:r>
      <w:hyperlink r:id="rId48">
        <w:r>
          <w:rPr>
            <w:rFonts w:ascii="Arial" w:cs="Arial" w:eastAsia="Arial" w:hAnsi="Arial"/>
            <w:sz w:val="17"/>
            <w:szCs w:val="17"/>
            <w:u w:val="single" w:color="auto"/>
            <w:color w:val="0000EE"/>
          </w:rPr>
          <w:t>(Incorporated by reference to Exhibit 4.2 of the Current Report on Form 8-K of Daktronics, Inc. filed on November 19, 2021).</w:t>
        </w:r>
      </w:hyperlink>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49">
        <w:r>
          <w:rPr>
            <w:rFonts w:ascii="Arial" w:cs="Arial" w:eastAsia="Arial" w:hAnsi="Arial"/>
            <w:sz w:val="18"/>
            <w:szCs w:val="18"/>
            <w:u w:val="single" w:color="auto"/>
            <w:color w:val="0000EE"/>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Exhibit 10.1 filed with our Current Report on Form 8-K filed on November 16,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51">
        <w:r>
          <w:rPr>
            <w:rFonts w:ascii="Arial" w:cs="Arial" w:eastAsia="Arial" w:hAnsi="Arial"/>
            <w:sz w:val="18"/>
            <w:szCs w:val="18"/>
            <w:u w:val="single" w:color="auto"/>
            <w:color w:val="0000EE"/>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filed with our Current Report on Form 8-K filed on November 16, 2016).</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52">
        <w:r>
          <w:rPr>
            <w:rFonts w:ascii="Arial" w:cs="Arial" w:eastAsia="Arial" w:hAnsi="Arial"/>
            <w:sz w:val="18"/>
            <w:szCs w:val="18"/>
            <w:u w:val="single" w:color="auto"/>
            <w:color w:val="0000EE"/>
          </w:rPr>
          <w:t>Second Amendment to Credit Agreement dated as of November 15, 2019 by and between the Company and U.S. Bank National Association</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(Incorporated by reference to Exhibit 10.1 filed with our Current Report on Form 8-K filed on November 15,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65" w:lineRule="auto"/>
        <w:tabs>
          <w:tab w:leader="none" w:pos="660" w:val="left"/>
        </w:tabs>
        <w:rPr>
          <w:rFonts w:ascii="Arial" w:cs="Arial" w:eastAsia="Arial" w:hAnsi="Arial"/>
          <w:sz w:val="17"/>
          <w:szCs w:val="17"/>
          <w:u w:val="single" w:color="auto"/>
          <w:color w:val="0000EE"/>
        </w:rPr>
      </w:pPr>
      <w:hyperlink r:id="rId54">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54">
        <w:r>
          <w:rPr>
            <w:rFonts w:ascii="Arial" w:cs="Arial" w:eastAsia="Arial" w:hAnsi="Arial"/>
            <w:sz w:val="17"/>
            <w:szCs w:val="17"/>
            <w:u w:val="single" w:color="auto"/>
            <w:color w:val="0000EE"/>
          </w:rPr>
          <w:t>Third Amendment to Credit Agreement dated as of August 28, 2020 by and between the Company and U.S. Bank National Association</w:t>
        </w:r>
      </w:hyperlink>
      <w:r>
        <w:rPr>
          <w:rFonts w:ascii="Arial" w:cs="Arial" w:eastAsia="Arial" w:hAnsi="Arial"/>
          <w:sz w:val="17"/>
          <w:szCs w:val="17"/>
          <w:u w:val="single" w:color="auto"/>
          <w:color w:val="0000EE"/>
        </w:rPr>
        <w:t xml:space="preserve"> </w:t>
      </w:r>
      <w:hyperlink r:id="rId54">
        <w:r>
          <w:rPr>
            <w:rFonts w:ascii="Arial" w:cs="Arial" w:eastAsia="Arial" w:hAnsi="Arial"/>
            <w:sz w:val="17"/>
            <w:szCs w:val="17"/>
            <w:u w:val="single" w:color="auto"/>
            <w:color w:val="0000EE"/>
          </w:rPr>
          <w:t>(Incorporated by reference to Exhibit 10.4 filed with our Current Report on Form 10-Q of Daktronics, Inc. filed on August 28, 2020).</w:t>
        </w:r>
      </w:hyperlink>
    </w:p>
    <w:p>
      <w:pPr>
        <w:ind w:left="680" w:right="780" w:hanging="674"/>
        <w:spacing w:after="0" w:line="265" w:lineRule="auto"/>
        <w:tabs>
          <w:tab w:leader="none" w:pos="660" w:val="left"/>
        </w:tabs>
        <w:rPr>
          <w:rFonts w:ascii="Arial" w:cs="Arial" w:eastAsia="Arial" w:hAnsi="Arial"/>
          <w:sz w:val="17"/>
          <w:szCs w:val="17"/>
          <w:u w:val="single" w:color="auto"/>
          <w:color w:val="0000EE"/>
        </w:rPr>
      </w:pPr>
      <w:hyperlink r:id="rId55">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55">
        <w:r>
          <w:rPr>
            <w:rFonts w:ascii="Arial" w:cs="Arial" w:eastAsia="Arial" w:hAnsi="Arial"/>
            <w:sz w:val="17"/>
            <w:szCs w:val="17"/>
            <w:u w:val="single" w:color="auto"/>
            <w:color w:val="0000EE"/>
          </w:rPr>
          <w:t>Fourth Amendment to Credit Agreement dated as of March 11, 2021 by and between the Company and U.S. Bank National Association</w:t>
        </w:r>
      </w:hyperlink>
      <w:r>
        <w:rPr>
          <w:rFonts w:ascii="Arial" w:cs="Arial" w:eastAsia="Arial" w:hAnsi="Arial"/>
          <w:sz w:val="17"/>
          <w:szCs w:val="17"/>
          <w:u w:val="single" w:color="auto"/>
          <w:color w:val="0000EE"/>
        </w:rPr>
        <w:t xml:space="preserve"> </w:t>
      </w:r>
      <w:hyperlink r:id="rId55">
        <w:r>
          <w:rPr>
            <w:rFonts w:ascii="Arial" w:cs="Arial" w:eastAsia="Arial" w:hAnsi="Arial"/>
            <w:sz w:val="17"/>
            <w:szCs w:val="17"/>
            <w:u w:val="single" w:color="auto"/>
            <w:color w:val="0000EE"/>
          </w:rPr>
          <w:t>(Incorporated by reference to Exhibit 10.5 filed with our Annual Report on Form 10-K on June 11, 2021).</w:t>
        </w:r>
      </w:hyperlink>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56">
        <w:r>
          <w:rPr>
            <w:rFonts w:ascii="Arial" w:cs="Arial" w:eastAsia="Arial" w:hAnsi="Arial"/>
            <w:sz w:val="18"/>
            <w:szCs w:val="18"/>
            <w:u w:val="single" w:color="auto"/>
            <w:color w:val="0000EE"/>
          </w:rPr>
          <w:t>Security Agreement dated as of August 28, 2020 by and between the Company and U.S. Bank National Association (Incorporated by reference to</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Exhibit 10.5 filed with our Current Report on Form 10-Q of Daktronics, Inc. filed on August 28,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58">
        <w:r>
          <w:rPr>
            <w:rFonts w:ascii="Arial" w:cs="Arial" w:eastAsia="Arial" w:hAnsi="Arial"/>
            <w:sz w:val="18"/>
            <w:szCs w:val="18"/>
            <w:u w:val="single" w:color="auto"/>
            <w:color w:val="0000EE"/>
          </w:rPr>
          <w:t>Daktronics, Inc. 2020 Stock Incentive Plan ("2020 Plan") (Incorporated by reference to Exhibit A to the Company's Definitive Proxy Statement</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on Schedule 14A filed on July 16, 2020).</w:t>
        </w:r>
      </w:hyperlink>
    </w:p>
    <w:p>
      <w:pPr>
        <w:spacing w:after="0" w:line="1" w:lineRule="exact"/>
        <w:rPr>
          <w:rFonts w:ascii="Arial" w:cs="Arial" w:eastAsia="Arial" w:hAnsi="Arial"/>
          <w:sz w:val="18"/>
          <w:szCs w:val="18"/>
          <w:u w:val="single" w:color="auto"/>
          <w:color w:val="0000EE"/>
        </w:rPr>
      </w:pP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59">
        <w:r>
          <w:rPr>
            <w:rFonts w:ascii="Arial" w:cs="Arial" w:eastAsia="Arial" w:hAnsi="Arial"/>
            <w:sz w:val="18"/>
            <w:szCs w:val="18"/>
            <w:u w:val="single" w:color="auto"/>
            <w:color w:val="0000EE"/>
          </w:rPr>
          <w:t>Form of Restricted Stock Award Agreement under the 2020 Plan (Incorporated by reference to Exhibit 10.2 filed with our Current Report on</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Form 8-K on September 3,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61">
        <w:r>
          <w:rPr>
            <w:rFonts w:ascii="Arial" w:cs="Arial" w:eastAsia="Arial" w:hAnsi="Arial"/>
            <w:sz w:val="18"/>
            <w:szCs w:val="18"/>
            <w:u w:val="single" w:color="auto"/>
            <w:color w:val="0000EE"/>
          </w:rPr>
          <w:t>Form of Non-Qualified Stock Option Agreement Terms and Conditions under the 2020 Plan (Incorporated by reference to Exhibit 10.3 filed with</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our Current Report on Form 8-K on September 3, 2020).</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10.10</w:t>
        </w:r>
      </w:hyperlink>
      <w:r>
        <w:rPr>
          <w:rFonts w:ascii="Arial" w:cs="Arial" w:eastAsia="Arial" w:hAnsi="Arial"/>
          <w:sz w:val="18"/>
          <w:szCs w:val="18"/>
          <w:u w:val="single" w:color="auto"/>
          <w:color w:val="0000EE"/>
        </w:rPr>
        <w:tab/>
      </w:r>
      <w:hyperlink r:id="rId62">
        <w:r>
          <w:rPr>
            <w:rFonts w:ascii="Arial" w:cs="Arial" w:eastAsia="Arial" w:hAnsi="Arial"/>
            <w:sz w:val="18"/>
            <w:szCs w:val="18"/>
            <w:u w:val="single" w:color="auto"/>
            <w:color w:val="0000EE"/>
          </w:rPr>
          <w:t>Form of Incentive Stock Option Terms and Conditions under the 2020 Plan (Incorporated by reference to Exhibit 10.4 filed with our Current</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Report on Form 8-K on September 3,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r:id="rId64">
        <w:r>
          <w:rPr>
            <w:rFonts w:ascii="Arial" w:cs="Arial" w:eastAsia="Arial" w:hAnsi="Arial"/>
            <w:sz w:val="18"/>
            <w:szCs w:val="18"/>
            <w:u w:val="single" w:color="auto"/>
            <w:color w:val="0000EE"/>
          </w:rPr>
          <w:t>Form of Restricted Stock Unit Terms and Conditions under the 2020 Plan (Incorporated by reference to Exhibit 10.5 filed with our Current Report</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on Form 8-K on September 3, 2020).</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30">
        <w:r>
          <w:rPr>
            <w:rFonts w:ascii="Arial" w:cs="Arial" w:eastAsia="Arial" w:hAnsi="Arial"/>
            <w:sz w:val="18"/>
            <w:szCs w:val="18"/>
            <w:u w:val="single" w:color="auto"/>
            <w:color w:val="0000EE"/>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pursuant to Section 302 of the Sarbanes-Oxley Act of 2002. (1)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31">
        <w:r>
          <w:rPr>
            <w:rFonts w:ascii="Arial" w:cs="Arial" w:eastAsia="Arial" w:hAnsi="Arial"/>
            <w:sz w:val="18"/>
            <w:szCs w:val="18"/>
            <w:u w:val="single" w:color="auto"/>
            <w:color w:val="0000EE"/>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pursuant to Section 302 of the Sarbanes-Oxley Act of 2002. (1)</w:t>
        </w:r>
      </w:hyperlink>
    </w:p>
    <w:p>
      <w:pPr>
        <w:spacing w:after="0" w:line="1" w:lineRule="exact"/>
        <w:rPr>
          <w:rFonts w:ascii="Arial" w:cs="Arial" w:eastAsia="Arial" w:hAnsi="Arial"/>
          <w:sz w:val="18"/>
          <w:szCs w:val="18"/>
          <w:u w:val="single" w:color="auto"/>
          <w:color w:val="0000EE"/>
        </w:rPr>
      </w:pPr>
    </w:p>
    <w:p>
      <w:pPr>
        <w:spacing w:after="0"/>
        <w:tabs>
          <w:tab w:leader="none" w:pos="660" w:val="left"/>
        </w:tabs>
        <w:rPr>
          <w:rFonts w:ascii="Arial" w:cs="Arial" w:eastAsia="Arial" w:hAnsi="Arial"/>
          <w:sz w:val="16"/>
          <w:szCs w:val="16"/>
          <w:u w:val="single" w:color="auto"/>
          <w:color w:val="0000EE"/>
        </w:rPr>
      </w:pPr>
      <w:hyperlink w:anchor="page32">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32">
        <w:r>
          <w:rPr>
            <w:rFonts w:ascii="Arial" w:cs="Arial" w:eastAsia="Arial" w:hAnsi="Arial"/>
            <w:sz w:val="16"/>
            <w:szCs w:val="16"/>
            <w:u w:val="single" w:color="auto"/>
            <w:color w:val="0000EE"/>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660" w:val="left"/>
        </w:tabs>
        <w:rPr>
          <w:rFonts w:ascii="Arial" w:cs="Arial" w:eastAsia="Arial" w:hAnsi="Arial"/>
          <w:sz w:val="16"/>
          <w:szCs w:val="16"/>
          <w:u w:val="single" w:color="auto"/>
          <w:color w:val="0000EE"/>
        </w:rPr>
      </w:pPr>
      <w:hyperlink w:anchor="page33">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33">
        <w:r>
          <w:rPr>
            <w:rFonts w:ascii="Arial" w:cs="Arial" w:eastAsia="Arial" w:hAnsi="Arial"/>
            <w:sz w:val="16"/>
            <w:szCs w:val="16"/>
            <w:u w:val="single" w:color="auto"/>
            <w:color w:val="0000EE"/>
          </w:rPr>
          <w:t>Certification of the Chief Financial Officer pursuant to Section 906 of the Sarbanes-Oxley Act of 2002 (18 U.S.C. Section 1350). (1)</w:t>
        </w:r>
      </w:hyperlink>
    </w:p>
    <w:p>
      <w:pPr>
        <w:spacing w:after="0" w:line="9" w:lineRule="exact"/>
        <w:rPr>
          <w:sz w:val="20"/>
          <w:szCs w:val="20"/>
          <w:color w:val="auto"/>
        </w:rPr>
      </w:pPr>
    </w:p>
    <w:p>
      <w:pPr>
        <w:ind w:left="680" w:hanging="674"/>
        <w:spacing w:after="0" w:line="250" w:lineRule="auto"/>
        <w:rPr>
          <w:sz w:val="20"/>
          <w:szCs w:val="20"/>
          <w:color w:val="auto"/>
        </w:rPr>
      </w:pPr>
      <w:r>
        <w:rPr>
          <w:rFonts w:ascii="Arial" w:cs="Arial" w:eastAsia="Arial" w:hAnsi="Arial"/>
          <w:sz w:val="18"/>
          <w:szCs w:val="18"/>
          <w:color w:val="auto"/>
        </w:rPr>
        <w:t>101.INS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101.SCHInline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101.DEFInline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101.LABInline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(1)Filed herewith electronically.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440"/>
        <w:spacing w:after="0"/>
        <w:rPr>
          <w:sz w:val="20"/>
          <w:szCs w:val="20"/>
          <w:color w:val="auto"/>
        </w:rPr>
      </w:pPr>
      <w:r>
        <w:rPr>
          <w:rFonts w:ascii="Arial" w:cs="Arial" w:eastAsia="Arial" w:hAnsi="Arial"/>
          <w:sz w:val="18"/>
          <w:szCs w:val="18"/>
          <w:u w:val="single" w:color="auto"/>
          <w:color w:val="auto"/>
        </w:rPr>
        <w:t>/s/ Sheila M. Anderson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Date: March 10,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29, 2022 of Daktronics,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Reece A. Kurtenbach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Reece A. Kurtenbach</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4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10, 2022</w:t>
      </w:r>
    </w:p>
    <w:p>
      <w:pPr>
        <w:sectPr>
          <w:pgSz w:w="11900" w:h="16838" w:orient="portrait"/>
          <w:cols w:equalWidth="0" w:num="1">
            <w:col w:w="11240"/>
          </w:cols>
          <w:pgMar w:left="320" w:top="34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29, 2022 of Daktronics,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Sheila M. Anderson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4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10, 2022</w:t>
      </w:r>
    </w:p>
    <w:p>
      <w:pPr>
        <w:sectPr>
          <w:pgSz w:w="11900" w:h="16838" w:orient="portrait"/>
          <w:cols w:equalWidth="0" w:num="1">
            <w:col w:w="11240"/>
          </w:cols>
          <w:pgMar w:left="320" w:top="34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29, 2022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Reece A. Kurtenbach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Reece A. Kurtenbach</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0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10, 2022</w:t>
      </w:r>
    </w:p>
    <w:p>
      <w:pPr>
        <w:sectPr>
          <w:pgSz w:w="11900" w:h="16838" w:orient="portrait"/>
          <w:cols w:equalWidth="0" w:num="1">
            <w:col w:w="11240"/>
          </w:cols>
          <w:pgMar w:left="320" w:top="34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29, 2022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Sheila M. Anderson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10, 2022</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6" Type="http://schemas.openxmlformats.org/officeDocument/2006/relationships/image" Target="media/image37.png"/><Relationship Id="rId50" Type="http://schemas.openxmlformats.org/officeDocument/2006/relationships/image" Target="media/image38.png"/><Relationship Id="rId53" Type="http://schemas.openxmlformats.org/officeDocument/2006/relationships/image" Target="media/image39.png"/><Relationship Id="rId57" Type="http://schemas.openxmlformats.org/officeDocument/2006/relationships/image" Target="media/image40.png"/><Relationship Id="rId60" Type="http://schemas.openxmlformats.org/officeDocument/2006/relationships/image" Target="media/image41.png"/><Relationship Id="rId63"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43" Type="http://schemas.openxmlformats.org/officeDocument/2006/relationships/hyperlink" Target="http://www.sec.gov/Archives/edgar/data/915779/000091577918000119/exhibit31.htm" TargetMode="External"/><Relationship Id="rId45" Type="http://schemas.openxmlformats.org/officeDocument/2006/relationships/hyperlink" Target="http://www.sec.gov/Archives/edgar/data/915779/000091577913000026/dakt_exx34x10-kx2013.htm" TargetMode="External"/><Relationship Id="rId47" Type="http://schemas.openxmlformats.org/officeDocument/2006/relationships/hyperlink" Target="http://www.sec.gov/Archives/edgar/data/915779/000091577918000089/dakt_20181116x8-kxex41.htm" TargetMode="External"/><Relationship Id="rId48" Type="http://schemas.openxmlformats.org/officeDocument/2006/relationships/hyperlink" Target="http://www.sec.gov/Archives/edgar/data/915779/000143774921027158/ex_309612.htm" TargetMode="External"/><Relationship Id="rId49" Type="http://schemas.openxmlformats.org/officeDocument/2006/relationships/hyperlink" Target="http://www.sec.gov/Archives/edgar/data/915779/000091577916000233/dakt_20161115xex101.htm" TargetMode="External"/><Relationship Id="rId51" Type="http://schemas.openxmlformats.org/officeDocument/2006/relationships/hyperlink" Target="http://www.sec.gov/Archives/edgar/data/915779/000091577916000233/dakt_20161115xex102.htm" TargetMode="External"/><Relationship Id="rId52" Type="http://schemas.openxmlformats.org/officeDocument/2006/relationships/hyperlink" Target="http://www.sec.gov/Archives/edgar/data/915779/000091577919000079/dakt_20191115xex101.htm" TargetMode="External"/><Relationship Id="rId54" Type="http://schemas.openxmlformats.org/officeDocument/2006/relationships/hyperlink" Target="http://www.sec.gov/Archives/edgar/data/915779/000091577920000052/dakt20200801q1ex104.htm" TargetMode="External"/><Relationship Id="rId55" Type="http://schemas.openxmlformats.org/officeDocument/2006/relationships/hyperlink" Target="http://www.sec.gov/Archives/edgar/data/915779/000143774921014600/ex_246991.htm" TargetMode="External"/><Relationship Id="rId56" Type="http://schemas.openxmlformats.org/officeDocument/2006/relationships/hyperlink" Target="http://www.sec.gov/Archives/edgar/data/915779/000091577920000052/dakt20200801q1ex105.htm" TargetMode="External"/><Relationship Id="rId58" Type="http://schemas.openxmlformats.org/officeDocument/2006/relationships/hyperlink" Target="http://www.sec.gov/Archives/edgar/data/915779/000091577920000033/dakt-20200502_defx14a.htm" TargetMode="External"/><Relationship Id="rId59" Type="http://schemas.openxmlformats.org/officeDocument/2006/relationships/hyperlink" Target="http://www.sec.gov/Archives/edgar/data/915779/000091577920000054/daktex1028-ksom2020.htm" TargetMode="External"/><Relationship Id="rId61" Type="http://schemas.openxmlformats.org/officeDocument/2006/relationships/hyperlink" Target="http://www.sec.gov/Archives/edgar/data/915779/000091577920000054/daktex1038-ksom2020.htm" TargetMode="External"/><Relationship Id="rId62" Type="http://schemas.openxmlformats.org/officeDocument/2006/relationships/hyperlink" Target="http://www.sec.gov/Archives/edgar/data/915779/000091577920000054/daktex1048-ksom2020.htm" TargetMode="External"/><Relationship Id="rId64" Type="http://schemas.openxmlformats.org/officeDocument/2006/relationships/hyperlink" Target="http://www.sec.gov/Archives/edgar/data/915779/000091577920000054/daktex1058-ksom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2022-03-10T16:26:36Z</dcterms:created>
  <dcterms:modified xsi:type="dcterms:W3CDTF">2022-03-10T16:26:36Z</dcterms:modified>
</cp:coreProperties>
</file>