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985"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85"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85"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5" w:lineRule="exact"/>
        <w:rPr>
          <w:sz w:val="24"/>
          <w:szCs w:val="24"/>
          <w:color w:val="auto"/>
        </w:rPr>
      </w:pPr>
    </w:p>
    <w:p>
      <w:pPr>
        <w:sectPr>
          <w:pgSz w:w="11900" w:h="16838" w:orient="portrait"/>
          <w:cols w:equalWidth="0" w:num="2">
            <w:col w:w="300" w:space="500"/>
            <w:col w:w="941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300" w:space="500"/>
            <w:col w:w="9419"/>
          </w:cols>
          <w:pgMar w:left="240" w:top="985" w:right="1440" w:bottom="1440" w:gutter="0" w:footer="0" w:header="0"/>
          <w:type w:val="continuous"/>
        </w:sectPr>
      </w:pPr>
    </w:p>
    <w:p>
      <w:pPr>
        <w:ind w:left="800" w:hanging="76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5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80" w:hanging="84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640" w:hanging="754"/>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640" w:hanging="754"/>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640" w:right="979" w:hanging="754"/>
        <w:spacing w:after="0" w:line="308" w:lineRule="auto"/>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640" w:hanging="754"/>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640" w:hanging="754"/>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ectPr>
          <w:pgSz w:w="11900" w:h="16838" w:orient="portrait"/>
          <w:cols w:equalWidth="0" w:num="1">
            <w:col w:w="10219"/>
          </w:cols>
          <w:pgMar w:left="240" w:top="985" w:right="1440" w:bottom="1440" w:gutter="0" w:footer="0" w:header="0"/>
          <w:type w:val="continuous"/>
        </w:sectPr>
      </w:pP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Fee paid previously with preliminary materials.</w:t>
      </w:r>
    </w:p>
    <w:p>
      <w:pPr>
        <w:spacing w:after="0" w:line="85" w:lineRule="exact"/>
        <w:rPr>
          <w:sz w:val="24"/>
          <w:szCs w:val="24"/>
          <w:color w:val="auto"/>
        </w:rPr>
      </w:pPr>
    </w:p>
    <w:p>
      <w:pPr>
        <w:sectPr>
          <w:pgSz w:w="11900" w:h="16838" w:orient="portrait"/>
          <w:cols w:equalWidth="0" w:num="2">
            <w:col w:w="300" w:space="580"/>
            <w:col w:w="933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jc w:val="both"/>
        <w:ind w:right="1179"/>
        <w:spacing w:after="0" w:line="264" w:lineRule="auto"/>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sectPr>
          <w:pgSz w:w="11900" w:h="16838" w:orient="portrait"/>
          <w:cols w:equalWidth="0" w:num="2">
            <w:col w:w="300" w:space="580"/>
            <w:col w:w="9339"/>
          </w:cols>
          <w:pgMar w:left="240" w:top="985" w:right="1440" w:bottom="1440" w:gutter="0" w:footer="0" w:header="0"/>
          <w:type w:val="continuous"/>
        </w:sectPr>
      </w:pPr>
    </w:p>
    <w:p>
      <w:pPr>
        <w:spacing w:after="0" w:line="35" w:lineRule="exact"/>
        <w:rPr>
          <w:sz w:val="24"/>
          <w:szCs w:val="24"/>
          <w:color w:val="auto"/>
        </w:rPr>
      </w:pPr>
    </w:p>
    <w:p>
      <w:pPr>
        <w:ind w:left="1640" w:hanging="754"/>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640" w:hanging="754"/>
        <w:spacing w:after="0"/>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6" w:lineRule="exact"/>
        <w:rPr>
          <w:sz w:val="24"/>
          <w:szCs w:val="24"/>
          <w:color w:val="auto"/>
        </w:rPr>
      </w:pPr>
    </w:p>
    <w:p>
      <w:pPr>
        <w:ind w:left="1640" w:hanging="754"/>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640" w:hanging="754"/>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889635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85"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21, 2013</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August 21, 2013</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Brookings, South Dakota 57006</w:t>
      </w:r>
    </w:p>
    <w:p>
      <w:pPr>
        <w:spacing w:after="0" w:line="200"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206" w:lineRule="exact"/>
        <w:rPr>
          <w:sz w:val="20"/>
          <w:szCs w:val="20"/>
          <w:color w:val="auto"/>
        </w:rPr>
      </w:pPr>
    </w:p>
    <w:p>
      <w:pPr>
        <w:ind w:left="1960" w:right="14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three Directors to serve for a three-year term that expires on the date of the Annual Meeting of Shareholders in 2016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the adoption of our Amended and Restated Articles of Incorporation;</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w:t>
      </w:r>
    </w:p>
    <w:p>
      <w:pPr>
        <w:spacing w:after="0" w:line="63" w:lineRule="exact"/>
        <w:rPr>
          <w:rFonts w:ascii="Arial" w:cs="Arial" w:eastAsia="Arial" w:hAnsi="Arial"/>
          <w:sz w:val="18"/>
          <w:szCs w:val="18"/>
          <w:color w:val="auto"/>
        </w:rPr>
      </w:pPr>
    </w:p>
    <w:p>
      <w:pPr>
        <w:ind w:left="2280" w:right="580" w:hanging="327"/>
        <w:spacing w:after="0" w:line="277"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2014; and</w:t>
      </w:r>
    </w:p>
    <w:p>
      <w:pPr>
        <w:spacing w:after="0" w:line="8" w:lineRule="exact"/>
        <w:rPr>
          <w:rFonts w:ascii="Arial" w:cs="Arial" w:eastAsia="Arial" w:hAnsi="Arial"/>
          <w:sz w:val="18"/>
          <w:szCs w:val="18"/>
          <w:color w:val="auto"/>
        </w:rPr>
      </w:pPr>
    </w:p>
    <w:p>
      <w:pPr>
        <w:ind w:left="2280" w:hanging="327"/>
        <w:spacing w:after="0"/>
        <w:tabs>
          <w:tab w:leader="none" w:pos="2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 or postponement thereof.</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June 24, 2013.</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89"/>
              </w:rPr>
              <w:t>Please submit a proxy as soon as possible so that your shares can be voted at the Annual Meeting in accordance with your</w:t>
            </w:r>
          </w:p>
        </w:tc>
      </w:tr>
      <w:tr>
        <w:trPr>
          <w:trHeight w:val="230"/>
        </w:trPr>
        <w:tc>
          <w:tcPr>
            <w:tcW w:w="1580" w:type="dxa"/>
            <w:vAlign w:val="bottom"/>
          </w:tcPr>
          <w:p>
            <w:pPr>
              <w:spacing w:after="0"/>
              <w:rPr>
                <w:sz w:val="20"/>
                <w:szCs w:val="20"/>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856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856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856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220"/>
        <w:spacing w:after="0" w:line="277" w:lineRule="auto"/>
        <w:rPr>
          <w:sz w:val="20"/>
          <w:szCs w:val="20"/>
          <w:color w:val="auto"/>
        </w:rPr>
      </w:pPr>
      <w:r>
        <w:rPr>
          <w:rFonts w:ascii="Arial" w:cs="Arial" w:eastAsia="Arial" w:hAnsi="Arial"/>
          <w:sz w:val="18"/>
          <w:szCs w:val="18"/>
          <w:color w:val="auto"/>
        </w:rPr>
        <w:t>For specific instructions, refer to the procedural matters section of this proxy statement or to the voting instructions on the proxy card.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12, 2013.</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AUGUST 21, 2013.</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notice, the accompanying proxy statement and our Fiscal 2013 Annual Report to Shareholders, which includes our Annual Report on Form 10-K for the year ended April 27, 2013, are available at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0"/>
              </w:rPr>
              <w:t>Daktronics, Inc.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4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89"/>
              </w:rPr>
              <w:t>Table of Contents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250"/>
        </w:trPr>
        <w:tc>
          <w:tcPr>
            <w:tcW w:w="1032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Procedural Matters</w:t>
              </w:r>
            </w:hyperlink>
          </w:p>
        </w:tc>
        <w:tc>
          <w:tcPr>
            <w:tcW w:w="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48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Security Ownership of Certain Beneficial Owners and Management</w:t>
              </w:r>
            </w:hyperlink>
          </w:p>
        </w:tc>
        <w:tc>
          <w:tcPr>
            <w:tcW w:w="544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r>
      <w:tr>
        <w:trPr>
          <w:trHeight w:val="574"/>
        </w:trPr>
        <w:tc>
          <w:tcPr>
            <w:tcW w:w="1032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Proposal One - Election of Directors</w:t>
              </w:r>
            </w:hyperlink>
          </w:p>
        </w:tc>
        <w:tc>
          <w:tcPr>
            <w:tcW w:w="4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10320" w:type="dxa"/>
            <w:vAlign w:val="bottom"/>
            <w:gridSpan w:val="1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Proposal Two - Articles of Incorporation</w:t>
              </w:r>
            </w:hyperlink>
          </w:p>
        </w:tc>
        <w:tc>
          <w:tcPr>
            <w:tcW w:w="44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77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Proposal Three - Advisory (non-binding) Vote on the Compensation Paid to our Named Executive Officers</w:t>
              </w:r>
            </w:hyperlink>
          </w:p>
        </w:tc>
        <w:tc>
          <w:tcPr>
            <w:tcW w:w="26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r>
      <w:tr>
        <w:trPr>
          <w:trHeight w:val="574"/>
        </w:trPr>
        <w:tc>
          <w:tcPr>
            <w:tcW w:w="10320" w:type="dxa"/>
            <w:vAlign w:val="bottom"/>
            <w:gridSpan w:val="1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Proposal Four - Ratification of Appointment of Independent Registered Public Accounting Firm</w:t>
              </w:r>
            </w:hyperlink>
          </w:p>
        </w:tc>
        <w:tc>
          <w:tcPr>
            <w:tcW w:w="44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920" w:type="dxa"/>
            <w:vAlign w:val="bottom"/>
            <w:gridSpan w:val="1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Corporate Governance</w:t>
              </w:r>
            </w:hyperlink>
          </w:p>
        </w:tc>
        <w:tc>
          <w:tcPr>
            <w:tcW w:w="3400" w:type="dxa"/>
            <w:vAlign w:val="bottom"/>
            <w:gridSpan w:val="2"/>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Section 16(a) Beneficial Ownership Reporting Compliance</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Compensation Discussion and Analysis</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2420" w:type="dxa"/>
            <w:vAlign w:val="bottom"/>
            <w:gridSpan w:val="4"/>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7"/>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1780" w:type="dxa"/>
            <w:vAlign w:val="bottom"/>
            <w:gridSpan w:val="3"/>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Executive Compensation</w:t>
              </w:r>
            </w:hyperlink>
          </w:p>
        </w:tc>
        <w:tc>
          <w:tcPr>
            <w:tcW w:w="640" w:type="dxa"/>
            <w:vAlign w:val="bottom"/>
          </w:tcPr>
          <w:p>
            <w:pPr>
              <w:spacing w:after="0"/>
              <w:rPr>
                <w:sz w:val="24"/>
                <w:szCs w:val="24"/>
                <w:color w:val="auto"/>
              </w:rPr>
            </w:pPr>
          </w:p>
        </w:tc>
        <w:tc>
          <w:tcPr>
            <w:tcW w:w="7900" w:type="dxa"/>
            <w:vAlign w:val="bottom"/>
            <w:gridSpan w:val="9"/>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5"/>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1780" w:type="dxa"/>
            <w:vAlign w:val="bottom"/>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Audit Committee Report</w:t>
              </w:r>
            </w:hyperlink>
          </w:p>
        </w:tc>
        <w:tc>
          <w:tcPr>
            <w:tcW w:w="8540" w:type="dxa"/>
            <w:vAlign w:val="bottom"/>
            <w:gridSpan w:val="10"/>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Householding of Annual Disclosure Documents</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gridSpan w:val="6"/>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Available Information</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2013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August 21, 2013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2013 Annual Report to Shareholders, are being made available to shareholders on the Internet or are being mailed on or about July 8, 2013 to all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24, 2013 (the “Record Date”) are entitled to notice of and to vote at the meeting. As of the Record Date, there were 42,497,499 shares of our common stock outstanding and entitled to vote held by 1,293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xml:space="preserve"> by selecting “Investors” and then “Annual Report and Proxy" under "Shareholder Tools.”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any of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meeting will count the votes cast by proxy or in person at the Annual Meeting.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Four of this Proxy Statement). Shares for which brokers have not received instructions, and which therefore are not voted, with respect to a particular proposal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referred to as “broker non-votes” with respect to that proposal. Abstentions from voting on a proposal described in this proxy statement and broker non-votes will not affect the outcome of the vote on that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If the shares of our common stock are held directly in the name of the shareholder, he or she can vote on matters to come before the meeting:</w:t>
      </w:r>
    </w:p>
    <w:p>
      <w:pPr>
        <w:spacing w:after="0" w:line="211" w:lineRule="exact"/>
        <w:rPr>
          <w:sz w:val="20"/>
          <w:szCs w:val="20"/>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Internet, at http://www.proxyvote.com.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10, 2014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May 24, 2014, and the shareholder must otherwise comply with Rule 14a-4(c) under the Securities Exchange Act of 1934. Notices of intention to present proposals at the 2014 annual meeting of shareholders should be addressed to Corporate Secretary, Daktronics, Inc., 201 Daktronics Drive, Brookings, South Dakota 57006.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24, 2013,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 and Nature of</w:t>
            </w:r>
          </w:p>
        </w:tc>
        <w:tc>
          <w:tcPr>
            <w:tcW w:w="25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Percentage of Outstanding</w:t>
            </w:r>
          </w:p>
        </w:tc>
      </w:tr>
      <w:tr>
        <w:trPr>
          <w:trHeight w:val="261"/>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Owners</w:t>
            </w:r>
          </w:p>
        </w:tc>
        <w:tc>
          <w:tcPr>
            <w:tcW w:w="2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2720" w:type="dxa"/>
            <w:vAlign w:val="bottom"/>
            <w:gridSpan w:val="2"/>
          </w:tcPr>
          <w:p>
            <w:pPr>
              <w:jc w:val="center"/>
              <w:ind w:right="200"/>
              <w:spacing w:after="0" w:line="262" w:lineRule="exact"/>
              <w:rPr>
                <w:sz w:val="20"/>
                <w:szCs w:val="20"/>
                <w:color w:val="auto"/>
              </w:rPr>
            </w:pPr>
            <w:r>
              <w:rPr>
                <w:rFonts w:ascii="Arial" w:cs="Arial" w:eastAsia="Arial" w:hAnsi="Arial"/>
                <w:sz w:val="18"/>
                <w:szCs w:val="18"/>
                <w:b w:val="1"/>
                <w:bCs w:val="1"/>
                <w:color w:val="auto"/>
                <w:w w:val="88"/>
              </w:rPr>
              <w:t>Beneficial Ownership</w:t>
            </w:r>
            <w:r>
              <w:rPr>
                <w:rFonts w:ascii="Arial" w:cs="Arial" w:eastAsia="Arial" w:hAnsi="Arial"/>
                <w:sz w:val="25"/>
                <w:szCs w:val="25"/>
                <w:b w:val="1"/>
                <w:bCs w:val="1"/>
                <w:color w:val="auto"/>
                <w:w w:val="88"/>
                <w:vertAlign w:val="superscript"/>
              </w:rPr>
              <w:t>(1)</w:t>
            </w:r>
          </w:p>
        </w:tc>
        <w:tc>
          <w:tcPr>
            <w:tcW w:w="2580" w:type="dxa"/>
            <w:vAlign w:val="bottom"/>
          </w:tcPr>
          <w:p>
            <w:pPr>
              <w:jc w:val="right"/>
              <w:ind w:right="870"/>
              <w:spacing w:after="0" w:line="262"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5"/>
                <w:szCs w:val="25"/>
                <w:b w:val="1"/>
                <w:bCs w:val="1"/>
                <w:color w:val="auto"/>
                <w:vertAlign w:val="superscript"/>
              </w:rPr>
              <w:t>(2)</w:t>
            </w:r>
          </w:p>
        </w:tc>
      </w:tr>
      <w:tr>
        <w:trPr>
          <w:trHeight w:val="237"/>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(15)</w:t>
            </w:r>
          </w:p>
        </w:tc>
        <w:tc>
          <w:tcPr>
            <w:tcW w:w="220" w:type="dxa"/>
            <w:vAlign w:val="bottom"/>
            <w:shd w:val="clear" w:color="auto" w:fill="CCEEFF"/>
          </w:tcPr>
          <w:p>
            <w:pPr>
              <w:spacing w:after="0"/>
              <w:rPr>
                <w:sz w:val="21"/>
                <w:szCs w:val="21"/>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2,911,670</w:t>
            </w:r>
          </w:p>
        </w:tc>
        <w:tc>
          <w:tcPr>
            <w:tcW w:w="22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40 East 52nd Street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10022</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Mairs &amp; Power, Inc.</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(16)</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2,503,262</w:t>
            </w:r>
          </w:p>
        </w:tc>
        <w:tc>
          <w:tcPr>
            <w:tcW w:w="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4660" w:type="dxa"/>
            <w:vAlign w:val="bottom"/>
          </w:tcPr>
          <w:p>
            <w:pPr>
              <w:ind w:left="400"/>
              <w:spacing w:after="0"/>
              <w:rPr>
                <w:sz w:val="20"/>
                <w:szCs w:val="20"/>
                <w:color w:val="auto"/>
              </w:rPr>
            </w:pPr>
            <w:r>
              <w:rPr>
                <w:rFonts w:ascii="Arial" w:cs="Arial" w:eastAsia="Arial" w:hAnsi="Arial"/>
                <w:sz w:val="18"/>
                <w:szCs w:val="18"/>
                <w:color w:val="auto"/>
              </w:rPr>
              <w:t>332 Minnesota Street</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4660" w:type="dxa"/>
            <w:vAlign w:val="bottom"/>
          </w:tcPr>
          <w:p>
            <w:pPr>
              <w:ind w:left="400"/>
              <w:spacing w:after="0"/>
              <w:rPr>
                <w:sz w:val="20"/>
                <w:szCs w:val="20"/>
                <w:color w:val="auto"/>
              </w:rPr>
            </w:pPr>
            <w:r>
              <w:rPr>
                <w:rFonts w:ascii="Arial" w:cs="Arial" w:eastAsia="Arial" w:hAnsi="Arial"/>
                <w:sz w:val="18"/>
                <w:szCs w:val="18"/>
                <w:color w:val="auto"/>
              </w:rPr>
              <w:t>W-1520 First National Bank Building</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4660" w:type="dxa"/>
            <w:vAlign w:val="bottom"/>
          </w:tcPr>
          <w:p>
            <w:pPr>
              <w:ind w:left="400"/>
              <w:spacing w:after="0"/>
              <w:rPr>
                <w:sz w:val="20"/>
                <w:szCs w:val="20"/>
                <w:color w:val="auto"/>
              </w:rPr>
            </w:pPr>
            <w:r>
              <w:rPr>
                <w:rFonts w:ascii="Arial" w:cs="Arial" w:eastAsia="Arial" w:hAnsi="Arial"/>
                <w:sz w:val="18"/>
                <w:szCs w:val="18"/>
                <w:color w:val="auto"/>
              </w:rPr>
              <w:t>St. Paul, MN 55107</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Vanguard Group</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(17)</w:t>
            </w:r>
          </w:p>
        </w:tc>
        <w:tc>
          <w:tcPr>
            <w:tcW w:w="220" w:type="dxa"/>
            <w:vAlign w:val="bottom"/>
            <w:shd w:val="clear" w:color="auto" w:fill="CCEEFF"/>
          </w:tcPr>
          <w:p>
            <w:pPr>
              <w:spacing w:after="0"/>
              <w:rPr>
                <w:sz w:val="21"/>
                <w:szCs w:val="21"/>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2,213,362</w:t>
            </w:r>
          </w:p>
        </w:tc>
        <w:tc>
          <w:tcPr>
            <w:tcW w:w="22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100 Vanguard Blvd.</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Malvern, PA 19355</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Daktronics, Inc. 401(k) Plan</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(18)</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2,391,513</w:t>
            </w:r>
          </w:p>
        </w:tc>
        <w:tc>
          <w:tcPr>
            <w:tcW w:w="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Officers and Directors: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Dr. Aelred J. Kurtenbach</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2,343,910</w:t>
            </w:r>
          </w:p>
        </w:tc>
        <w:tc>
          <w:tcPr>
            <w:tcW w:w="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James B. Morgan</w:t>
            </w:r>
          </w:p>
        </w:tc>
        <w:tc>
          <w:tcPr>
            <w:tcW w:w="12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(4)</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1,505,660</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Frank J. Kurtenbach</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363,752</w:t>
            </w:r>
          </w:p>
        </w:tc>
        <w:tc>
          <w:tcPr>
            <w:tcW w:w="22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Byron J. Anderson</w:t>
            </w:r>
          </w:p>
        </w:tc>
        <w:tc>
          <w:tcPr>
            <w:tcW w:w="12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46,423</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Robert G. Dutcher</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(7)</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56,342</w:t>
            </w:r>
          </w:p>
        </w:tc>
        <w:tc>
          <w:tcPr>
            <w:tcW w:w="22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Nancy D. Frame</w:t>
            </w:r>
          </w:p>
        </w:tc>
        <w:tc>
          <w:tcPr>
            <w:tcW w:w="12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(7)</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94,423</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John L. Mulligan</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(8)</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72,181</w:t>
            </w:r>
          </w:p>
        </w:tc>
        <w:tc>
          <w:tcPr>
            <w:tcW w:w="22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Bruce W. Tobin</w:t>
            </w:r>
          </w:p>
        </w:tc>
        <w:tc>
          <w:tcPr>
            <w:tcW w:w="12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(9)</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James A. Vellenga</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(10)</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63,010</w:t>
            </w:r>
          </w:p>
        </w:tc>
        <w:tc>
          <w:tcPr>
            <w:tcW w:w="22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Sheila M. Anderson</w:t>
            </w:r>
          </w:p>
        </w:tc>
        <w:tc>
          <w:tcPr>
            <w:tcW w:w="12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23,023</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William R. Retterath</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(12)</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104,223</w:t>
            </w:r>
          </w:p>
        </w:tc>
        <w:tc>
          <w:tcPr>
            <w:tcW w:w="22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Reece A. Kurtenbach</w:t>
            </w:r>
          </w:p>
        </w:tc>
        <w:tc>
          <w:tcPr>
            <w:tcW w:w="12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391,495</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Bradley T. Wiemann</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(14)</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200,182</w:t>
            </w:r>
          </w:p>
        </w:tc>
        <w:tc>
          <w:tcPr>
            <w:tcW w:w="22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r>
      <w:tr>
        <w:trPr>
          <w:trHeight w:val="27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(12 persons, consisting of those named above)</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5,286,935</w:t>
            </w:r>
          </w:p>
        </w:tc>
        <w:tc>
          <w:tcPr>
            <w:tcW w:w="22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4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50"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42,477,879 shares of common stock outstanding as of June 24, 2013. Such number does not include 514,516 shares of common stock subject to stock options outstanding as of June 24, 2013. Each figure showing the percentage of outstanding shares owned beneficially has been calculated by treating as outstanding and owned the shares upon which could be purchased</w:t>
      </w:r>
    </w:p>
    <w:p>
      <w:pPr>
        <w:spacing w:after="0" w:line="1" w:lineRule="exact"/>
        <w:rPr>
          <w:rFonts w:ascii="Arial" w:cs="Arial" w:eastAsia="Arial" w:hAnsi="Arial"/>
          <w:sz w:val="18"/>
          <w:szCs w:val="18"/>
          <w:color w:val="auto"/>
        </w:rPr>
      </w:pPr>
    </w:p>
    <w:p>
      <w:pPr>
        <w:ind w:left="820"/>
        <w:spacing w:after="0" w:line="250" w:lineRule="auto"/>
        <w:rPr>
          <w:rFonts w:ascii="Arial" w:cs="Arial" w:eastAsia="Arial" w:hAnsi="Arial"/>
          <w:sz w:val="18"/>
          <w:szCs w:val="18"/>
          <w:color w:val="auto"/>
        </w:rPr>
      </w:pPr>
      <w:r>
        <w:rPr>
          <w:rFonts w:ascii="Arial" w:cs="Arial" w:eastAsia="Arial" w:hAnsi="Arial"/>
          <w:sz w:val="18"/>
          <w:szCs w:val="18"/>
          <w:color w:val="auto"/>
        </w:rPr>
        <w:t>by the indicated person(s) on June 24, 2013 or within 60 days of June 24, 2013 upon the exercise of stock options or vesting of restricted stock and restricted stock units.</w:t>
      </w:r>
    </w:p>
    <w:p>
      <w:pPr>
        <w:ind w:left="820" w:hanging="488"/>
        <w:spacing w:after="0" w:line="250"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3,479 shares held through the 401(k) Plan, 957,443 shares held by his spouse, 200,000 shares held in Medary Creek LLLP. Medary Creek LLLP is a limited liability limited partnership where Aelred and Irene Kurtenbach are the general partners.</w:t>
      </w: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94,386 shares subject to options and 53,892 shares held through the 401(k) Plan.</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625 shares held through the 401(k) Plan and 110,350 shares held by his spouse.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36,492 shares subject to exercisable options and 2,103 shares of restricted stock which vest on August 23, 2013.</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31,643 shares subject to exercisable options and 2,103 shares of restricted stock which vest on August 23, 2013.</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37,332 shares subject to exercisable options and 2,103 shares of restricted stock which vest on August 23, 2013.</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17,022 shares subject to exercisable options and 2,103 shares of restricted stock which vest on August 23, 2013.</w:t>
      </w:r>
    </w:p>
    <w:p>
      <w:pPr>
        <w:spacing w:after="0" w:line="23"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36,492 shares subject to exercisable options and 2,103 shares of restricted stock which vest on August 23, 2013, and 5,000 shares held by spouse.</w:t>
      </w: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17,578 shares subject to options and 3,854 shares held through the 401(k) Plan.</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88,604 shares subject to options. Mr. Retterath resigned from the Company effective September 10, 2012 and is no longer an executive officer of the Company.</w:t>
      </w:r>
    </w:p>
    <w:p>
      <w:pPr>
        <w:ind w:left="820" w:right="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67,662 shares subject to options, 23,726 shares held through the 401(k) Plan, 17,400 shares held by his spouse and 44,800 shares held by his children.</w:t>
      </w: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55,662 shares subject to options, 32,507 shares held through the 401(k) Plan and 501 shares held by his spouse.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based on Schedule 13G filed by the shareholder with the SEC on February 6, 2013.</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based on Schedule 13G filed by the shareholder with the SEC on February 11, 2013. As set forth in the Schedule 13G, Mairs &amp; Power, Inc. has sole voting power as to 2,014,482 of these shares and sole dispositive power as to all 2,503,262 shares.</w:t>
      </w:r>
    </w:p>
    <w:p>
      <w:pPr>
        <w:jc w:val="both"/>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based on Schedule 13G filed by the shareholder with the SEC on February 12, 2013. As set forth in the Schedule 13G, The Vanguard Group has sole voting power as to 51,896 of these shares and sole dispositive power as to 2,163,566 and shared dispositive power as to 49,796 of these shares.</w:t>
      </w:r>
    </w:p>
    <w:p>
      <w:pPr>
        <w:spacing w:after="0" w:line="1" w:lineRule="exact"/>
        <w:rPr>
          <w:rFonts w:ascii="Arial" w:cs="Arial" w:eastAsia="Arial" w:hAnsi="Arial"/>
          <w:sz w:val="18"/>
          <w:szCs w:val="18"/>
          <w:color w:val="auto"/>
        </w:rPr>
      </w:pPr>
    </w:p>
    <w:p>
      <w:pPr>
        <w:jc w:val="both"/>
        <w:ind w:left="820" w:hanging="488"/>
        <w:spacing w:after="0" w:line="255"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stock held by the Daktronics, Inc. 401(k) Plan (the "Plan") and allocated to the 401(k) Plan participants are voted by the trustee of the 401(k) Plan, according to the instructions of the 401(k) Plan participants. Shares held by the 401(k) Plan are as of the record date, June 24, 2013. The address of the 401(k) Plan is 201 Daktronics Drive, Brookings, South Dakota 57006.</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consists of nine individuals divided into three classes serving staggered three-year terms of office. There are three Directors (James B. Morgan, John L. Mulligan and Bruce W. Tobin) whose terms will expire at the 2013 Annual Meeting; three Directors (Dr. Aelred J. Kurtenbach, Robert G. Dutcher and Nancy D. Frame) whose terms will expire in 2014 ; and three Directors (Byron J. Anderson, Reece A. Kurtenbach and James A. Vellenga) whose terms expire in 2015. The Nominating and Corporate Governance Committee has recommended to the Board of Directors that Mr. Morgan, Mr. Mulligan and Mr. Tobin be nominated for re-election at the 2013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–Voting at the Annual Meeting -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ind w:left="720"/>
              <w:spacing w:after="0"/>
              <w:rPr>
                <w:sz w:val="20"/>
                <w:szCs w:val="20"/>
                <w:color w:val="auto"/>
              </w:rPr>
            </w:pPr>
            <w:r>
              <w:rPr>
                <w:rFonts w:ascii="Arial" w:cs="Arial" w:eastAsia="Arial" w:hAnsi="Arial"/>
                <w:sz w:val="18"/>
                <w:szCs w:val="18"/>
                <w:color w:val="auto"/>
              </w:rPr>
              <w:t>Name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3800" w:type="dxa"/>
            <w:vAlign w:val="bottom"/>
            <w:gridSpan w:val="2"/>
          </w:tcPr>
          <w:p>
            <w:pPr>
              <w:ind w:left="1020"/>
              <w:spacing w:after="0"/>
              <w:rPr>
                <w:sz w:val="20"/>
                <w:szCs w:val="20"/>
                <w:color w:val="auto"/>
              </w:rPr>
            </w:pPr>
            <w:r>
              <w:rPr>
                <w:rFonts w:ascii="Arial" w:cs="Arial" w:eastAsia="Arial" w:hAnsi="Arial"/>
                <w:sz w:val="18"/>
                <w:szCs w:val="18"/>
                <w:color w:val="auto"/>
              </w:rPr>
              <w:t>Principal Occupation</w:t>
            </w:r>
          </w:p>
        </w:tc>
        <w:tc>
          <w:tcPr>
            <w:tcW w:w="3900" w:type="dxa"/>
            <w:vAlign w:val="bottom"/>
          </w:tcPr>
          <w:p>
            <w:pPr>
              <w:ind w:left="1100"/>
              <w:spacing w:after="0"/>
              <w:rPr>
                <w:sz w:val="20"/>
                <w:szCs w:val="20"/>
                <w:color w:val="auto"/>
              </w:rPr>
            </w:pPr>
            <w:r>
              <w:rPr>
                <w:rFonts w:ascii="Arial" w:cs="Arial" w:eastAsia="Arial" w:hAnsi="Arial"/>
                <w:sz w:val="18"/>
                <w:szCs w:val="18"/>
                <w:color w:val="auto"/>
              </w:rPr>
              <w:t>Committees Served On</w:t>
            </w:r>
          </w:p>
        </w:tc>
      </w:tr>
      <w:tr>
        <w:trPr>
          <w:trHeight w:val="27"/>
        </w:trPr>
        <w:tc>
          <w:tcPr>
            <w:tcW w:w="1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&amp; CEO</w:t>
            </w: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None</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220" w:type="dxa"/>
            <w:vAlign w:val="bottom"/>
          </w:tcPr>
          <w:p>
            <w:pPr>
              <w:spacing w:after="0"/>
              <w:rPr>
                <w:sz w:val="21"/>
                <w:szCs w:val="21"/>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Retired</w:t>
            </w:r>
          </w:p>
        </w:tc>
        <w:tc>
          <w:tcPr>
            <w:tcW w:w="3900" w:type="dxa"/>
            <w:vAlign w:val="bottom"/>
          </w:tcPr>
          <w:p>
            <w:pPr>
              <w:ind w:left="20"/>
              <w:spacing w:after="0"/>
              <w:rPr>
                <w:sz w:val="20"/>
                <w:szCs w:val="20"/>
                <w:color w:val="auto"/>
              </w:rPr>
            </w:pPr>
            <w:r>
              <w:rPr>
                <w:rFonts w:ascii="Arial" w:cs="Arial" w:eastAsia="Arial" w:hAnsi="Arial"/>
                <w:sz w:val="18"/>
                <w:szCs w:val="18"/>
                <w:color w:val="auto"/>
              </w:rPr>
              <w:t>Audit Committee, Chair</w:t>
            </w: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43"/>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Bruce W. Tobin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shd w:val="clear" w:color="auto" w:fill="CCEEFF"/>
          </w:tcPr>
          <w:p>
            <w:pPr>
              <w:spacing w:after="0"/>
              <w:rPr>
                <w:sz w:val="21"/>
                <w:szCs w:val="21"/>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w:t>
            </w:r>
          </w:p>
        </w:tc>
      </w:tr>
      <w:tr>
        <w:trPr>
          <w:trHeight w:val="27"/>
        </w:trPr>
        <w:tc>
          <w:tcPr>
            <w:tcW w:w="1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 Mr. Morgan brings to the Board his experience and knowledge of our business and industry derived from his current position as President and Chief Executive Officer and his experience of over 40 years working for the Company. Mr. Morgan is retiring as President and Chief Executive Officer of the company during calendar year 2013, although the effective date of his retirement has not been determined. The Board believes that Mr. Morgan's experiences and knowledge of the Company's business and industry add significant value to the Board, and supports his continuation as director.</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John L. Mulligan </w:t>
      </w:r>
      <w:r>
        <w:rPr>
          <w:rFonts w:ascii="Arial" w:cs="Arial" w:eastAsia="Arial" w:hAnsi="Arial"/>
          <w:sz w:val="17"/>
          <w:szCs w:val="17"/>
          <w:color w:val="auto"/>
        </w:rPr>
        <w:t>has been a Director and has served as chairman of the Audit Committee since 1993. Since 1993, he has been employed by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Bruce W. Tobin </w:t>
      </w:r>
      <w:r>
        <w:rPr>
          <w:rFonts w:ascii="Arial" w:cs="Arial" w:eastAsia="Arial" w:hAnsi="Arial"/>
          <w:sz w:val="16"/>
          <w:szCs w:val="16"/>
          <w:color w:val="auto"/>
        </w:rPr>
        <w:t>has been a Director and has served on the Audit Committee since February 2011 when he filled the term of Duane Sander, who resigned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Prior to his retirement in April 2011, Mr. Tobin worked for the 3M Company, most recently as the Vice President of Finance for International and Corporate Staff Services. He began his career with the 3M Company in 1974. He holds a Bachelor of Science in Management from the University of South Dakota. Mr. Tobin brings to the Board extensive experience in financial and strategic matters with a particular focus on international trade and expansion through his years in working with 3M. He also brings an understanding of external financial reporting, including SEC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Byron J. Anderson (69) </w:t>
      </w:r>
      <w:r>
        <w:rPr>
          <w:rFonts w:ascii="Arial" w:cs="Arial" w:eastAsia="Arial" w:hAnsi="Arial"/>
          <w:sz w:val="18"/>
          <w:szCs w:val="18"/>
          <w:color w:val="auto"/>
        </w:rPr>
        <w:t>is currently retired. Before his retirement, from 1999 to 2004 he served at Agilent Technologies, Inc.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serving customers and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worldwide communications industry. He holds 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M.B.A. from Harvard University and an electrical engineering degree from South Dakota State University. He has been a Director of the Company since 2005.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Robert G. Dutcher (68) </w:t>
      </w:r>
      <w:r>
        <w:rPr>
          <w:rFonts w:ascii="Arial" w:cs="Arial" w:eastAsia="Arial" w:hAnsi="Arial"/>
          <w:sz w:val="17"/>
          <w:szCs w:val="17"/>
          <w:color w:val="auto"/>
        </w:rPr>
        <w:t>is currently retired. Before his retirement, from April 2009 until March 2011, he served as Strategic Advisor Lead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MEDRAD, Inc. and served in that capacity since March 2009. From April 2008 through March 2009, he was President and Chief Executive Officer of the Cardiovascular Division of MEDRAD, Inc., an affiliate of Bayer AG. From 2001 until April 2008, he was the Chairman, President and Chief Executive Officer of Possis Medical, Inc., a publicly-held medical device company located in Minneapolis, Minnesota, which was acquired by MEDRAD, Inc. in April 2008. From 1993 until April 2008, he served as its President and Chief Executive Officer.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a Director of the Company since 2002 and chairman of the Compensation Committee since 2005. Mr. Dutcher brings to the Board extensive knowledge in driving profitable growth in technology driven industries from his experience in leading R&amp;D at Medtronic and as Chief Executive Officer of Possis Medical.</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Nancy D. Frame (68) </w:t>
      </w:r>
      <w:r>
        <w:rPr>
          <w:rFonts w:ascii="Arial" w:cs="Arial" w:eastAsia="Arial" w:hAnsi="Arial"/>
          <w:sz w:val="17"/>
          <w:szCs w:val="17"/>
          <w:color w:val="auto"/>
        </w:rPr>
        <w:t>was Deputy Director of the U. S. Trade and Development Agency from 1986 to 1999, when she retired. As a senior executive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B.S. degree from South Dakota State University. She has been a Director of the Company since 1999 and chairperson of the Nominating and Corporate Governance Committee since 2004. She also serves as a member of the Compensation Committee.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Aelred J. Kurtenbach, Ph.D. (79) </w:t>
      </w:r>
      <w:r>
        <w:rPr>
          <w:rFonts w:ascii="Arial" w:cs="Arial" w:eastAsia="Arial" w:hAnsi="Arial"/>
          <w:sz w:val="17"/>
          <w:szCs w:val="17"/>
          <w:color w:val="auto"/>
        </w:rPr>
        <w:t>is a co-founder of the Company and has served as a Director and Chairman of the Board since its incorporation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1968. He 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 Dr. Kurtenbach brings to the Board an in-depth perspective of our business and industry derived from his experience as co-founder of the Company, as the Chief Executive Officer of the Company since its founding through 2001, and as Chairman of the Board since then.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Reece A. Kurtenbach (48) </w:t>
      </w:r>
      <w:r>
        <w:rPr>
          <w:rFonts w:ascii="Arial" w:cs="Arial" w:eastAsia="Arial" w:hAnsi="Arial"/>
          <w:sz w:val="18"/>
          <w:szCs w:val="18"/>
          <w:color w:val="auto"/>
        </w:rPr>
        <w:t>was appointed as a Director in May 2013. Mr. Kurtenbach joined the Company in 1991 as an applications engineer focusing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display projects. In 1994, he became the manager of our video products engineering group and, in 2004, was appointed Vice President, Video Systems. In 2007, he was named Vice President, Live Events and International and in 2011, he was named Executive Vice President. Mr. Kurtenbach received a B.S. degree from South Dakota State University in electrical engineering, with minors in mathematics and computer science. Mr. Kurtenbach is the son of Dr. Aelred Kurtenbach and the nephew of Mr. Frank Kurtenbach. The Board has announced its naming of Mr. Kurtenbach as the Company's next Chief Executive Officer following Mr. Morgan's retirement in calendar year 2013.</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James A. Vellenga (78) </w:t>
      </w:r>
      <w:r>
        <w:rPr>
          <w:rFonts w:ascii="Arial" w:cs="Arial" w:eastAsia="Arial" w:hAnsi="Arial"/>
          <w:sz w:val="17"/>
          <w:szCs w:val="17"/>
          <w:color w:val="auto"/>
        </w:rPr>
        <w:t>is currently retired. He was elected as a Director in 1997. He spent 46 years in the computer and integrated circuit industry in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management positions involved in product development and operations. Mr. Vellenga's most recent position was as President and Chief Executive Officer of BSFX Corp., a company involved in the research of fibers for reinforcing concrete, where he served from 2003 until 2007. He holds a B.S. degree in electrical engineering from South Dakota State University. Mr. Vellenga brings to the Board a significant amount of business experience and leadership in high-tech businesses coupled with deep knowledge of growth companies and corporate strategies related to high-tech products from his years of experience in building companies such as Data 100 Corp, Lee Data Corporation, Aetrium Inc. and BSFX Corp.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Corporate Governance Committee has determined that each of Messrs. Tobin, Vellenga, Mulligan, Dutcher and Anderson and Ms. Frame are “independent,” as that term is defined in Rule 5605(a)(2) of the NASDAQ Listing Rules. Accordingly, the Board is composed of a majority of independent Directors as required by the NASDAQ Listing Rules.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 AN AMENDMENT TO OUR AMENDED AND RESTATED ARTICLES OF INCORPORATION TO REDUCE THE MINIMUM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DIRECTORS FROM NINE TO SEVEN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this proposed amendment to our Articles is to change the minimum number of directors on our Board from nine to seven, to allow more flexibility in the structure of the Board.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most of the company's history, the Board of Directors has consisted of 6 independent directors and 3 nonindependent directors. This amendment would allow the Board to reduce the number of nonindependent directors in the future if appropriate.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amended the Bylaws to require a minimum of seven directors, conditioned upon approval by the shareholders of this proposed amendment to the Articles.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will continue to follow rules promulgated by the NASDAQ Stock Market and the Securities and Exchange Commission regarding Board structure and governance and director independence.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the executive team support this amendment and recommend approval to the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Approval of this proposal requires the affirmative vote of a majority of the votes entitled to vote at the Annual Meeting assuming a quorum is present.</w:t>
      </w:r>
    </w:p>
    <w:p>
      <w:pPr>
        <w:spacing w:after="0" w:line="21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AMENDMENT TO OUR AMENDED AND RESTATED ARTICLES OF INCORPORATION.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VOTE ON THE COMPENSATION PAID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OUR NAMED EXECUTIVE OFFICERS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 because it is designed to motivate our executives to deliver long-term sustainable growth and shareholder value and to provide retention incentives.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subject to at-will employment consistent with state law. There are no specific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2013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2013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vote, this proposal is non-binding. However, the Board and our Compensation Committee, which is responsible for designing and overseeing the administration of our executive compensation program, values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THREE, THE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PROPOSAL FOUR</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to examine our consolidated financial statements and internal controls over financial reporting for fiscal 2014 and recommends that the shareholders vote for ratification of such appointment. Ernst &amp; Young LLP has acted as our independent registered public accounting firm since fiscal year 2003. A representative of Ernst &amp; Young LLP is expected to be present at the Annual Meeting, will have the opportunity to make a statement, and is expected to be available to respond to appropriate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Ernst &amp; Young LLP for the last two fiscal years are set forth in the following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Fiscal Year Ended</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April 27, 2013</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7"/>
              </w:rPr>
              <w:t>April 28, 2012</w:t>
            </w:r>
          </w:p>
        </w:tc>
      </w:tr>
      <w:tr>
        <w:trPr>
          <w:trHeight w:val="27"/>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519,175</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24,673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27,442</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r>
      <w:tr>
        <w:trPr>
          <w:trHeight w:val="270"/>
        </w:trPr>
        <w:tc>
          <w:tcPr>
            <w:tcW w:w="32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r>
      <w:tr>
        <w:trPr>
          <w:trHeight w:val="289"/>
        </w:trPr>
        <w:tc>
          <w:tcPr>
            <w:tcW w:w="3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574,468</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575,612</w:t>
            </w:r>
          </w:p>
        </w:tc>
      </w:tr>
      <w:tr>
        <w:trPr>
          <w:trHeight w:val="20"/>
        </w:trPr>
        <w:tc>
          <w:tcPr>
            <w:tcW w:w="3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jc w:val="both"/>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Ernst &amp; Young LLP that does not meet the above category descriptions.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the ability of Ernst &amp; Young LLP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April 26, 2014. If the shareholders do not approve the selection of Ernst &amp; Young LLP, the Audit Committee will reconsider its selection.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APRIL 26, 2014 AS SET FORTH IN PROPOSAL FOUR.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 with the Chief Executive Officer and other officers, by reviewing material provided to them and by participating in meetings of the Board and its Committees.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Aelred Kurtenbach, one of our founders and our former Chief Executive Officer, serves as Chairman of the Board. Mr. James Morgan, who joined Daktronics in 1969, was named Chief Executive Officer in 2001. This separation of the positions of Chairman and Chief Executive Officer has served the Company and our shareholders well. In addition, Ms. Nancy Frame has served as our Lead Independent Director since 2005.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we are best served at this time by separating the roles of the Chief Executive Officer and the Chairman of the Board. This separation allows us to benefit from the long-term history of managing the Company that the Chairman brings to the discussion and which complements the understanding of the current challenges and opportunities that the Chief Executive Officer brings to the Board. The Board believes that the continued Board leadership by our current chairman and the continued contribution of our outgoing Chief Executive Officer will be beneficial to the new Chief Executive Officer in his transition and as well as beneficial to the Board in its understanding and analysis of the Company's risks and opportunities.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executive sessions of the independent Directors.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Board and all Board Committees are authorized to hire their own advisors as they deem to be necessary or advisable to fulfill their obligations.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2013, the Board of Directors held four regularly scheduled meetings and three special meetings, the Audit Committee met eight times, the Compensation Committee met three times, and the Nominating and Corporate Governance Committee met three times. All of the Directors attended at least 75 percent of the aggregate of all meetings of the Board of Directors and Committees upon which they served and the annual meeting of shareholders held in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Board has formally adopted a policy of meeting in executive session and then with independent Directors only, in conjunction with each Board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met seven times in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strategies and risks. Such risks include those inherent in our businesses as well as the risks from external sources such as competitors, the economy, credit markets and regulatory and legislative developments.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reviews and, if appropriate approves, any potential related person transaction. On an annual basis, the Audit Committee reviews any previously approved related person transaction that is ongoing.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 During fiscal 2013, our Audit Committee consisted of Mr. Mulligan (Chairperson), Mr. Vellenga and Mr. Tobin (except during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September through November 2012, as Mr. Tobin took a special consultant assignment and our lead independent director Ms. Frame temporarily served as an Audit Committee member.) The Board of Directors has determined that each Audit Committee member is independent as defined under Rule 5605(a)(2) of the NASDAQ Listing Rules and Rule 10A-3 under the Securities Exchange Act of 1934 (“Exchange Act”). The Board has determined that Mr. Mulligan and Mr. Tobin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provides for the compensation of our independent registered public accounting firm, reviews the scope and findings of the audit, reviews the adequacy and effectiveness of our accounting policies and system of internal accounting controls, and oversees our policy and procedures with respect to related person transactions. The Audit Committee’s Charter is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During fiscal 2013, our Compensation Committee consisted of Mr. Dutcher (Chairperson), Mr. Anderson and Ms. Frame. All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color w:val="auto"/>
        </w:rPr>
        <w:t>. During fiscal 2013, our Nominating and Corporate Governance Committee (the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consisted of Ms. Frame (Chairperson), Mr. Anderson and Mr. Vellenga.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in judgment and their willingness to be prepared and active participants at Board and Committee meetings. The Nominating and Corporate Governance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and the Board seek members who will contribute to our overall corporate goals, taking into account:</w:t>
      </w:r>
    </w:p>
    <w:p>
      <w:pPr>
        <w:spacing w:after="0" w:line="248"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 industry leadership.</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Diversity of a candidate’s skills and experiences are considered as part of the nomination process.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Nominating and Corporate Governance Committee will consider written proposals from shareholders for nominees for Director. Any such nominations should be submitted to the Nominating and Corporate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10, 2014 deadline described in this proxy statement under the caption, “Procedural Matters – Procedure for Submitting Shareholder Proposals” above.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201 Daktronics Drive, Brookings, South Dakota 57006. All letters received will be forwarded to the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2013,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April 27,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2013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Fees Earned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Non-equity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or</w:t>
            </w:r>
          </w:p>
        </w:tc>
        <w:tc>
          <w:tcPr>
            <w:tcW w:w="16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Option</w:t>
            </w:r>
          </w:p>
        </w:tc>
        <w:tc>
          <w:tcPr>
            <w:tcW w:w="17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Incentive Plan</w:t>
            </w: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All Other</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57"/>
        </w:trPr>
        <w:tc>
          <w:tcPr>
            <w:tcW w:w="23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5"/>
              </w:rPr>
              <w:t>Paid in Cash</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0"/>
              <w:spacing w:after="0" w:line="257" w:lineRule="exact"/>
              <w:rPr>
                <w:sz w:val="20"/>
                <w:szCs w:val="20"/>
                <w:color w:val="auto"/>
              </w:rPr>
            </w:pPr>
            <w:r>
              <w:rPr>
                <w:rFonts w:ascii="Arial" w:cs="Arial" w:eastAsia="Arial" w:hAnsi="Arial"/>
                <w:sz w:val="18"/>
                <w:szCs w:val="18"/>
                <w:color w:val="auto"/>
                <w:w w:val="89"/>
              </w:rPr>
              <w:t>Awards</w:t>
            </w:r>
            <w:r>
              <w:rPr>
                <w:rFonts w:ascii="Arial" w:cs="Arial" w:eastAsia="Arial" w:hAnsi="Arial"/>
                <w:sz w:val="25"/>
                <w:szCs w:val="25"/>
                <w:color w:val="auto"/>
                <w:w w:val="89"/>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0"/>
              <w:spacing w:after="0" w:line="257" w:lineRule="exact"/>
              <w:rPr>
                <w:sz w:val="20"/>
                <w:szCs w:val="20"/>
                <w:color w:val="auto"/>
              </w:rPr>
            </w:pPr>
            <w:r>
              <w:rPr>
                <w:rFonts w:ascii="Arial" w:cs="Arial" w:eastAsia="Arial" w:hAnsi="Arial"/>
                <w:sz w:val="18"/>
                <w:szCs w:val="18"/>
                <w:color w:val="auto"/>
                <w:w w:val="89"/>
              </w:rPr>
              <w:t>Awards</w:t>
            </w:r>
            <w:r>
              <w:rPr>
                <w:rFonts w:ascii="Arial" w:cs="Arial" w:eastAsia="Arial" w:hAnsi="Arial"/>
                <w:sz w:val="25"/>
                <w:szCs w:val="25"/>
                <w:color w:val="auto"/>
                <w:w w:val="89"/>
                <w:vertAlign w:val="superscript"/>
              </w:rPr>
              <w:t>(3)</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Compensation</w:t>
            </w:r>
            <w:r>
              <w:rPr>
                <w:rFonts w:ascii="Arial" w:cs="Arial" w:eastAsia="Arial" w:hAnsi="Arial"/>
                <w:sz w:val="25"/>
                <w:szCs w:val="25"/>
                <w:color w:val="auto"/>
                <w:w w:val="87"/>
                <w:vertAlign w:val="superscript"/>
              </w:rPr>
              <w:t>(4)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Compensation</w:t>
            </w:r>
            <w:r>
              <w:rPr>
                <w:rFonts w:ascii="Arial" w:cs="Arial" w:eastAsia="Arial" w:hAnsi="Arial"/>
                <w:sz w:val="25"/>
                <w:szCs w:val="25"/>
                <w:color w:val="auto"/>
                <w:w w:val="87"/>
                <w:vertAlign w:val="superscript"/>
              </w:rPr>
              <w:t>(5)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Compensation</w:t>
            </w:r>
          </w:p>
        </w:tc>
      </w:tr>
      <w:tr>
        <w:trPr>
          <w:trHeight w:val="244"/>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124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r>
      <w:tr>
        <w:trPr>
          <w:trHeight w:val="243"/>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89,000</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92,000</w:t>
            </w:r>
          </w:p>
        </w:tc>
      </w:tr>
      <w:tr>
        <w:trPr>
          <w:trHeight w:val="243"/>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91,000</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Vellenga</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91,000</w:t>
            </w:r>
          </w:p>
        </w:tc>
      </w:tr>
      <w:tr>
        <w:trPr>
          <w:trHeight w:val="243"/>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Bruce W. Tobin</w:t>
            </w: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138,000</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Frank J. Kurtenbach</w:t>
            </w:r>
            <w:r>
              <w:rPr>
                <w:rFonts w:ascii="Arial" w:cs="Arial" w:eastAsia="Arial" w:hAnsi="Arial"/>
                <w:sz w:val="25"/>
                <w:szCs w:val="25"/>
                <w:color w:val="auto"/>
                <w:vertAlign w:val="superscript"/>
              </w:rPr>
              <w:t>(6)</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65,640</w:t>
            </w:r>
          </w:p>
        </w:tc>
      </w:tr>
    </w:tbl>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employees of the Company, James B. Morgan, the President and Chief Executive Officer and Dr. Aelred J. Kurtenbach, Chairman of the Board, both are considered Named Executive Officers during fiscal 2013 and therefore are included in the appropriate tables within Executive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August 23, 2012 grants of 2,103 restricted shares of our common stock, which vest on August 23, 2013 if they are then Directors of the Company. This amount was computed in accordance with Financial Accounting Standards Board Accounting Standards Codification Topic 718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August 23, 2012 stock option awards of 13,636 shares with a grant date fair value of $45,000, which vest on August 23, 2013 if they are then Directors of the Company. This amount was computed in accordance with ASC 718. The 2007 Stock Incentive Plan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Revenue Code of 1986.</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amounts in this column reflect the total variable cash compensation paid to Mr. Kurtenbach under the non-equity-based incentive compensation plan. As explained in this proxy statement under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variable incentive compensation payments appear in this column upon achievement of certain targets based on operating income for fiscal 2013.</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consulting fees earned during special assignment by Mr. Tobin as an independent member of our Board of Directors during the period of September 12 through November 29, 2012. This column also includes the annual compensation earned by Mr. Kurtenbach as a part-time employee of Daktronics.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Kurtenbach chose to resign from the Board as noted in Form 8-K on May 29, 2013 and was replaced by Reece A. Kurtenbach as appointed by the Board.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Independent Director Fees. </w:t>
      </w:r>
      <w:r>
        <w:rPr>
          <w:rFonts w:ascii="Arial" w:cs="Arial" w:eastAsia="Arial" w:hAnsi="Arial"/>
          <w:sz w:val="16"/>
          <w:szCs w:val="16"/>
          <w:color w:val="auto"/>
        </w:rPr>
        <w:t>For fiscal 2013, each independent Director received an annual retainer of $12,000, plus $2,000 per meeting, for each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meeting attended in person and the following annual retainers for Committee membership: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2013 Director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Stock Ownership and Retention Guidelines. </w:t>
      </w:r>
      <w:r>
        <w:rPr>
          <w:rFonts w:ascii="Arial" w:cs="Arial" w:eastAsia="Arial" w:hAnsi="Arial"/>
          <w:sz w:val="16"/>
          <w:szCs w:val="16"/>
          <w:color w:val="auto"/>
        </w:rPr>
        <w:t>The Board of Directors has implemented stock ownership guidelines for Directors. Under these guidelines,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Director is expected to achieve a target of 5,000 shares owned, excluding shares subject to options. Directors had five years from the later of their first becoming a member of the Board of Directors or January 2007 to achieve this level of ownership. As of the Record Date all directors were in compliance.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discussion sets forth information as of July 1, 2013 about our executive officers who are not Directors.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34"/>
        </w:trPr>
        <w:tc>
          <w:tcPr>
            <w:tcW w:w="250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54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 Commercial and Transportation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Bachelor of Science degree in Accounting from Southwest Minnesota State University and is pursuing a Master of Business Administration degree from the University of South Dakota.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an engineer in our commercial and transportation products department after spending a number of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Rockwell International Corporation, where he was involved in flight control systems. In 2004, he was appointed Vice President, Commercial and Transportation and in 2012, he was named Executive Vice President. Mr. Wiemann holds an M.S. degree in electrical and computer engineering from the University of Iowa and a B.S. degree in electrical engineering from South Dakota State University.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2013. For fiscal 2012, a Form 5 for Dr. Aelred J. Kurtenbach was filed reporting shares gifted to a grantor retained annuity trust of which the reporting person and the spouse of the reporting person is the grantor and annuitant.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Offices, as well as the plans in which those officers are eligible to participate. At last year’s annual meeting, our shareholders provided an advisory “say-on-pay” vote indicating their overwhelming support of the Company’s compensation program for our Named Executive Officers. Our shareholders also previously voted that such say-on-pay votes be held annually. As a result, Proposal Three presented in this proxy statement again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Three.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executive compensation program, developed by management and approved by the Compensation Committee of the Board of Directors (the “Committee”), is intended to be simple, focused on a few key performance metrics and balanced among:</w:t>
      </w:r>
    </w:p>
    <w:p>
      <w:pPr>
        <w:spacing w:after="0" w:line="1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and stock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The plan uses salary, benefits, and a non-equity-based and equity-based incentive program to achieve these goals, with a focus on tying compensation to corporate performance. Retention of top talent and achievement of corporate objectives measure the effectiveness of our compensation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performance for the fiscal year ended April 27, 2013, included strong sales and net income. We delivered a 7.2 percent return on assets and a 11.9 percent return on beginning shareholders' equity. Sales were up 5.9 percent and net income rose 168 percent from the levels in fiscal 2012 and operating income as a percentage of sales improved from approximately two percent in fiscal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2012 to approximately six percent in fiscal 2013. We believe our historical investment in lean manufacturing practices and improved economies, along with strong management, have contributed to our strong performance in recent periods.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executive compensation levels during the current fiscal year were mainly due to maintaining competitiveness as the economy improved and the results of our benchmarking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responsibility for guiding our executive compensation philosophy and overseeing the design of executive compensation programs. In arriving at the appropriate levels of pay and incentive opportunities, the Committee reviews our compensation philosophy and trends in our industry to ensure that our executive compensation program is competitive to effectively recruit and retain talented management, focuses our executives to achieve short and long-range corporate objectives, and aligns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compensation should be appropriate to successfully recruit and retain high-performing executives,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collectively on overall Company success.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pay, and equity-based incentive pay in the form of options and restricted stock units. We view the various components of compensation as related but distinct. Although the Committee reviews and considers total compensation for each executive officer and for all executive officers as a group, we do not believe that significant compensation derived from one component of compensation should necessarily negate or reduce compensation from other components.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that the Committee believes is appropriate for each executive's responsibility, capability, and performance. The non-equity-based variable compensation is designed to focus the executive team on the Company-wide goals and objectives, which focus on growth in revenue and reductions in cost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more directly align executives' interests with our shareholder interests.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Committee considers both internal equity and market competitiveness. We compare executive pay to other key managers and to employees at the Company. We also compare overall executive compensation to comparison companies and to salary database information. The Committee believes that equitable and competitive compensation, as well as leader development and promotion-from-within, is essential to retain high-performing executives. The average number of years of experience with Daktronics of our currently employed named executives is 28 years.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fiscal 2013, our named executive officers were Dr. Aelred J. Kurtenbach, Chairman of the Board, James B. Morgan, President and Chief Executive Officer, Sheila M. Anderson, Chief Financial Officer, and Treasurer; William R. Retterath, former Chief Financial Officer, and Treasurer; Reece A. Kurtenbach, Executive Vice President, and Bradley T. Wiemann, Executive Vice President (the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Chief Executive Officer and Vice President of Human Resources present to the Compensation Committee their recommendation for the salary, non-equity-based incentive compensation, and equity-based compensation grants for the Named Executive Officers and selected other executives. The Committee considers these recommendations and accepts or adjusts them, in whole or in part, at a meeting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held in November of each year.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 the Board of Directors approves and adopts the executives' compensation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with similar responsibilities, at public companies in our geographical area (South Dakota, North Dakota, Minnesota, Iowa, and Nebraska), with revenues of between $250 million and $750 million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Navarre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ValueVision Media,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Techne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Raven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LodgeNet Entertainment Corp.</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Hutchinson Technology,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MTS Systems Corporation</w:t>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also considers compensation data from Salary.com and Economic Research Institute, which takes into consideration company size and geography, and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date, we have not retained consulting firms to assist us in determining executive compensation. The Committee believes that the executive compensation is sufficiently conservative, as well as appropriately competitive, so as not to require an external consultant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2013,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equity-based compensation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compensation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receive a base salary to compensate them for services rendered during each year. Base salary is determined by assessing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sustained performance and his or her individual job responsibilities, including the impact of such performance on our business results, in addition to market data and comparisons to our other officers.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also takes into account our financial performance, understanding that these measures need to be considered in light of current economic conditions, business opportunities and other factors. The Compensation Committee also considers the recommendations of the Chief Executive Officer for other Named Executive Officers.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2013, the Company determined that it needed to make some salary adjustments throughout the Company in order to maintain competitiveness as the economy improved. Based on the peer group and salary database information, the Committee determined that some adjustments would also be appropriate for the executive team. The Committee determined the adjustments appropriate for the executives based on their responsibilities, performance, and individual pay compared to the peer group and databases. The Chief Executive Officer requested no increase in his pay, which the Compensation Committee approved. The Chief Financial Officer's compensation was determined at the time of her offer in September 2012, and was based on internal equity and market competitiveness for her responsibility and experience.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Non-Equity-Based Incentive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non-equity-based incentive compensation plan is to focus the executive team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Company-wide goals and objectives, which focus on growth in revenue and reductions in cost in order to achieve and sustain a target operating margin. The non-equity-based incentive compensation plan is a formula-based variable cash compensation plan, with no payouts if operating margin is less than 2.5 percent, targeted payouts at 10 percent operating margin, and maximum payouts at 12.5 percent operating margin. The targeted level of variable cash compensation varies from an amount equal to three months of base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salary to 7.5 months of base salary for each executive officer. The maximum level of the variable cash compensation is 120 percent of the targeted level of variable cash compensation.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level of non-equity compensation takes into account the reference to other incentive non-equity compensation plans at comparable companies and in the databases, as well as the Committee's preference for a material level of variable executive compensation that varies with Company performance. The Compensation Committee selected operating margin as the measure of corporate financial performance to determine variable cash compensation because it believed it was the most appropriate indicator of performance that will drive long-term shareholder value and it was consistent with our corporate strategies.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60.1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2013, the executive officers were eligible for non-equity-based incentive compensation if the maximum payout of 120 percent of target was achieved as follows: Chief Executive Officer - 75 percent of base salary, Chairman of the Board of Directors - 30 percent of base salary, and all other named executives 55 percent of their base salary. The company's performance was less than the threshold for variable compensation in fiscal years 2012 and 2011, and no payout was made for those years. For fiscal 2013, the operating margin resulted in a non-equity-based incentive compensation payout of approximately 38 percent of the target or 31 percent of the maximum payouts.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have been the primary vehicles for offering long-term incentives to our executives,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 interests of employees more closely with those of our shareholders.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years’ expense and the current year’s estimate of a percentage of total payroll expense.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the number of our shares that are available for equity grants. Historically, the Compensation Committee has approved approximately 20 percent of the shares for equity grants to be granted to the executive team, and it followed that practice again in fiscal year 2013. The allocation among Named Executive Officers is based on historical grants, the value of past grants and the Company’s performance, all of which are subject to the objectives listed under the section titled “Compensation Discussion and Analysis - Role of Compensation Committee, Philosophy and Objectives.” To facilitate the grant of stock options to employees and other executive officers, the Board of Directors authorized the Chief Executive Officer to grant individual stock options and restricted stock units during fiscal 2013, subject to the guidelines and limitations imposed by the Compensation Committee.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2013, the Compensation Committee determined that it would continue to grant restricted stock units as well as incentive stock options in a manner substantially similar to fiscal 2012, except that valuation of the equity grants, based on the grant date fair value as determined under ASC 718, would be limited to approximately $2.3 million. The number of shares of common stock subject to stock options and restricted stock units granted increased slightly from the prior year. The value of the restricted stock units was equal to 50 percent of the value of the stock options for executives, as determined under the fair value provisions of ASC 718.</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the equity grants for executives and employees have been considered at the Board and Compensation Committee meetings generally held in November of that fiscal year. Starting in fiscal 2013, the Board and Compensation Committee determined that it would be more appropriate to approve the grants in conjunction with the August meetings, to coincide with the Director equity grants and the annual shareholder meeting. Equity awards are not typically granted at other times of the year for employees, including new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employees. The exercise price of all stock options granted is equal to the fair market value of the Company’s common stock as reported on The NASDAQ Global Select Market on the date of grant, which is defined in the 2007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Deferred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deferred compensation arrangements with James B. Morgan and Dr. Aelred J. Kurtenbach,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in 1990 to protect the Company from the loss of these key employees during our formative years. Participation in this plan by other executives is not in consideration at this time. The arrangements are designed to fund annual payments upon retirement based on the value of amounts credited to each participant's account. These arrangements are funded through an increase in the cash surrender value of life insurance policies on the lives of the participants. They are evidenced by deferred compensation agreements and are described in the table entitled “Non-qualified Deferred Compensation – Fiscal 2013.”</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are eligible for all benefits generally available to our full-time employees. Other than the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described above, we do not provide pension arrangements, post-retirement health coverage, or similar benefits for our executives or employees.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401(k) Plan (the “401(k) Plan”), which is qualified under Section 401(k) of the Internal Revenue Code of 1986. At the discretion of the Board of Directors, we may make matching contributions equal to a percentage of the salary deduction contributions or other discretionary amounts. We paid $1.7 million in matching and discretionary contributions in fiscal 2013, $1.6 million in fiscal 2012 and $0.9 million in fiscal 2011. Contributions to the 401(k) Plan on behalf of the Named Executive Officers are described in the table entitled“Summary Compensation Table – Fiscal 2013.”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of 1986. The ESPP allows employees to purchase shares of our common stock, subject to annual limitations, at a price equal to 85 percent of the lower of the fair market value of the common stock at the beginning or the end of each six-month offering period. See “Executive Compensation – Employee Stock Purchase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compensation awarded to, earned by or paid to our principal executive officer and principal financial officer during the fiscal years ended April 27, 2013, April 28, 2012 and April 30, 2011 and to our next three most highly compensated executive officers whose total compensation was greater than $100,000 for the fiscal year ended April 27,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300" w:type="dxa"/>
            <w:vAlign w:val="bottom"/>
            <w:gridSpan w:val="14"/>
          </w:tcPr>
          <w:p>
            <w:pPr>
              <w:ind w:left="20"/>
              <w:spacing w:after="0"/>
              <w:rPr>
                <w:sz w:val="20"/>
                <w:szCs w:val="20"/>
                <w:color w:val="auto"/>
              </w:rPr>
            </w:pPr>
            <w:r>
              <w:rPr>
                <w:rFonts w:ascii="Arial" w:cs="Arial" w:eastAsia="Arial" w:hAnsi="Arial"/>
                <w:sz w:val="18"/>
                <w:szCs w:val="18"/>
                <w:b w:val="1"/>
                <w:bCs w:val="1"/>
                <w:color w:val="auto"/>
              </w:rPr>
              <w:t>SUMMARY COMPENSATION TABLE – FISCAL 2013</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Non-Equity</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Option</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Incentive Plan</w:t>
            </w:r>
          </w:p>
        </w:tc>
        <w:tc>
          <w:tcPr>
            <w:tcW w:w="1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2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Name and Principal Position</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4"/>
              </w:rPr>
              <w:t>Year</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Salary</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84"/>
              </w:rPr>
              <w:t xml:space="preserve">Awards </w:t>
            </w:r>
            <w:r>
              <w:rPr>
                <w:rFonts w:ascii="Arial" w:cs="Arial" w:eastAsia="Arial" w:hAnsi="Arial"/>
                <w:sz w:val="25"/>
                <w:szCs w:val="25"/>
                <w:color w:val="auto"/>
                <w:w w:val="84"/>
                <w:vertAlign w:val="superscript"/>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86"/>
              </w:rPr>
              <w:t xml:space="preserve">Awards </w:t>
            </w:r>
            <w:r>
              <w:rPr>
                <w:rFonts w:ascii="Arial" w:cs="Arial" w:eastAsia="Arial" w:hAnsi="Arial"/>
                <w:sz w:val="25"/>
                <w:szCs w:val="25"/>
                <w:color w:val="auto"/>
                <w:w w:val="86"/>
                <w:vertAlign w:val="superscript"/>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line="257" w:lineRule="exact"/>
              <w:rPr>
                <w:sz w:val="20"/>
                <w:szCs w:val="20"/>
                <w:color w:val="auto"/>
              </w:rPr>
            </w:pPr>
            <w:r>
              <w:rPr>
                <w:rFonts w:ascii="Arial" w:cs="Arial" w:eastAsia="Arial" w:hAnsi="Arial"/>
                <w:sz w:val="18"/>
                <w:szCs w:val="18"/>
                <w:color w:val="auto"/>
                <w:w w:val="86"/>
              </w:rPr>
              <w:t>Compensation</w:t>
            </w:r>
            <w:r>
              <w:rPr>
                <w:rFonts w:ascii="Arial" w:cs="Arial" w:eastAsia="Arial" w:hAnsi="Arial"/>
                <w:sz w:val="25"/>
                <w:szCs w:val="25"/>
                <w:color w:val="auto"/>
                <w:w w:val="86"/>
                <w:vertAlign w:val="superscript"/>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86"/>
              </w:rPr>
              <w:t>Compensation</w:t>
            </w:r>
            <w:r>
              <w:rPr>
                <w:rFonts w:ascii="Arial" w:cs="Arial" w:eastAsia="Arial" w:hAnsi="Arial"/>
                <w:sz w:val="25"/>
                <w:szCs w:val="25"/>
                <w:color w:val="auto"/>
                <w:w w:val="86"/>
                <w:vertAlign w:val="superscript"/>
              </w:rPr>
              <w:t>(4)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James B. Morgan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2013</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310,680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448,310</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310,680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375,187</w:t>
            </w:r>
          </w:p>
        </w:tc>
      </w:tr>
      <w:tr>
        <w:trPr>
          <w:trHeight w:val="27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310,680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46,671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386,289</w:t>
            </w:r>
          </w:p>
        </w:tc>
      </w:tr>
      <w:tr>
        <w:trPr>
          <w:trHeight w:val="283"/>
        </w:trPr>
        <w:tc>
          <w:tcPr>
            <w:tcW w:w="288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Sheila M. Anderson</w:t>
            </w:r>
            <w:r>
              <w:rPr>
                <w:rFonts w:ascii="Arial" w:cs="Arial" w:eastAsia="Arial" w:hAnsi="Arial"/>
                <w:sz w:val="25"/>
                <w:szCs w:val="25"/>
                <w:b w:val="1"/>
                <w:bCs w:val="1"/>
                <w:color w:val="auto"/>
                <w:vertAlign w:val="superscript"/>
              </w:rPr>
              <w:t>(5)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151,116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27,918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236,161</w:t>
            </w: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William R. Retterath</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2013</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103,276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293,788</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Former Chief Financial Officer</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197,626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259,870</w:t>
            </w:r>
          </w:p>
        </w:tc>
      </w:tr>
      <w:tr>
        <w:trPr>
          <w:trHeight w:val="277"/>
        </w:trPr>
        <w:tc>
          <w:tcPr>
            <w:tcW w:w="2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194,165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261,719</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Dr. Aelred J. Kurtenbach</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168,600</w:t>
            </w: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Chairman of the Board</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154,500</w:t>
            </w:r>
          </w:p>
        </w:tc>
      </w:tr>
      <w:tr>
        <w:trPr>
          <w:trHeight w:val="270"/>
        </w:trPr>
        <w:tc>
          <w:tcPr>
            <w:tcW w:w="2880" w:type="dxa"/>
            <w:vAlign w:val="bottom"/>
          </w:tcPr>
          <w:p>
            <w:pPr>
              <w:spacing w:after="0"/>
              <w:rPr>
                <w:sz w:val="23"/>
                <w:szCs w:val="23"/>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152,769</w:t>
            </w:r>
          </w:p>
        </w:tc>
      </w:tr>
      <w:tr>
        <w:trPr>
          <w:trHeight w:val="27"/>
        </w:trPr>
        <w:tc>
          <w:tcPr>
            <w:tcW w:w="28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Reece A. Kurtenbach</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2013</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195,854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291,301</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187,776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246,036</w:t>
            </w:r>
          </w:p>
        </w:tc>
      </w:tr>
      <w:tr>
        <w:trPr>
          <w:trHeight w:val="277"/>
        </w:trPr>
        <w:tc>
          <w:tcPr>
            <w:tcW w:w="2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182,931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247,333</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Bradley T. Wiemann</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188,774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33,884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283,831</w:t>
            </w: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Executive Vice President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182,266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35,805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241,300</w:t>
            </w:r>
          </w:p>
        </w:tc>
      </w:tr>
      <w:tr>
        <w:trPr>
          <w:trHeight w:val="270"/>
        </w:trPr>
        <w:tc>
          <w:tcPr>
            <w:tcW w:w="2880" w:type="dxa"/>
            <w:vAlign w:val="bottom"/>
          </w:tcPr>
          <w:p>
            <w:pPr>
              <w:spacing w:after="0"/>
              <w:rPr>
                <w:sz w:val="23"/>
                <w:szCs w:val="23"/>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178,546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40,649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243,430</w:t>
            </w:r>
          </w:p>
        </w:tc>
      </w:tr>
    </w:tbl>
    <w:p>
      <w:pPr>
        <w:spacing w:after="0" w:line="13" w:lineRule="exact"/>
        <w:rPr>
          <w:sz w:val="20"/>
          <w:szCs w:val="20"/>
          <w:color w:val="auto"/>
        </w:rPr>
      </w:pP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restricted stock units granted under the 2007 Plan. In accordance with ASC 718, the amount is calculated based on the fair value of the grant date fair value of the award. Refer to “Item 7. Management’s Discussion and Analysis of Financial Condition and Results of Operations — Critical Accounting Policies and Estimates ” in our Annual Report on Form 10-K for the year ended April 27, 2013 for a discussion of the assumptions used in calculating the amount under ASC 718.</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stock options granted under the 2007 Plan. The value of the option awards is calculated based on the grant date fair value of the award in accordance with ASC 718. Refer to “Item 7. Management’s Discussion and Analysis of Financial Condition and Results of Operations — Critical Accounting Policies and Estimates ” in our Annual Report on Form 10-K for the year ended April 27, 2013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amounts in this column reflect the total variable cash compensation paid to Named Executive Officers under the non-equity-based incentive compensation plan. As explained earlier in this proxy statement variable incentive compensation payments appear in this column upon achievement of certain targets based on operating income for fiscal 2013. There were no payments under this plan during fiscal years 2012 and 2011.</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Internal Revenue Code of 1986, and severance payments in the amount of $133,450 made to Mr. Retterath during this fiscal 2013 year in accordance with his separation agreement as previously disclosed in a Current Report on Form 8-K, dated October 12, 2012.</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Sheila M. Anderson was named Chief Financial Officer and Treasurer in September 2012. Ms. Anderson's salary was increased to $162,000 effective September 12, 2012. Included in Ms. Anderson's salary is a bonus of $10,000 earned during the period she served as the Corporate Controller.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8"/>
          </w:tcPr>
          <w:p>
            <w:pPr>
              <w:ind w:left="40"/>
              <w:spacing w:after="0"/>
              <w:rPr>
                <w:sz w:val="20"/>
                <w:szCs w:val="20"/>
                <w:color w:val="auto"/>
              </w:rPr>
            </w:pPr>
            <w:r>
              <w:rPr>
                <w:rFonts w:ascii="Arial" w:cs="Arial" w:eastAsia="Arial" w:hAnsi="Arial"/>
                <w:sz w:val="18"/>
                <w:szCs w:val="18"/>
                <w:b w:val="1"/>
                <w:bCs w:val="1"/>
                <w:color w:val="auto"/>
                <w:w w:val="96"/>
              </w:rPr>
              <w:t>GRANTS OF PLAN-BASED AWARDS — FISCAL 2013</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0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All other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stock</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gridSpan w:val="5"/>
            <w:vMerge w:val="restart"/>
          </w:tcPr>
          <w:p>
            <w:pPr>
              <w:jc w:val="center"/>
              <w:spacing w:after="0" w:line="257"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awards: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All other option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awards: number</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Exercise or</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shares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securities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base price of</w:t>
            </w:r>
          </w:p>
        </w:tc>
        <w:tc>
          <w:tcPr>
            <w:tcW w:w="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stock or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underlying</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option</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257"/>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Grant Date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Maximum</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 xml:space="preserve">options (#) </w:t>
            </w:r>
            <w:r>
              <w:rPr>
                <w:rFonts w:ascii="Arial" w:cs="Arial" w:eastAsia="Arial" w:hAnsi="Arial"/>
                <w:sz w:val="25"/>
                <w:szCs w:val="25"/>
                <w:color w:val="auto"/>
                <w:w w:val="88"/>
                <w:vertAlign w:val="superscript"/>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0"/>
              <w:spacing w:after="0" w:line="257"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0"/>
              <w:spacing w:after="0" w:line="257"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(5)</w:t>
            </w: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8/23/2012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194,175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233,010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8/23/2012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18,563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74,250</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89,100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20,536</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9/12/2012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William R. Retterath</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8/23/2012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55,447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Aelred J. Kurtenbach</w:t>
            </w:r>
          </w:p>
        </w:tc>
        <w:tc>
          <w:tcPr>
            <w:tcW w:w="1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8/23/2012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Reece A. Kurtenbach</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8/23/2012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93,363</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112,035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55,447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8/23/2012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108,141</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55,447</w:t>
            </w: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6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program, see the section of this proxy statement entitled “Compensation Discussion and Analysis.”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2013 under the 2007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2013 under the 2007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w:t>
      </w:r>
    </w:p>
    <w:p>
      <w:pPr>
        <w:jc w:val="both"/>
        <w:ind w:left="660" w:hanging="328"/>
        <w:spacing w:after="0" w:line="27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$9.51 per share on August 23, 2012 and $9.56 per share on September 12, 2012.</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27, 2013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Option Exercise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Price ($)</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11/20/2003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11/19/2013</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11/22/2014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11/16/2015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11/15/2016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4,929</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18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58,913</w:t>
            </w:r>
          </w:p>
        </w:tc>
      </w:tr>
      <w:tr>
        <w:trPr>
          <w:trHeight w:val="20"/>
        </w:trPr>
        <w:tc>
          <w:tcPr>
            <w:tcW w:w="1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Option Exercise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Price ($)</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Pr>
          <w:p>
            <w:pPr>
              <w:ind w:left="220"/>
              <w:spacing w:after="0"/>
              <w:rPr>
                <w:sz w:val="20"/>
                <w:szCs w:val="20"/>
                <w:color w:val="auto"/>
              </w:rPr>
            </w:pPr>
            <w:r>
              <w:rPr>
                <w:rFonts w:ascii="Arial" w:cs="Arial" w:eastAsia="Arial" w:hAnsi="Arial"/>
                <w:sz w:val="18"/>
                <w:szCs w:val="18"/>
                <w:color w:val="auto"/>
              </w:rPr>
              <w:t>11/20/2003</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11/19/2013</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11/22/2014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11/15/2016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11/14/2017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1,400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1,467</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3,200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30,758</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11/20/2003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11/19/2013</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11/22/2014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11/16/2015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11/15/2016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4,506</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55,439</w:t>
            </w:r>
          </w:p>
        </w:tc>
      </w:tr>
      <w:tr>
        <w:trPr>
          <w:trHeight w:val="222"/>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Dr. Aelred J.</w:t>
            </w:r>
          </w:p>
        </w:tc>
        <w:tc>
          <w:tcPr>
            <w:tcW w:w="1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Kurtenbach</w:t>
            </w:r>
          </w:p>
        </w:tc>
        <w:tc>
          <w:tcPr>
            <w:tcW w:w="12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11/20/2003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11/19/2013</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11/22/2014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11/16/2015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11/15/2016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4,293</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53,831</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11/20/2003</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8.850</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11/19/2013</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11/23/2004</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11/22/2014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11/15/2016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11/14/2017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2,862</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4,293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8,400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10,800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08/22/2022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53,831</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All options vest in equal installments over five years and expire after 10 years.</w:t>
      </w:r>
    </w:p>
    <w:p>
      <w:pPr>
        <w:sectPr>
          <w:pgSz w:w="11900" w:h="16838" w:orient="portrait"/>
          <w:cols w:equalWidth="0" w:num="1">
            <w:col w:w="11400"/>
          </w:cols>
          <w:pgMar w:left="240" w:top="108" w:right="259" w:bottom="285"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08" w:right="259" w:bottom="285"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Restricted stock units vest as to 20 percent of the shares one year after date of grant and as to an additional 20 percent in each succeeding year, but only if the Named Executive Officer is then an employee of the Company. The grant date and the number of shares granted are as follows:</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Shares</w:t>
            </w:r>
          </w:p>
        </w:tc>
      </w:tr>
      <w:tr>
        <w:trPr>
          <w:trHeight w:val="230"/>
        </w:trPr>
        <w:tc>
          <w:tcPr>
            <w:tcW w:w="2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Grant Date</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Grant Date</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Granted</w:t>
            </w:r>
          </w:p>
        </w:tc>
      </w:tr>
      <w:tr>
        <w:trPr>
          <w:trHeight w:val="27"/>
        </w:trPr>
        <w:tc>
          <w:tcPr>
            <w:tcW w:w="2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B. Morgan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12/3/2009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20"/>
                <w:szCs w:val="20"/>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Sheila M. Anderson</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12/3/2009</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0"/>
        </w:trPr>
        <w:tc>
          <w:tcPr>
            <w:tcW w:w="2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12/2/2010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12/2/2010</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70"/>
        </w:trPr>
        <w:tc>
          <w:tcPr>
            <w:tcW w:w="2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70"/>
        </w:trPr>
        <w:tc>
          <w:tcPr>
            <w:tcW w:w="2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8/23/2012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8/23/2012</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97"/>
        </w:trPr>
        <w:tc>
          <w:tcPr>
            <w:tcW w:w="2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2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R. Retterath</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12/3/2009</w:t>
            </w:r>
          </w:p>
        </w:tc>
        <w:tc>
          <w:tcPr>
            <w:tcW w:w="1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20"/>
                <w:szCs w:val="20"/>
                <w:color w:val="auto"/>
              </w:rPr>
            </w:pP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Reece A. Kurtenbach</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12/3/2009</w:t>
            </w:r>
          </w:p>
        </w:tc>
        <w:tc>
          <w:tcPr>
            <w:tcW w:w="18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r>
      <w:tr>
        <w:trPr>
          <w:trHeight w:val="270"/>
        </w:trPr>
        <w:tc>
          <w:tcPr>
            <w:tcW w:w="2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12/2/2010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12/2/2010</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w:t>
            </w:r>
          </w:p>
        </w:tc>
      </w:tr>
      <w:tr>
        <w:trPr>
          <w:trHeight w:val="270"/>
        </w:trPr>
        <w:tc>
          <w:tcPr>
            <w:tcW w:w="2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12/1/2011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12/1/2011</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0"/>
        </w:trPr>
        <w:tc>
          <w:tcPr>
            <w:tcW w:w="2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8/23/2012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8/23/2012</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7"/>
        </w:trPr>
        <w:tc>
          <w:tcPr>
            <w:tcW w:w="2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12/3/2009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70"/>
        </w:trPr>
        <w:tc>
          <w:tcPr>
            <w:tcW w:w="2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12/2/2010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2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7"/>
        </w:trPr>
        <w:tc>
          <w:tcPr>
            <w:tcW w:w="2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8/23/2012</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Determined by multiplying the Company’s closing stock price on the last business day of fiscal year 2013 by the number of shares subject to the award.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 during fiscal 2013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 FISCAL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5"/>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4"/>
          </w:tcPr>
          <w:p>
            <w:pPr>
              <w:jc w:val="right"/>
              <w:ind w:right="1210"/>
              <w:spacing w:after="0"/>
              <w:rPr>
                <w:sz w:val="20"/>
                <w:szCs w:val="20"/>
                <w:color w:val="auto"/>
              </w:rPr>
            </w:pPr>
            <w:r>
              <w:rPr>
                <w:rFonts w:ascii="Arial" w:cs="Arial" w:eastAsia="Arial" w:hAnsi="Arial"/>
                <w:sz w:val="18"/>
                <w:szCs w:val="18"/>
                <w:color w:val="auto"/>
              </w:rPr>
              <w:t>Stock Awards</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76"/>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Number of Shares</w:t>
            </w:r>
          </w:p>
        </w:tc>
        <w:tc>
          <w:tcPr>
            <w:tcW w:w="16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Number of Shares</w:t>
            </w: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w w:val="90"/>
              </w:rPr>
              <w:t>Value Realized on</w:t>
            </w:r>
          </w:p>
        </w:tc>
      </w:tr>
      <w:tr>
        <w:trPr>
          <w:trHeight w:val="257"/>
        </w:trPr>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Name</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Acquired on Exercise</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Acquired on Vesting</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240" w:type="dxa"/>
            <w:vAlign w:val="bottom"/>
          </w:tcPr>
          <w:p>
            <w:pPr>
              <w:spacing w:after="0"/>
              <w:rPr>
                <w:sz w:val="21"/>
                <w:szCs w:val="21"/>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4,191</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Dr. Aelred J. Kurtenbach</w:t>
            </w:r>
          </w:p>
        </w:tc>
        <w:tc>
          <w:tcPr>
            <w:tcW w:w="240" w:type="dxa"/>
            <w:vAlign w:val="bottom"/>
          </w:tcPr>
          <w:p>
            <w:pPr>
              <w:spacing w:after="0"/>
              <w:rPr>
                <w:sz w:val="21"/>
                <w:szCs w:val="21"/>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52,465</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Bradley T. Wiemann</w:t>
            </w:r>
          </w:p>
        </w:tc>
        <w:tc>
          <w:tcPr>
            <w:tcW w:w="240" w:type="dxa"/>
            <w:vAlign w:val="bottom"/>
          </w:tcPr>
          <w:p>
            <w:pPr>
              <w:spacing w:after="0"/>
              <w:rPr>
                <w:sz w:val="21"/>
                <w:szCs w:val="21"/>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0" w:lineRule="exact"/>
        <w:rPr>
          <w:sz w:val="20"/>
          <w:szCs w:val="20"/>
          <w:color w:val="auto"/>
        </w:rPr>
      </w:pPr>
    </w:p>
    <w:p>
      <w:pPr>
        <w:ind w:left="660" w:right="2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the number of shares vested times the market value of the stock as of the vesting date.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our defined contribution plans for the two Named Executive Officers subject to such plans for fiscal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20" w:type="dxa"/>
            <w:vAlign w:val="bottom"/>
            <w:gridSpan w:val="9"/>
          </w:tcPr>
          <w:p>
            <w:pPr>
              <w:ind w:left="220"/>
              <w:spacing w:after="0"/>
              <w:rPr>
                <w:sz w:val="20"/>
                <w:szCs w:val="20"/>
                <w:color w:val="auto"/>
              </w:rPr>
            </w:pPr>
            <w:r>
              <w:rPr>
                <w:rFonts w:ascii="Arial" w:cs="Arial" w:eastAsia="Arial" w:hAnsi="Arial"/>
                <w:sz w:val="18"/>
                <w:szCs w:val="18"/>
                <w:b w:val="1"/>
                <w:bCs w:val="1"/>
                <w:color w:val="auto"/>
              </w:rPr>
              <w:t>NON-QUALIFIED DEFERRED COMPENSATION – FISCAL 2013</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Registrant</w:t>
            </w:r>
          </w:p>
        </w:tc>
        <w:tc>
          <w:tcPr>
            <w:tcW w:w="12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Aggregate</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w w:val="90"/>
              </w:rPr>
              <w:t>Aggregate Balance</w:t>
            </w:r>
          </w:p>
        </w:tc>
      </w:tr>
      <w:tr>
        <w:trPr>
          <w:trHeight w:val="216"/>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Contributions in</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Contributions in</w:t>
            </w: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Earnings in Last</w:t>
            </w: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w w:val="91"/>
              </w:rPr>
              <w:t>at Last Fiscal Year</w:t>
            </w:r>
          </w:p>
        </w:tc>
      </w:tr>
      <w:tr>
        <w:trPr>
          <w:trHeight w:val="257"/>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Fiscal Year</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Fiscal Year</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0"/>
              <w:spacing w:after="0" w:line="257" w:lineRule="exact"/>
              <w:rPr>
                <w:sz w:val="20"/>
                <w:szCs w:val="20"/>
                <w:color w:val="auto"/>
              </w:rPr>
            </w:pPr>
            <w:r>
              <w:rPr>
                <w:rFonts w:ascii="Arial" w:cs="Arial" w:eastAsia="Arial" w:hAnsi="Arial"/>
                <w:sz w:val="18"/>
                <w:szCs w:val="18"/>
                <w:color w:val="auto"/>
                <w:w w:val="86"/>
              </w:rPr>
              <w:t>Fiscal Year</w:t>
            </w:r>
            <w:r>
              <w:rPr>
                <w:rFonts w:ascii="Arial" w:cs="Arial" w:eastAsia="Arial" w:hAnsi="Arial"/>
                <w:sz w:val="25"/>
                <w:szCs w:val="25"/>
                <w:color w:val="auto"/>
                <w:w w:val="86"/>
                <w:vertAlign w:val="superscript"/>
              </w:rPr>
              <w:t>(1)</w:t>
            </w:r>
          </w:p>
        </w:tc>
        <w:tc>
          <w:tcPr>
            <w:tcW w:w="2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Withdrawals/Distributions</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End</w:t>
            </w:r>
          </w:p>
        </w:tc>
      </w:tr>
      <w:tr>
        <w:trPr>
          <w:trHeight w:val="24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114,646</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Dr. Aelred J. Kurtenbach</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3,331</w:t>
            </w:r>
          </w:p>
        </w:tc>
        <w:tc>
          <w:tcPr>
            <w:tcW w:w="200" w:type="dxa"/>
            <w:vAlign w:val="bottom"/>
          </w:tcPr>
          <w:p>
            <w:pPr>
              <w:spacing w:after="0"/>
              <w:rPr>
                <w:sz w:val="21"/>
                <w:szCs w:val="21"/>
                <w:color w:val="auto"/>
              </w:rPr>
            </w:pPr>
          </w:p>
        </w:tc>
        <w:tc>
          <w:tcPr>
            <w:tcW w:w="21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454,059</w:t>
            </w:r>
          </w:p>
        </w:tc>
      </w:tr>
    </w:tbl>
    <w:p>
      <w:pPr>
        <w:spacing w:after="0" w:line="26" w:lineRule="exact"/>
        <w:rPr>
          <w:sz w:val="20"/>
          <w:szCs w:val="20"/>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402(c)(2)(viii)(B)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27, 2013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56"/>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30"/>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2001 Incentive Stock Option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1,082,983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2001 Outside Director Stock Option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22.79</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416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1,185,343</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2,289,599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798,051</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not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3,420,582</w:t>
            </w:r>
          </w:p>
        </w:tc>
        <w:tc>
          <w:tcPr>
            <w:tcW w:w="2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21"/>
                <w:szCs w:val="21"/>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1,983,394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494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1714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-130175</wp:posOffset>
            </wp:positionV>
            <wp:extent cx="4107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April 27, 2013, and include estimated amounts earned through such time, and are estimates of the amounts which would be paid out to the executives upon their termination. The actual amounts to be paid can be determined only at the time of such executive’s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2001 Plan and the 2007 Plan, all options and restricted stock units immediately vest upon a change in control, as that term is defined in the 2001 Plan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35,101</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Non-qualified deferred compensation</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114,646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114,646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114,646</w:t>
            </w:r>
          </w:p>
        </w:tc>
      </w:tr>
      <w:tr>
        <w:trPr>
          <w:trHeight w:val="237"/>
        </w:trPr>
        <w:tc>
          <w:tcPr>
            <w:tcW w:w="23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219,865</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149,747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149,747</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149,747</w:t>
            </w:r>
          </w:p>
        </w:tc>
      </w:tr>
      <w:tr>
        <w:trPr>
          <w:trHeight w:val="311"/>
        </w:trPr>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83"/>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3320" w:type="dxa"/>
            <w:vAlign w:val="bottom"/>
          </w:tcPr>
          <w:p>
            <w:pPr>
              <w:ind w:left="20"/>
              <w:spacing w:after="0" w:line="283"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30,758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4,526</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4,526</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3440" w:type="dxa"/>
            <w:vAlign w:val="bottom"/>
          </w:tcPr>
          <w:p>
            <w:pPr>
              <w:ind w:left="146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2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William R. Retterath</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2"/>
                <w:szCs w:val="22"/>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 agreement compensation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compensation payment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awards to vest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pay and benefits</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381,318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11"/>
        </w:trPr>
        <w:tc>
          <w:tcPr>
            <w:tcW w:w="1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Dr. Aelred J. Kurtenbach</w:t>
            </w:r>
          </w:p>
        </w:tc>
        <w:tc>
          <w:tcPr>
            <w:tcW w:w="100" w:type="dxa"/>
            <w:vAlign w:val="bottom"/>
          </w:tcPr>
          <w:p>
            <w:pPr>
              <w:spacing w:after="0"/>
              <w:rPr>
                <w:sz w:val="21"/>
                <w:szCs w:val="21"/>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Vacation pay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28,846</w:t>
            </w:r>
          </w:p>
        </w:tc>
      </w:tr>
      <w:tr>
        <w:trPr>
          <w:trHeight w:val="270"/>
        </w:trPr>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Non-qualified deferred compensation</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454,059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454,059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454,059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454,059</w:t>
            </w:r>
          </w:p>
        </w:tc>
      </w:tr>
      <w:tr>
        <w:trPr>
          <w:trHeight w:val="27"/>
        </w:trPr>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482,905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482,905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482,905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482,905</w:t>
            </w:r>
          </w:p>
        </w:tc>
      </w:tr>
      <w:tr>
        <w:trPr>
          <w:trHeight w:val="311"/>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0" w:type="dxa"/>
            <w:vAlign w:val="bottom"/>
            <w:shd w:val="clear" w:color="auto" w:fill="CCEEFF"/>
          </w:tcPr>
          <w:p>
            <w:pPr>
              <w:spacing w:after="0"/>
              <w:rPr>
                <w:sz w:val="23"/>
                <w:szCs w:val="23"/>
                <w:color w:val="auto"/>
              </w:rPr>
            </w:pPr>
          </w:p>
        </w:tc>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16,551</w:t>
            </w:r>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80,354</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16,551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16,551</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16,551</w:t>
            </w:r>
          </w:p>
        </w:tc>
      </w:tr>
      <w:tr>
        <w:trPr>
          <w:trHeight w:val="311"/>
        </w:trPr>
        <w:tc>
          <w:tcPr>
            <w:tcW w:w="1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83"/>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100" w:type="dxa"/>
            <w:vAlign w:val="bottom"/>
          </w:tcPr>
          <w:p>
            <w:pPr>
              <w:spacing w:after="0"/>
              <w:rPr>
                <w:sz w:val="24"/>
                <w:szCs w:val="24"/>
                <w:color w:val="auto"/>
              </w:rPr>
            </w:pPr>
          </w:p>
        </w:tc>
        <w:tc>
          <w:tcPr>
            <w:tcW w:w="3440" w:type="dxa"/>
            <w:vAlign w:val="bottom"/>
          </w:tcPr>
          <w:p>
            <w:pPr>
              <w:ind w:left="40"/>
              <w:spacing w:after="0" w:line="283"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53,831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20,796</w:t>
            </w:r>
          </w:p>
        </w:tc>
      </w:tr>
      <w:tr>
        <w:trPr>
          <w:trHeight w:val="27"/>
        </w:trPr>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84,599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20,796</w:t>
            </w:r>
          </w:p>
        </w:tc>
      </w:tr>
    </w:tbl>
    <w:p>
      <w:pPr>
        <w:spacing w:after="0" w:line="26" w:lineRule="exact"/>
        <w:rPr>
          <w:sz w:val="20"/>
          <w:szCs w:val="20"/>
          <w:color w:val="auto"/>
        </w:rPr>
      </w:pPr>
    </w:p>
    <w:p>
      <w:pPr>
        <w:ind w:left="660" w:right="2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closing market price of the common stock as reported on The NASDAQ Global Select Market as of April 27, 2013 and the exercise price of the option multiplied by the number of shares subject to the option.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September 10, 2012, Mr. Retterath resigned from our Company. At the time of his resignation, Mr. Retterath was not party to any agreement or understanding that would have entitled him to any benefits. However, the Company and Mr. Retterath entered into a Separation Agreement, as described in the Company's Current Report on Form 8-K dated October 7, 2012. Pursuant to the terms of the Separation Agreement, Mr. Retterath was entitled to an aggregate of $381,318 in payments and benefits as follows:</w:t>
      </w:r>
    </w:p>
    <w:p>
      <w:pPr>
        <w:spacing w:after="0" w:line="1" w:lineRule="exact"/>
        <w:rPr>
          <w:rFonts w:ascii="Arial" w:cs="Arial" w:eastAsia="Arial" w:hAnsi="Arial"/>
          <w:sz w:val="18"/>
          <w:szCs w:val="18"/>
          <w:color w:val="auto"/>
        </w:rPr>
      </w:pPr>
    </w:p>
    <w:p>
      <w:pPr>
        <w:ind w:left="1060" w:hanging="404"/>
        <w:spacing w:after="0"/>
        <w:tabs>
          <w:tab w:leader="none" w:pos="10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 $200,161 severance payment, payable in 26 bi-weekly installments, with total payments of $118,450 received during fiscal 2013;</w:t>
      </w:r>
    </w:p>
    <w:p>
      <w:pPr>
        <w:spacing w:after="0" w:line="20" w:lineRule="exact"/>
        <w:rPr>
          <w:rFonts w:ascii="Arial" w:cs="Arial" w:eastAsia="Arial" w:hAnsi="Arial"/>
          <w:sz w:val="17"/>
          <w:szCs w:val="17"/>
          <w:color w:val="auto"/>
        </w:rPr>
      </w:pPr>
    </w:p>
    <w:p>
      <w:pPr>
        <w:ind w:left="1060" w:right="20" w:hanging="404"/>
        <w:spacing w:after="0" w:line="250"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$100,081 severance payment, payable in 13 bi-weekly installments, beginning after the payments described in (a) have ceased, under the condition that Mr. Retterath has not obtained other full-time employment with any other employer;</w:t>
      </w:r>
    </w:p>
    <w:p>
      <w:pPr>
        <w:ind w:left="1060" w:hanging="404"/>
        <w:spacing w:after="0"/>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$15,000 supplemental compensation payment that was paid, upon Mr. Retterath's acceptance of the Separation Agreement;</w:t>
      </w:r>
    </w:p>
    <w:p>
      <w:pPr>
        <w:spacing w:after="0" w:line="9" w:lineRule="exact"/>
        <w:rPr>
          <w:rFonts w:ascii="Arial" w:cs="Arial" w:eastAsia="Arial" w:hAnsi="Arial"/>
          <w:sz w:val="18"/>
          <w:szCs w:val="18"/>
          <w:color w:val="auto"/>
        </w:rPr>
      </w:pPr>
    </w:p>
    <w:p>
      <w:pPr>
        <w:jc w:val="both"/>
        <w:ind w:left="1060" w:hanging="404"/>
        <w:spacing w:after="0" w:line="250"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additional or benefit payments included the following (i) the cash value of his accrued but unused vacation through September 10 2012 for $21,796, and (ii) amounts due under the Company benefit plan's or arrangement for a period of up to 18 months following September 10, 2012, which amounted to $7,674 during fiscal 2013; and</w:t>
      </w:r>
    </w:p>
    <w:p>
      <w:pPr>
        <w:spacing w:after="0" w:line="1" w:lineRule="exact"/>
        <w:rPr>
          <w:rFonts w:ascii="Arial" w:cs="Arial" w:eastAsia="Arial" w:hAnsi="Arial"/>
          <w:sz w:val="18"/>
          <w:szCs w:val="18"/>
          <w:color w:val="auto"/>
        </w:rPr>
      </w:pPr>
    </w:p>
    <w:p>
      <w:pPr>
        <w:jc w:val="both"/>
        <w:ind w:left="1060" w:hanging="404"/>
        <w:spacing w:after="0" w:line="253"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continued vesting of his outstanding option awards and restricted stock awards through December 31, 2013. The approximate value of his options that were in the money as of April 27, 2013 which either vested in the fiscal year ended April 27, 2013 or after that date equaled $11,262 based on the closing price of Company's common stock on April 27, 2013. The approximate value of the awards that vested during fiscal 2013, and for those stock awards that will vest after April 27, 2013, is based on the closing price of the Company's common stock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-2484755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is composed of three Directors who are independent as provided in Rule 5605(a)(2) of the NASDAQ Listing Rules and Rule 10A-3 under the Exchange Act. The members of the Audit Committee are appointed annually by the Board of Directors. During fiscal 2013, John L. Mulligan, James A. Vellenga and Bruce W. Tobin served as members of the Audit Committee (except during period of September through November of 2012, when Mr. Tobin took special consultant assignment and Ms. Nancy Frame served temporarily as an Audit Committee member).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Audit Committee has reviewed and discussed with management our audited financial statements for the fiscal year ended April 27, 2013;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the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xml:space="preserve"> Vol. 1, AU section 380), as adopted by the Public Company Accounting Oversight Board in Rule 3200T; discussed with our independent registered public accounting firm its respective audits and assessments, including internal control testing under Section 404 of the Sarbanes-Oxley Act of 2002;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discussed with the independent registered public accounting firm the firm’s independence; reviewed and pre-approved fees charged by the independent registered public accounting firm and considered whether the independent registered public accounting firm; provision of non-audit services to us is compatible with the auditor’s independence. The Audit Committee also met in executive session following each of the formal Audit Committee meetings with representatives of our independent registered public accounting firm.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has concluded that the independent registered public accounting firm is independent from the Company and its management. The Committee discussed with our independent registered public accounting firm the overall scope and plans for its audits. The Committee meets with the independent registered public accounting firm, with and without management present, to discuss the results of its examinations, the evaluations of our internal controls, and the overall quality of our financial reporting.</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financial statements for the fiscal year ended April 27, 2013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W. Tobin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house and helps reduce our expenses.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27, 2013,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Annual Report to Shareholders for the fiscal year ended April 27, 2013 can also be accessed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xml:space="preserve"> by selecting “Investors” then “Annual Report and Proxy” under “Shareholder Tools.” Any person whose proxy is solicited by this Proxy Statement will be provided, upon request and without charge, with a copy of our Annual Report on Form 10-K for the fiscal year ended April 27, 2013. Please submit such requests to Daktronics, Inc., 201 Daktronics Drive, Brookings, South Dakota 57006, Attention: Investor Relations, or by calling (605) 692-0200.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7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797560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219"/>
          </w:cols>
          <w:pgMar w:left="240" w:top="125" w:right="1440"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49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740" cy="794956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upperLetter"/>
      <w:start w:val="24"/>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2"/>
      <w:numFmt w:val="bullet"/>
      <w:start w:val="1"/>
    </w:lvl>
  </w:abstractNum>
  <w:abstractNum w:abstractNumId="4">
    <w:nsid w:val="3F2DBA31"/>
    <w:multiLevelType w:val="hybridMultilevel"/>
    <w:lvl w:ilvl="0">
      <w:lvlJc w:val="left"/>
      <w:lvlText w:val="3"/>
      <w:numFmt w:val="bullet"/>
      <w:start w:val="1"/>
    </w:lvl>
  </w:abstractNum>
  <w:abstractNum w:abstractNumId="5">
    <w:nsid w:val="7C83E458"/>
    <w:multiLevelType w:val="hybridMultilevel"/>
    <w:lvl w:ilvl="0">
      <w:lvlJc w:val="left"/>
      <w:lvlText w:val="4"/>
      <w:numFmt w:val="bullet"/>
      <w:start w:val="1"/>
    </w:lvl>
  </w:abstractNum>
  <w:abstractNum w:abstractNumId="6">
    <w:nsid w:val="257130A3"/>
    <w:multiLevelType w:val="hybridMultilevel"/>
    <w:lvl w:ilvl="0">
      <w:lvlJc w:val="left"/>
      <w:lvlText w:val="5"/>
      <w:numFmt w:val="bullet"/>
      <w:start w:val="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2"/>
      <w:numFmt w:val="bullet"/>
      <w:start w:val="1"/>
    </w:lvl>
  </w:abstractNum>
  <w:abstractNum w:abstractNumId="9">
    <w:nsid w:val="628C895D"/>
    <w:multiLevelType w:val="hybridMultilevel"/>
    <w:lvl w:ilvl="0">
      <w:lvlJc w:val="left"/>
      <w:lvlText w:val="3"/>
      <w:numFmt w:val="bullet"/>
      <w:start w:val="1"/>
    </w:lvl>
  </w:abstractNum>
  <w:abstractNum w:abstractNumId="10">
    <w:nsid w:val="333AB105"/>
    <w:multiLevelType w:val="hybridMultilevel"/>
    <w:lvl w:ilvl="0">
      <w:lvlJc w:val="left"/>
      <w:lvlText w:val="4"/>
      <w:numFmt w:val="bullet"/>
      <w:start w:val="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lvl w:ilvl="1">
      <w:lvlJc w:val="left"/>
      <w:lvlText w:val="(%2)"/>
      <w:numFmt w:val="decimal"/>
      <w:start w:val="1"/>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3"/>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2019-12-06T10:57:19Z</dcterms:created>
  <dcterms:modified xsi:type="dcterms:W3CDTF">2019-12-06T10:57:19Z</dcterms:modified>
</cp:coreProperties>
</file>