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715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71512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GATZKE CARLA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DAKTRONICS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DAKTRONICS INC /SD/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DAKT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Secretary and VP of Human Reso</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5"/>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BROOKINGS   SD</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57006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01/31/2026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23,139</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771,187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right="199"/>
              <w:spacing w:after="0"/>
              <w:rPr>
                <w:sz w:val="20"/>
                <w:szCs w:val="20"/>
                <w:color w:val="auto"/>
              </w:rPr>
            </w:pPr>
            <w:r>
              <w:rPr>
                <w:rFonts w:ascii="Times New Roman" w:cs="Times New Roman" w:eastAsia="Times New Roman" w:hAnsi="Times New Roman"/>
                <w:sz w:val="17"/>
                <w:szCs w:val="17"/>
                <w:color w:val="0000FF"/>
              </w:rPr>
              <w:t>183,867</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20" w:type="dxa"/>
            <w:vAlign w:val="bottom"/>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jc w:val="right"/>
              <w:ind w:right="3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01/31/2026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w w:val="92"/>
              </w:rPr>
              <w:t>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jc w:val="right"/>
              <w:ind w:right="3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01/31/2026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1,000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738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jc w:val="right"/>
              <w:ind w:right="3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01/31/2026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w w:val="92"/>
              </w:rPr>
              <w:t>738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jc w:val="right"/>
              <w:ind w:right="3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01/31/2026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w w:val="92"/>
              </w:rPr>
              <w:t>908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12,561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jc w:val="right"/>
              <w:ind w:right="321"/>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01/31/2026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0"/>
              <w:spacing w:after="0" w:line="129" w:lineRule="exact"/>
              <w:rPr>
                <w:sz w:val="20"/>
                <w:szCs w:val="20"/>
                <w:color w:val="auto"/>
              </w:rPr>
            </w:pPr>
            <w:r>
              <w:rPr>
                <w:rFonts w:ascii="Times New Roman" w:cs="Times New Roman" w:eastAsia="Times New Roman" w:hAnsi="Times New Roman"/>
                <w:sz w:val="13"/>
                <w:szCs w:val="13"/>
                <w:color w:val="0000FF"/>
                <w:w w:val="94"/>
              </w:rPr>
              <w:t>12,561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jc w:val="right"/>
              <w:ind w:right="3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01/31/2026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7,432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August 23, 2025 and January 31, 2026, the Reporting Person acquired 491 shares of common stock of Daktronics, Inc. (the "Issuer") under the Issuer's 401k Plan. The information in this Report is based on a plan statement dated January 31, 2026.</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Separation and Release Agreement (the "Separation Agreement") entered into by and between Daktronics, Inc. and Carla Gatzke on 01/31/2026 (such date, the "Separation Date"), the vesting of Restricted Stock Units granted on 09/02/2021 was accelerated such that the Restricted Stock Units that would have vested on 08/23/2026, vested as of the Separation Date. Vested shares will be delivered to the reporting person as soon as practicable after the date of vesting.</w:t>
      </w:r>
    </w:p>
    <w:p>
      <w:pPr>
        <w:spacing w:after="0" w:line="25"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Separation Agreement, the vesting of Restricted Stock Units granted on 09/08/2022 was accelerated such that the Restricted Stock Units that would have vested on 08/23/2026 and 08/23/2027, vested as of the Separation Date. Vested shares will be delivered to the reporting person as soon as practicable after the date of vesting.</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Separation Agreement, the vesting of Restricted Stock Units granted on 09/11/2023 was accelerated such that the Restricted Stock Units that would have vested on 08/23/2026, 08/23/2027, and 08/23/2028, vested as of the Separation Date. Vested shares will be delivered to the reporting person as soon as practicable after the date of vesting.</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Separation Agreement, the vesting of Restricted Stock Units granted on 09/09/2024 was accelerated such that the Restricted Stock Units that would have vested on 08/23/2026, 08/23/2027, 08/23/2028, and 08/23/2029, vested as of the Separation Date. Vested shares will be delivered to the reporting person as soon as practicable after the date of vesting.</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Separation Agreement, the vesting of Restricted Stock Units granted on 03/05/2025 was accelerated such that the Restricted Stock Units that would have vested on 03/05/2026, 03/05/2027, and 03/05/2028, vested as of the Separation Date. Vested shares will be delivered to the reporting person as soon as practicable after the date of vesting.</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Separation Agreement, the vesting of Restricted Stock Units granted on 07/28/2025 was accelerated such that the Restricted Stock Units that would have vested on 08/23/2026, 08/23/2027, 08/23/2028, and 08/23/2029, vested as of the Separation Date. Vested shares will be delivered to the reporting person as soon as practicable after the date of vesting.</w:t>
      </w:r>
    </w:p>
    <w:p>
      <w:pPr>
        <w:sectPr>
          <w:pgSz w:w="11900" w:h="16838" w:orient="portrait"/>
          <w:cols w:equalWidth="0" w:num="1">
            <w:col w:w="11080"/>
          </w:cols>
          <w:pgMar w:left="460" w:top="217" w:right="359" w:bottom="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Carla S. Gatzke</w:t>
            </w:r>
          </w:p>
        </w:tc>
        <w:tc>
          <w:tcPr>
            <w:tcW w:w="11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02/03/2026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998" TargetMode="External"/><Relationship Id="rId14" Type="http://schemas.openxmlformats.org/officeDocument/2006/relationships/hyperlink" Target="http://www.sec.gov/cgi-bin/browse-edgar?action=getcompany&amp;CIK=00009157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2026-02-03T16:01:11Z</dcterms:created>
  <dcterms:modified xsi:type="dcterms:W3CDTF">2026-02-03T16:01:11Z</dcterms:modified>
</cp:coreProperties>
</file>