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290830</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5145405"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77470"/>
                    </a:xfrm>
                    <a:prstGeom prst="rect">
                      <a:avLst/>
                    </a:prstGeom>
                    <a:noFill/>
                  </pic:spPr>
                </pic:pic>
              </a:graphicData>
            </a:graphic>
          </wp:anchor>
        </w:drawing>
        <w:t>UNITED STATES</w:t>
      </w:r>
    </w:p>
    <w:p>
      <w:pPr>
        <w:spacing w:after="0" w:line="258"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FORM 10-Q</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(Mark One)</w:t>
      </w:r>
    </w:p>
    <w:p>
      <w:pPr>
        <w:spacing w:after="0" w:line="254"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x</w:t>
      </w:r>
      <w:r>
        <w:rPr>
          <w:rFonts w:ascii="Arial" w:cs="Arial" w:eastAsia="Arial" w:hAnsi="Arial"/>
          <w:sz w:val="17"/>
          <w:szCs w:val="17"/>
          <w:b w:val="1"/>
          <w:bCs w:val="1"/>
          <w:color w:val="auto"/>
        </w:rPr>
        <w:t>QUARTERLY REPORT PURSUANT TO SECTION 13 OR 15(d) OF THE SECURITIES</w:t>
      </w:r>
    </w:p>
    <w:p>
      <w:pPr>
        <w:spacing w:after="0" w:line="2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EXCHANGE ACT OF 1934</w:t>
      </w:r>
    </w:p>
    <w:p>
      <w:pPr>
        <w:spacing w:after="0" w:line="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 the Quarterly Period Ended November 1, 2008</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6"/>
          <w:szCs w:val="16"/>
          <w:b w:val="1"/>
          <w:bCs w:val="1"/>
          <w:color w:val="auto"/>
        </w:rPr>
        <w:t>oTRANSITION REPORT PURSUANT TO SECTION 13 OR 15(d) OF THE SECURITIES</w:t>
      </w:r>
    </w:p>
    <w:p>
      <w:pPr>
        <w:spacing w:after="0" w:line="4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EXCHANGE ACT OF 1934</w:t>
      </w:r>
    </w:p>
    <w:p>
      <w:pPr>
        <w:spacing w:after="0" w:line="8" w:lineRule="exact"/>
        <w:rPr>
          <w:sz w:val="24"/>
          <w:szCs w:val="24"/>
          <w:color w:val="auto"/>
        </w:rPr>
      </w:pPr>
    </w:p>
    <w:p>
      <w:pPr>
        <w:ind w:left="2440"/>
        <w:spacing w:after="0"/>
        <w:rPr>
          <w:sz w:val="20"/>
          <w:szCs w:val="20"/>
          <w:color w:val="auto"/>
        </w:rPr>
      </w:pPr>
      <w:r>
        <w:rPr>
          <w:rFonts w:ascii="Arial" w:cs="Arial" w:eastAsia="Arial" w:hAnsi="Arial"/>
          <w:sz w:val="18"/>
          <w:szCs w:val="18"/>
          <w:b w:val="1"/>
          <w:bCs w:val="1"/>
          <w:i w:val="1"/>
          <w:iCs w:val="1"/>
          <w:color w:val="auto"/>
        </w:rPr>
        <w:t xml:space="preserve">For the Transition Period From ___ to </w:t>
      </w:r>
      <w:r>
        <w:rPr>
          <w:rFonts w:ascii="Arial" w:cs="Arial" w:eastAsia="Arial" w:hAnsi="Arial"/>
          <w:sz w:val="21"/>
          <w:szCs w:val="21"/>
          <w:color w:val="auto"/>
        </w:rPr>
        <w:t>___</w:t>
      </w:r>
      <w:r>
        <w:rPr>
          <w:rFonts w:ascii="Arial" w:cs="Arial" w:eastAsia="Arial" w:hAnsi="Arial"/>
          <w:sz w:val="18"/>
          <w:szCs w:val="18"/>
          <w:b w:val="1"/>
          <w:bCs w:val="1"/>
          <w:i w:val="1"/>
          <w:i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518795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8795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084" w:right="1440" w:bottom="373" w:gutter="0" w:footer="0" w:header="0"/>
        </w:sectPr>
      </w:pPr>
    </w:p>
    <w:p>
      <w:pPr>
        <w:spacing w:after="0" w:line="240"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South Dakota</w:t>
      </w:r>
    </w:p>
    <w:p>
      <w:pPr>
        <w:spacing w:after="0" w:line="21"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color w:val="auto"/>
        </w:rPr>
        <w:t>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-588645</wp:posOffset>
            </wp:positionH>
            <wp:positionV relativeFrom="paragraph">
              <wp:posOffset>317500</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46-0306862</w:t>
      </w:r>
    </w:p>
    <w:p>
      <w:pPr>
        <w:spacing w:after="0" w:line="21" w:lineRule="exact"/>
        <w:rPr>
          <w:sz w:val="24"/>
          <w:szCs w:val="24"/>
          <w:color w:val="auto"/>
        </w:rPr>
      </w:pPr>
    </w:p>
    <w:p>
      <w:pPr>
        <w:spacing w:after="0"/>
        <w:tabs>
          <w:tab w:leader="none" w:pos="1160" w:val="left"/>
        </w:tabs>
        <w:rPr>
          <w:sz w:val="20"/>
          <w:szCs w:val="20"/>
          <w:color w:val="auto"/>
        </w:rPr>
      </w:pPr>
      <w:r>
        <w:rPr>
          <w:rFonts w:ascii="Arial" w:cs="Arial" w:eastAsia="Arial" w:hAnsi="Arial"/>
          <w:sz w:val="16"/>
          <w:szCs w:val="16"/>
          <w:color w:val="auto"/>
        </w:rPr>
        <w:t>(I.R.S.</w:t>
      </w:r>
      <w:r>
        <w:rPr>
          <w:sz w:val="20"/>
          <w:szCs w:val="20"/>
          <w:color w:val="auto"/>
        </w:rPr>
        <w:tab/>
      </w:r>
      <w:r>
        <w:rPr>
          <w:rFonts w:ascii="Arial" w:cs="Arial" w:eastAsia="Arial" w:hAnsi="Arial"/>
          <w:sz w:val="16"/>
          <w:szCs w:val="16"/>
          <w:color w:val="auto"/>
        </w:rPr>
        <w:t>Employer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Identification Number)</w:t>
      </w:r>
    </w:p>
    <w:p>
      <w:pPr>
        <w:spacing w:after="0" w:line="200" w:lineRule="exact"/>
        <w:rPr>
          <w:sz w:val="24"/>
          <w:szCs w:val="24"/>
          <w:color w:val="auto"/>
        </w:rPr>
      </w:pPr>
    </w:p>
    <w:p>
      <w:pPr>
        <w:sectPr>
          <w:pgSz w:w="11900" w:h="16838" w:orient="portrait"/>
          <w:cols w:equalWidth="0" w:num="3">
            <w:col w:w="3760" w:space="120"/>
            <w:col w:w="140" w:space="580"/>
            <w:col w:w="5619"/>
          </w:cols>
          <w:pgMar w:left="240" w:top="1084" w:right="1440" w:bottom="373"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1340" w:type="dxa"/>
        <w:tblCellMar>
          <w:top w:w="0" w:type="dxa"/>
          <w:left w:w="0" w:type="dxa"/>
          <w:bottom w:w="0" w:type="dxa"/>
          <w:right w:w="0" w:type="dxa"/>
        </w:tblCellMar>
      </w:tblPr>
      <w:tr>
        <w:trPr>
          <w:trHeight w:val="228"/>
        </w:trPr>
        <w:tc>
          <w:tcPr>
            <w:tcW w:w="3100" w:type="dxa"/>
            <w:vAlign w:val="bottom"/>
          </w:tcPr>
          <w:p>
            <w:pPr>
              <w:ind w:left="880"/>
              <w:spacing w:after="0"/>
              <w:rPr>
                <w:sz w:val="20"/>
                <w:szCs w:val="20"/>
                <w:color w:val="auto"/>
              </w:rPr>
            </w:pPr>
            <w:r>
              <w:rPr>
                <w:rFonts w:ascii="Arial" w:cs="Arial" w:eastAsia="Arial" w:hAnsi="Arial"/>
                <w:sz w:val="18"/>
                <w:szCs w:val="18"/>
                <w:b w:val="1"/>
                <w:bCs w:val="1"/>
                <w:color w:val="auto"/>
              </w:rPr>
              <w:t>201 Daktronics Drive</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0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Brookings, SD</w:t>
            </w:r>
          </w:p>
        </w:tc>
        <w:tc>
          <w:tcPr>
            <w:tcW w:w="1100" w:type="dxa"/>
            <w:vAlign w:val="bottom"/>
          </w:tcPr>
          <w:p>
            <w:pPr>
              <w:jc w:val="right"/>
              <w:ind w:right="132"/>
              <w:spacing w:after="0"/>
              <w:rPr>
                <w:sz w:val="20"/>
                <w:szCs w:val="20"/>
                <w:color w:val="auto"/>
              </w:rPr>
            </w:pPr>
            <w:r>
              <w:rPr>
                <w:rFonts w:ascii="Arial" w:cs="Arial" w:eastAsia="Arial" w:hAnsi="Arial"/>
                <w:sz w:val="18"/>
                <w:szCs w:val="18"/>
                <w:b w:val="1"/>
                <w:bCs w:val="1"/>
                <w:color w:val="auto"/>
              </w:rPr>
              <w:t>57006</w:t>
            </w: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w w:val="99"/>
              </w:rPr>
              <w:t>(Address of principal executive offices)</w:t>
            </w:r>
          </w:p>
        </w:tc>
        <w:tc>
          <w:tcPr>
            <w:tcW w:w="1100" w:type="dxa"/>
            <w:vAlign w:val="bottom"/>
          </w:tcPr>
          <w:p>
            <w:pPr>
              <w:jc w:val="right"/>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ind w:right="1679"/>
        <w:spacing w:after="0"/>
        <w:rPr>
          <w:sz w:val="20"/>
          <w:szCs w:val="20"/>
          <w:color w:val="auto"/>
        </w:rPr>
      </w:pPr>
      <w:r>
        <w:rPr>
          <w:rFonts w:ascii="Arial" w:cs="Arial" w:eastAsia="Arial" w:hAnsi="Arial"/>
          <w:sz w:val="18"/>
          <w:szCs w:val="18"/>
          <w:b w:val="1"/>
          <w:bCs w:val="1"/>
          <w:color w:val="auto"/>
        </w:rPr>
        <w:t>(605) 692-0200</w:t>
      </w:r>
    </w:p>
    <w:p>
      <w:pPr>
        <w:spacing w:after="0" w:line="21" w:lineRule="exact"/>
        <w:rPr>
          <w:sz w:val="24"/>
          <w:szCs w:val="24"/>
          <w:color w:val="auto"/>
        </w:rPr>
      </w:pPr>
    </w:p>
    <w:p>
      <w:pPr>
        <w:jc w:val="center"/>
        <w:ind w:right="1679"/>
        <w:spacing w:after="0"/>
        <w:rPr>
          <w:sz w:val="20"/>
          <w:szCs w:val="20"/>
          <w:color w:val="auto"/>
        </w:rPr>
      </w:pPr>
      <w:r>
        <w:rPr>
          <w:rFonts w:ascii="Arial" w:cs="Arial" w:eastAsia="Arial" w:hAnsi="Arial"/>
          <w:sz w:val="18"/>
          <w:szCs w:val="18"/>
          <w:color w:val="auto"/>
        </w:rPr>
        <w:t>(Registrant’s telephone number, including area code)</w:t>
      </w:r>
    </w:p>
    <w:p>
      <w:pPr>
        <w:spacing w:after="0" w:line="246" w:lineRule="exact"/>
        <w:rPr>
          <w:sz w:val="24"/>
          <w:szCs w:val="24"/>
          <w:color w:val="auto"/>
        </w:rPr>
      </w:pPr>
    </w:p>
    <w:p>
      <w:pPr>
        <w:jc w:val="both"/>
        <w:ind w:right="2119"/>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224" w:lineRule="exact"/>
        <w:rPr>
          <w:sz w:val="24"/>
          <w:szCs w:val="24"/>
          <w:color w:val="auto"/>
        </w:rPr>
      </w:pPr>
    </w:p>
    <w:p>
      <w:pPr>
        <w:jc w:val="both"/>
        <w:ind w:right="2119"/>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Large accelerated filer [ ]</w:t>
            </w:r>
          </w:p>
        </w:tc>
        <w:tc>
          <w:tcPr>
            <w:tcW w:w="2400" w:type="dxa"/>
            <w:vAlign w:val="bottom"/>
          </w:tcPr>
          <w:p>
            <w:pPr>
              <w:ind w:left="580"/>
              <w:spacing w:after="0"/>
              <w:rPr>
                <w:sz w:val="20"/>
                <w:szCs w:val="20"/>
                <w:color w:val="auto"/>
              </w:rPr>
            </w:pPr>
            <w:r>
              <w:rPr>
                <w:rFonts w:ascii="Arial" w:cs="Arial" w:eastAsia="Arial" w:hAnsi="Arial"/>
                <w:sz w:val="18"/>
                <w:szCs w:val="18"/>
                <w:color w:val="auto"/>
              </w:rPr>
              <w:t>Accelerated filer [ X ]</w:t>
            </w:r>
          </w:p>
        </w:tc>
      </w:tr>
      <w:tr>
        <w:trPr>
          <w:trHeight w:val="275"/>
        </w:trPr>
        <w:tc>
          <w:tcPr>
            <w:tcW w:w="5260" w:type="dxa"/>
            <w:vAlign w:val="bottom"/>
          </w:tcPr>
          <w:p>
            <w:pPr>
              <w:spacing w:after="0"/>
              <w:rPr>
                <w:sz w:val="20"/>
                <w:szCs w:val="20"/>
                <w:color w:val="auto"/>
              </w:rPr>
            </w:pPr>
            <w:r>
              <w:rPr>
                <w:rFonts w:ascii="Arial" w:cs="Arial" w:eastAsia="Arial" w:hAnsi="Arial"/>
                <w:sz w:val="18"/>
                <w:szCs w:val="18"/>
                <w:color w:val="auto"/>
                <w:w w:val="94"/>
              </w:rPr>
              <w:t xml:space="preserve">Non-accelerated filer </w:t>
            </w:r>
            <w:r>
              <w:rPr>
                <w:rFonts w:ascii="Arial" w:cs="Arial" w:eastAsia="Arial" w:hAnsi="Arial"/>
                <w:sz w:val="21"/>
                <w:szCs w:val="21"/>
                <w:color w:val="auto"/>
                <w:w w:val="94"/>
              </w:rPr>
              <w:t>[ ]</w:t>
            </w:r>
            <w:r>
              <w:rPr>
                <w:rFonts w:ascii="Arial" w:cs="Arial" w:eastAsia="Arial" w:hAnsi="Arial"/>
                <w:sz w:val="18"/>
                <w:szCs w:val="18"/>
                <w:color w:val="auto"/>
                <w:w w:val="94"/>
              </w:rPr>
              <w:t xml:space="preserve"> (Do not check if a smaller reporting company)</w:t>
            </w:r>
          </w:p>
        </w:tc>
        <w:tc>
          <w:tcPr>
            <w:tcW w:w="2400" w:type="dxa"/>
            <w:vAlign w:val="bottom"/>
          </w:tcPr>
          <w:p>
            <w:pPr>
              <w:ind w:left="220"/>
              <w:spacing w:after="0"/>
              <w:rPr>
                <w:sz w:val="20"/>
                <w:szCs w:val="20"/>
                <w:color w:val="auto"/>
              </w:rPr>
            </w:pPr>
            <w:r>
              <w:rPr>
                <w:rFonts w:ascii="Arial" w:cs="Arial" w:eastAsia="Arial" w:hAnsi="Arial"/>
                <w:sz w:val="18"/>
                <w:szCs w:val="18"/>
                <w:color w:val="auto"/>
                <w:w w:val="90"/>
              </w:rPr>
              <w:t xml:space="preserve">Smaller reporting company </w:t>
            </w:r>
            <w:r>
              <w:rPr>
                <w:rFonts w:ascii="Arial" w:cs="Arial" w:eastAsia="Arial" w:hAnsi="Arial"/>
                <w:sz w:val="21"/>
                <w:szCs w:val="21"/>
                <w:color w:val="auto"/>
                <w:w w:val="90"/>
              </w:rPr>
              <w:t>[ ]</w:t>
            </w:r>
          </w:p>
        </w:tc>
      </w:tr>
    </w:tbl>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Yes [ ] No [ X ]</w:t>
      </w:r>
    </w:p>
    <w:p>
      <w:pPr>
        <w:spacing w:after="0" w:line="240" w:lineRule="exact"/>
        <w:rPr>
          <w:sz w:val="24"/>
          <w:szCs w:val="24"/>
          <w:color w:val="auto"/>
        </w:rPr>
      </w:pPr>
    </w:p>
    <w:p>
      <w:pPr>
        <w:ind w:right="2119"/>
        <w:spacing w:after="0" w:line="275" w:lineRule="auto"/>
        <w:rPr>
          <w:sz w:val="20"/>
          <w:szCs w:val="20"/>
          <w:color w:val="auto"/>
        </w:rPr>
      </w:pPr>
      <w:r>
        <w:rPr>
          <w:rFonts w:ascii="Arial" w:cs="Arial" w:eastAsia="Arial" w:hAnsi="Arial"/>
          <w:sz w:val="18"/>
          <w:szCs w:val="18"/>
          <w:b w:val="1"/>
          <w:bCs w:val="1"/>
          <w:color w:val="auto"/>
        </w:rPr>
        <w:t>The number of shares of the registrant’s common stock outstanding as of November 24, 2008 was 40,647,716.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51708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084" w:right="1440" w:bottom="373" w:gutter="0" w:footer="0" w:header="0"/>
          <w:type w:val="continuous"/>
        </w:sectPr>
      </w:pPr>
    </w:p>
    <w:bookmarkStart w:id="1" w:name="page2"/>
    <w:bookmarkEnd w:id="1"/>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For the Quarter Ended November 1, 2008</w:t>
      </w:r>
    </w:p>
    <w:p>
      <w:pPr>
        <w:spacing w:after="0" w:line="24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jc w:val="right"/>
        <w:ind w:right="2239"/>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w:t>
      </w:r>
      <w:r>
        <w:rPr>
          <w:rFonts w:ascii="Arial" w:cs="Arial" w:eastAsia="Arial" w:hAnsi="Arial"/>
          <w:sz w:val="18"/>
          <w:szCs w:val="18"/>
          <w:b w:val="1"/>
          <w:bCs w:val="1"/>
          <w:color w:val="auto"/>
        </w:rPr>
        <w:t>. FINANCIAL INFORMATION&gt;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6" w:lineRule="exact"/>
        <w:rPr>
          <w:sz w:val="20"/>
          <w:szCs w:val="20"/>
          <w:color w:val="auto"/>
        </w:rPr>
      </w:pPr>
    </w:p>
    <w:p>
      <w:pPr>
        <w:ind w:left="760"/>
        <w:spacing w:after="0"/>
        <w:tabs>
          <w:tab w:leader="none" w:pos="7600" w:val="left"/>
        </w:tabs>
        <w:rPr>
          <w:sz w:val="20"/>
          <w:szCs w:val="20"/>
          <w:color w:val="auto"/>
        </w:rPr>
      </w:pPr>
      <w:r>
        <w:rPr>
          <w:rFonts w:ascii="Arial" w:cs="Arial" w:eastAsia="Arial" w:hAnsi="Arial"/>
          <w:sz w:val="16"/>
          <w:szCs w:val="16"/>
          <w:color w:val="auto"/>
        </w:rPr>
        <w:t>CONSOLIDATED BALANCE SHEETS AS OF NOVEMBER 1, 2008 AND APRIL 26, 2008</w:t>
        <w:tab/>
        <w:t>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6700" w:type="dxa"/>
            <w:vAlign w:val="bottom"/>
            <w:gridSpan w:val="2"/>
          </w:tcPr>
          <w:p>
            <w:pPr>
              <w:ind w:left="60"/>
              <w:spacing w:after="0"/>
              <w:rPr>
                <w:sz w:val="20"/>
                <w:szCs w:val="20"/>
                <w:color w:val="auto"/>
              </w:rPr>
            </w:pPr>
            <w:r>
              <w:rPr>
                <w:rFonts w:ascii="Arial" w:cs="Arial" w:eastAsia="Arial" w:hAnsi="Arial"/>
                <w:sz w:val="18"/>
                <w:szCs w:val="18"/>
                <w:color w:val="auto"/>
              </w:rPr>
              <w:t>CONSOLIDATED STATEMENTS OF INCOME FOR THE SIX MONTHS</w:t>
            </w:r>
          </w:p>
        </w:tc>
        <w:tc>
          <w:tcPr>
            <w:tcW w:w="400" w:type="dxa"/>
            <w:vAlign w:val="bottom"/>
          </w:tcPr>
          <w:p>
            <w:pPr>
              <w:spacing w:after="0"/>
              <w:rPr>
                <w:sz w:val="19"/>
                <w:szCs w:val="19"/>
                <w:color w:val="auto"/>
              </w:rPr>
            </w:pPr>
          </w:p>
        </w:tc>
      </w:tr>
      <w:tr>
        <w:trPr>
          <w:trHeight w:val="243"/>
        </w:trPr>
        <w:tc>
          <w:tcPr>
            <w:tcW w:w="700" w:type="dxa"/>
            <w:vAlign w:val="bottom"/>
          </w:tcPr>
          <w:p>
            <w:pPr>
              <w:spacing w:after="0"/>
              <w:rPr>
                <w:sz w:val="21"/>
                <w:szCs w:val="21"/>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ENDED NOVEMBER 1, 2008 AND OCTOBER 27, 2007</w:t>
            </w:r>
          </w:p>
        </w:tc>
        <w:tc>
          <w:tcPr>
            <w:tcW w:w="400" w:type="dxa"/>
            <w:vAlign w:val="bottom"/>
          </w:tcPr>
          <w:p>
            <w:pPr>
              <w:ind w:left="220"/>
              <w:spacing w:after="0"/>
              <w:rPr>
                <w:sz w:val="20"/>
                <w:szCs w:val="20"/>
                <w:color w:val="auto"/>
              </w:rPr>
            </w:pPr>
            <w:r>
              <w:rPr>
                <w:rFonts w:ascii="Arial" w:cs="Arial" w:eastAsia="Arial" w:hAnsi="Arial"/>
                <w:sz w:val="18"/>
                <w:szCs w:val="18"/>
                <w:color w:val="auto"/>
              </w:rPr>
              <w:t>4</w:t>
            </w:r>
          </w:p>
        </w:tc>
      </w:tr>
      <w:tr>
        <w:trPr>
          <w:trHeight w:val="243"/>
        </w:trPr>
        <w:tc>
          <w:tcPr>
            <w:tcW w:w="700" w:type="dxa"/>
            <w:vAlign w:val="bottom"/>
          </w:tcPr>
          <w:p>
            <w:pPr>
              <w:spacing w:after="0"/>
              <w:rPr>
                <w:sz w:val="21"/>
                <w:szCs w:val="21"/>
                <w:color w:val="auto"/>
              </w:rPr>
            </w:pPr>
          </w:p>
        </w:tc>
        <w:tc>
          <w:tcPr>
            <w:tcW w:w="6700" w:type="dxa"/>
            <w:vAlign w:val="bottom"/>
            <w:gridSpan w:val="2"/>
          </w:tcPr>
          <w:p>
            <w:pPr>
              <w:ind w:left="60"/>
              <w:spacing w:after="0"/>
              <w:rPr>
                <w:sz w:val="20"/>
                <w:szCs w:val="20"/>
                <w:color w:val="auto"/>
              </w:rPr>
            </w:pPr>
            <w:r>
              <w:rPr>
                <w:rFonts w:ascii="Arial" w:cs="Arial" w:eastAsia="Arial" w:hAnsi="Arial"/>
                <w:sz w:val="18"/>
                <w:szCs w:val="18"/>
                <w:color w:val="auto"/>
              </w:rPr>
              <w:t>CONSOLIDATED STATEMENTS OF CASH FLOWS FOR THE SIX MONTHS</w:t>
            </w:r>
          </w:p>
        </w:tc>
        <w:tc>
          <w:tcPr>
            <w:tcW w:w="400" w:type="dxa"/>
            <w:vAlign w:val="bottom"/>
          </w:tcPr>
          <w:p>
            <w:pPr>
              <w:spacing w:after="0"/>
              <w:rPr>
                <w:sz w:val="21"/>
                <w:szCs w:val="21"/>
                <w:color w:val="auto"/>
              </w:rPr>
            </w:pPr>
          </w:p>
        </w:tc>
      </w:tr>
      <w:tr>
        <w:trPr>
          <w:trHeight w:val="243"/>
        </w:trPr>
        <w:tc>
          <w:tcPr>
            <w:tcW w:w="700" w:type="dxa"/>
            <w:vAlign w:val="bottom"/>
          </w:tcPr>
          <w:p>
            <w:pPr>
              <w:spacing w:after="0"/>
              <w:rPr>
                <w:sz w:val="21"/>
                <w:szCs w:val="21"/>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ENDED NOVEMBER 1, 2008 AND OCTOBER 27, 2007</w:t>
            </w:r>
          </w:p>
        </w:tc>
        <w:tc>
          <w:tcPr>
            <w:tcW w:w="400" w:type="dxa"/>
            <w:vAlign w:val="bottom"/>
          </w:tcPr>
          <w:p>
            <w:pPr>
              <w:ind w:left="220"/>
              <w:spacing w:after="0"/>
              <w:rPr>
                <w:sz w:val="20"/>
                <w:szCs w:val="20"/>
                <w:color w:val="auto"/>
              </w:rPr>
            </w:pPr>
            <w:r>
              <w:rPr>
                <w:rFonts w:ascii="Arial" w:cs="Arial" w:eastAsia="Arial" w:hAnsi="Arial"/>
                <w:sz w:val="18"/>
                <w:szCs w:val="18"/>
                <w:color w:val="auto"/>
              </w:rPr>
              <w:t>5</w:t>
            </w:r>
          </w:p>
        </w:tc>
      </w:tr>
      <w:tr>
        <w:trPr>
          <w:trHeight w:val="243"/>
        </w:trPr>
        <w:tc>
          <w:tcPr>
            <w:tcW w:w="700" w:type="dxa"/>
            <w:vAlign w:val="bottom"/>
          </w:tcPr>
          <w:p>
            <w:pPr>
              <w:spacing w:after="0"/>
              <w:rPr>
                <w:sz w:val="21"/>
                <w:szCs w:val="21"/>
                <w:color w:val="auto"/>
              </w:rPr>
            </w:pPr>
          </w:p>
        </w:tc>
        <w:tc>
          <w:tcPr>
            <w:tcW w:w="6700" w:type="dxa"/>
            <w:vAlign w:val="bottom"/>
            <w:gridSpan w:val="2"/>
          </w:tcPr>
          <w:p>
            <w:pPr>
              <w:ind w:left="60"/>
              <w:spacing w:after="0"/>
              <w:rPr>
                <w:sz w:val="20"/>
                <w:szCs w:val="20"/>
                <w:color w:val="auto"/>
              </w:rPr>
            </w:pPr>
            <w:r>
              <w:rPr>
                <w:rFonts w:ascii="Arial" w:cs="Arial" w:eastAsia="Arial" w:hAnsi="Arial"/>
                <w:sz w:val="18"/>
                <w:szCs w:val="18"/>
                <w:color w:val="auto"/>
              </w:rPr>
              <w:t>NOTES TO THE CONSOLIDATED FINANCIAL STATEMENTS</w:t>
            </w:r>
          </w:p>
        </w:tc>
        <w:tc>
          <w:tcPr>
            <w:tcW w:w="400" w:type="dxa"/>
            <w:vAlign w:val="bottom"/>
          </w:tcPr>
          <w:p>
            <w:pPr>
              <w:ind w:left="220"/>
              <w:spacing w:after="0"/>
              <w:rPr>
                <w:sz w:val="20"/>
                <w:szCs w:val="20"/>
                <w:color w:val="auto"/>
              </w:rPr>
            </w:pPr>
            <w:r>
              <w:rPr>
                <w:rFonts w:ascii="Arial" w:cs="Arial" w:eastAsia="Arial" w:hAnsi="Arial"/>
                <w:sz w:val="18"/>
                <w:szCs w:val="18"/>
                <w:color w:val="auto"/>
              </w:rPr>
              <w:t>6</w:t>
            </w:r>
          </w:p>
        </w:tc>
      </w:tr>
      <w:tr>
        <w:trPr>
          <w:trHeight w:val="486"/>
        </w:trPr>
        <w:tc>
          <w:tcPr>
            <w:tcW w:w="7400" w:type="dxa"/>
            <w:vAlign w:val="bottom"/>
            <w:gridSpan w:val="3"/>
          </w:tcPr>
          <w:p>
            <w:pPr>
              <w:spacing w:after="0"/>
              <w:rPr>
                <w:sz w:val="20"/>
                <w:szCs w:val="20"/>
                <w:color w:val="auto"/>
              </w:rPr>
            </w:pPr>
            <w:r>
              <w:rPr>
                <w:rFonts w:ascii="Arial" w:cs="Arial" w:eastAsia="Arial" w:hAnsi="Arial"/>
                <w:sz w:val="18"/>
                <w:szCs w:val="18"/>
                <w:color w:val="auto"/>
                <w:w w:val="99"/>
              </w:rPr>
              <w:t>ITEM 2. MANAGEMENT’S DISCUSSION AND ANALYSIS OF FINANCIAL CONDITION AND</w:t>
            </w:r>
          </w:p>
        </w:tc>
        <w:tc>
          <w:tcPr>
            <w:tcW w:w="400" w:type="dxa"/>
            <w:vAlign w:val="bottom"/>
          </w:tcPr>
          <w:p>
            <w:pPr>
              <w:spacing w:after="0"/>
              <w:rPr>
                <w:sz w:val="24"/>
                <w:szCs w:val="24"/>
                <w:color w:val="auto"/>
              </w:rPr>
            </w:pPr>
          </w:p>
        </w:tc>
      </w:tr>
      <w:tr>
        <w:trPr>
          <w:trHeight w:val="237"/>
        </w:trPr>
        <w:tc>
          <w:tcPr>
            <w:tcW w:w="700" w:type="dxa"/>
            <w:vAlign w:val="bottom"/>
          </w:tcPr>
          <w:p>
            <w:pPr>
              <w:spacing w:after="0"/>
              <w:rPr>
                <w:sz w:val="20"/>
                <w:szCs w:val="20"/>
                <w:color w:val="auto"/>
              </w:rPr>
            </w:pPr>
          </w:p>
        </w:tc>
        <w:tc>
          <w:tcPr>
            <w:tcW w:w="6700" w:type="dxa"/>
            <w:vAlign w:val="bottom"/>
            <w:gridSpan w:val="2"/>
          </w:tcPr>
          <w:p>
            <w:pPr>
              <w:ind w:left="60"/>
              <w:spacing w:after="0"/>
              <w:rPr>
                <w:sz w:val="20"/>
                <w:szCs w:val="20"/>
                <w:color w:val="auto"/>
              </w:rPr>
            </w:pPr>
            <w:r>
              <w:rPr>
                <w:rFonts w:ascii="Arial" w:cs="Arial" w:eastAsia="Arial" w:hAnsi="Arial"/>
                <w:sz w:val="18"/>
                <w:szCs w:val="18"/>
                <w:color w:val="auto"/>
              </w:rPr>
              <w:t>RESULTS OF OPERATIONS</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15</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25</w:t>
            </w: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ITEM 4. CONTROLS AND PROCEDURES</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26</w:t>
            </w:r>
          </w:p>
        </w:tc>
      </w:tr>
      <w:tr>
        <w:trPr>
          <w:trHeight w:val="448"/>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PART II.OTHER INFORMATION</w:t>
            </w:r>
          </w:p>
        </w:tc>
        <w:tc>
          <w:tcPr>
            <w:tcW w:w="40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8"/>
        </w:trPr>
        <w:tc>
          <w:tcPr>
            <w:tcW w:w="7400" w:type="dxa"/>
            <w:vAlign w:val="bottom"/>
            <w:gridSpan w:val="3"/>
          </w:tcPr>
          <w:p>
            <w:pPr>
              <w:spacing w:after="0"/>
              <w:rPr>
                <w:sz w:val="20"/>
                <w:szCs w:val="20"/>
                <w:color w:val="auto"/>
              </w:rPr>
            </w:pPr>
            <w:r>
              <w:rPr>
                <w:rFonts w:ascii="Arial" w:cs="Arial" w:eastAsia="Arial" w:hAnsi="Arial"/>
                <w:sz w:val="18"/>
                <w:szCs w:val="18"/>
                <w:color w:val="auto"/>
              </w:rPr>
              <w:t>ITEM 1. LEGAL PROCEEDINGS</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26</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ITEM 1A. RISK FACTORS</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27</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28</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ITEM 3. DEFAULTS UPON SENIOR SECURITIES</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28</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ITEM 4. SUBMISSION OF MATTERS TO A VOTE OF SECURITY HOLDERS</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28</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ITEM 5. OTHER INFORMATION</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28</w:t>
            </w: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ITEM 6. EXHIBITS</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28</w:t>
            </w:r>
          </w:p>
        </w:tc>
      </w:tr>
      <w:tr>
        <w:trPr>
          <w:trHeight w:val="421"/>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SIGNATURE</w:t>
            </w:r>
          </w:p>
        </w:tc>
        <w:tc>
          <w:tcPr>
            <w:tcW w:w="636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79"/>
              </w:rPr>
              <w:t>29</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85" w:lineRule="exact"/>
        <w:rPr>
          <w:sz w:val="20"/>
          <w:szCs w:val="20"/>
          <w:color w:val="auto"/>
        </w:rPr>
      </w:pPr>
    </w:p>
    <w:p>
      <w:pPr>
        <w:jc w:val="both"/>
        <w:ind w:left="680" w:right="2899" w:hanging="998"/>
        <w:spacing w:after="0" w:line="281" w:lineRule="auto"/>
        <w:tabs>
          <w:tab w:leader="none" w:pos="660" w:val="left"/>
        </w:tabs>
        <w:rPr>
          <w:sz w:val="20"/>
          <w:szCs w:val="20"/>
          <w:color w:val="auto"/>
        </w:rPr>
      </w:pPr>
      <w:r>
        <w:rPr>
          <w:rFonts w:ascii="Arial" w:cs="Arial" w:eastAsia="Arial" w:hAnsi="Arial"/>
          <w:sz w:val="18"/>
          <w:szCs w:val="18"/>
          <w:color w:val="auto"/>
        </w:rPr>
        <w:t>Ex.</w:t>
        <w:tab/>
        <w:t>31.1 CERTIFICATION OF THE CHIEF EXECUTIVE OFFICER REQUIRED BY RULE 13a-14(a) OR RULE 15d-14(a) OF THE SECURITIES EXCHANGE ACT OF 1934, AS ADOPTED PURSUANT TO SECTION 302 OF THE SARBANES-OXLEY ACT OF 2002</w:t>
      </w:r>
    </w:p>
    <w:p>
      <w:pPr>
        <w:spacing w:after="0" w:line="3" w:lineRule="exact"/>
        <w:rPr>
          <w:sz w:val="20"/>
          <w:szCs w:val="20"/>
          <w:color w:val="auto"/>
        </w:rPr>
      </w:pPr>
    </w:p>
    <w:p>
      <w:pPr>
        <w:jc w:val="both"/>
        <w:ind w:left="680" w:right="2899" w:hanging="998"/>
        <w:spacing w:after="0" w:line="281" w:lineRule="auto"/>
        <w:tabs>
          <w:tab w:leader="none" w:pos="660" w:val="left"/>
        </w:tabs>
        <w:rPr>
          <w:sz w:val="20"/>
          <w:szCs w:val="20"/>
          <w:color w:val="auto"/>
        </w:rPr>
      </w:pPr>
      <w:r>
        <w:rPr>
          <w:rFonts w:ascii="Arial" w:cs="Arial" w:eastAsia="Arial" w:hAnsi="Arial"/>
          <w:sz w:val="18"/>
          <w:szCs w:val="18"/>
          <w:color w:val="auto"/>
        </w:rPr>
        <w:t>Ex.</w:t>
        <w:tab/>
        <w:t>31.2 CERTIFICATION OF THE CHIEF FINANCIAL OFFICER REQUIRED BY RULE 13a-14(a) OR RULE 15d-14(a) OF THE SECURITIES EXCHANGE ACT OF 1934, AS ADOPTED PURSUANT TO SECTION 302 OF THE SARBANES-OXLEY ACT OF 2002</w:t>
      </w:r>
    </w:p>
    <w:p>
      <w:pPr>
        <w:spacing w:after="0" w:line="3" w:lineRule="exact"/>
        <w:rPr>
          <w:sz w:val="20"/>
          <w:szCs w:val="20"/>
          <w:color w:val="auto"/>
        </w:rPr>
      </w:pPr>
    </w:p>
    <w:p>
      <w:pPr>
        <w:ind w:left="680" w:right="3039" w:hanging="998"/>
        <w:spacing w:after="0" w:line="281" w:lineRule="auto"/>
        <w:tabs>
          <w:tab w:leader="none" w:pos="660" w:val="left"/>
        </w:tabs>
        <w:rPr>
          <w:sz w:val="20"/>
          <w:szCs w:val="20"/>
          <w:color w:val="auto"/>
        </w:rPr>
      </w:pPr>
      <w:r>
        <w:rPr>
          <w:rFonts w:ascii="Arial" w:cs="Arial" w:eastAsia="Arial" w:hAnsi="Arial"/>
          <w:sz w:val="18"/>
          <w:szCs w:val="18"/>
          <w:color w:val="auto"/>
        </w:rPr>
        <w:t>Ex.</w:t>
        <w:tab/>
        <w:t>32.1 CERTIFICATION OF THE CHIEF EXECUTIVE OFFICER PURSUANT TO SECTION 906 OF THE SARBANES-OXLEY ACT OF 2002 (18 U.S.C. SECTION 1350)</w:t>
      </w:r>
    </w:p>
    <w:p>
      <w:pPr>
        <w:spacing w:after="0" w:line="2" w:lineRule="exact"/>
        <w:rPr>
          <w:sz w:val="20"/>
          <w:szCs w:val="20"/>
          <w:color w:val="auto"/>
        </w:rPr>
      </w:pPr>
    </w:p>
    <w:p>
      <w:pPr>
        <w:ind w:left="680" w:right="3039" w:hanging="998"/>
        <w:spacing w:after="0" w:line="290" w:lineRule="auto"/>
        <w:tabs>
          <w:tab w:leader="none" w:pos="660" w:val="left"/>
        </w:tabs>
        <w:rPr>
          <w:sz w:val="20"/>
          <w:szCs w:val="20"/>
          <w:color w:val="auto"/>
        </w:rPr>
      </w:pPr>
      <w:r>
        <w:rPr>
          <w:rFonts w:ascii="Arial" w:cs="Arial" w:eastAsia="Arial" w:hAnsi="Arial"/>
          <w:sz w:val="18"/>
          <w:szCs w:val="18"/>
          <w:color w:val="auto"/>
        </w:rPr>
        <w:t>Ex.</w:t>
        <w:tab/>
        <w:t>32.2 CERTIFICATION OF THE CHIEF FINANCIAL OFFICER PURSUANT TO SECTION 906 OF THE SARBANES-OXLEY ACT OF 2002 (18 U.S.C. SECTION 1350)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420" w:type="dxa"/>
            <w:vAlign w:val="bottom"/>
          </w:tcPr>
          <w:p>
            <w:pPr>
              <w:spacing w:after="0"/>
              <w:rPr>
                <w:sz w:val="19"/>
                <w:szCs w:val="19"/>
                <w:color w:val="auto"/>
              </w:rPr>
            </w:pPr>
          </w:p>
        </w:tc>
      </w:tr>
      <w:tr>
        <w:trPr>
          <w:trHeight w:val="459"/>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420" w:type="dxa"/>
            <w:vAlign w:val="bottom"/>
          </w:tcPr>
          <w:p>
            <w:pPr>
              <w:spacing w:after="0"/>
              <w:rPr>
                <w:sz w:val="24"/>
                <w:szCs w:val="24"/>
                <w:color w:val="auto"/>
              </w:rPr>
            </w:pPr>
          </w:p>
        </w:tc>
      </w:tr>
      <w:tr>
        <w:trPr>
          <w:trHeight w:val="447"/>
        </w:trPr>
        <w:tc>
          <w:tcPr>
            <w:tcW w:w="6740" w:type="dxa"/>
            <w:vAlign w:val="bottom"/>
            <w:gridSpan w:val="3"/>
          </w:tcPr>
          <w:p>
            <w:pPr>
              <w:jc w:val="center"/>
              <w:ind w:left="1292"/>
              <w:spacing w:after="0"/>
              <w:rPr>
                <w:sz w:val="20"/>
                <w:szCs w:val="20"/>
                <w:color w:val="auto"/>
              </w:rPr>
            </w:pPr>
            <w:r>
              <w:rPr>
                <w:rFonts w:ascii="Arial" w:cs="Arial" w:eastAsia="Arial" w:hAnsi="Arial"/>
                <w:sz w:val="18"/>
                <w:szCs w:val="18"/>
                <w:b w:val="1"/>
                <w:bCs w:val="1"/>
                <w:color w:val="auto"/>
                <w:w w:val="97"/>
              </w:rPr>
              <w:t>DAKTRONICS, INC. AND SUBSIDIARIES</w:t>
            </w:r>
          </w:p>
        </w:tc>
        <w:tc>
          <w:tcPr>
            <w:tcW w:w="1420" w:type="dxa"/>
            <w:vAlign w:val="bottom"/>
          </w:tcPr>
          <w:p>
            <w:pPr>
              <w:spacing w:after="0"/>
              <w:rPr>
                <w:sz w:val="24"/>
                <w:szCs w:val="24"/>
                <w:color w:val="auto"/>
              </w:rPr>
            </w:pPr>
          </w:p>
        </w:tc>
      </w:tr>
      <w:tr>
        <w:trPr>
          <w:trHeight w:val="222"/>
        </w:trPr>
        <w:tc>
          <w:tcPr>
            <w:tcW w:w="6740" w:type="dxa"/>
            <w:vAlign w:val="bottom"/>
            <w:gridSpan w:val="3"/>
          </w:tcPr>
          <w:p>
            <w:pPr>
              <w:jc w:val="center"/>
              <w:ind w:left="1292"/>
              <w:spacing w:after="0"/>
              <w:rPr>
                <w:sz w:val="20"/>
                <w:szCs w:val="20"/>
                <w:color w:val="auto"/>
              </w:rPr>
            </w:pPr>
            <w:r>
              <w:rPr>
                <w:rFonts w:ascii="Arial" w:cs="Arial" w:eastAsia="Arial" w:hAnsi="Arial"/>
                <w:sz w:val="18"/>
                <w:szCs w:val="18"/>
                <w:b w:val="1"/>
                <w:bCs w:val="1"/>
                <w:color w:val="auto"/>
                <w:w w:val="96"/>
              </w:rPr>
              <w:t>CONSOLIDATED BALANCE SHEETS</w:t>
            </w:r>
          </w:p>
        </w:tc>
        <w:tc>
          <w:tcPr>
            <w:tcW w:w="1420" w:type="dxa"/>
            <w:vAlign w:val="bottom"/>
          </w:tcPr>
          <w:p>
            <w:pPr>
              <w:spacing w:after="0"/>
              <w:rPr>
                <w:sz w:val="19"/>
                <w:szCs w:val="19"/>
                <w:color w:val="auto"/>
              </w:rPr>
            </w:pPr>
          </w:p>
        </w:tc>
      </w:tr>
      <w:tr>
        <w:trPr>
          <w:trHeight w:val="222"/>
        </w:trPr>
        <w:tc>
          <w:tcPr>
            <w:tcW w:w="6740" w:type="dxa"/>
            <w:vAlign w:val="bottom"/>
            <w:gridSpan w:val="3"/>
          </w:tcPr>
          <w:p>
            <w:pPr>
              <w:jc w:val="center"/>
              <w:ind w:left="1292"/>
              <w:spacing w:after="0"/>
              <w:rPr>
                <w:sz w:val="20"/>
                <w:szCs w:val="20"/>
                <w:color w:val="auto"/>
              </w:rPr>
            </w:pPr>
            <w:r>
              <w:rPr>
                <w:rFonts w:ascii="Arial" w:cs="Arial" w:eastAsia="Arial" w:hAnsi="Arial"/>
                <w:sz w:val="18"/>
                <w:szCs w:val="18"/>
                <w:color w:val="auto"/>
                <w:w w:val="85"/>
              </w:rPr>
              <w:t>(in thousands, except share data)</w:t>
            </w:r>
          </w:p>
        </w:tc>
        <w:tc>
          <w:tcPr>
            <w:tcW w:w="1420" w:type="dxa"/>
            <w:vAlign w:val="bottom"/>
          </w:tcPr>
          <w:p>
            <w:pPr>
              <w:spacing w:after="0"/>
              <w:rPr>
                <w:sz w:val="19"/>
                <w:szCs w:val="19"/>
                <w:color w:val="auto"/>
              </w:rPr>
            </w:pPr>
          </w:p>
        </w:tc>
      </w:tr>
      <w:tr>
        <w:trPr>
          <w:trHeight w:val="473"/>
        </w:trPr>
        <w:tc>
          <w:tcPr>
            <w:tcW w:w="5060" w:type="dxa"/>
            <w:vAlign w:val="bottom"/>
          </w:tcPr>
          <w:p>
            <w:pPr>
              <w:spacing w:after="0"/>
              <w:rPr>
                <w:sz w:val="24"/>
                <w:szCs w:val="2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November 1,</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April 26,</w:t>
            </w:r>
          </w:p>
        </w:tc>
      </w:tr>
      <w:tr>
        <w:trPr>
          <w:trHeight w:val="230"/>
        </w:trPr>
        <w:tc>
          <w:tcPr>
            <w:tcW w:w="6460" w:type="dxa"/>
            <w:vAlign w:val="bottom"/>
            <w:gridSpan w:val="2"/>
          </w:tcPr>
          <w:p>
            <w:pPr>
              <w:jc w:val="center"/>
              <w:ind w:left="4972"/>
              <w:spacing w:after="0"/>
              <w:rPr>
                <w:sz w:val="20"/>
                <w:szCs w:val="20"/>
                <w:color w:val="auto"/>
              </w:rPr>
            </w:pPr>
            <w:r>
              <w:rPr>
                <w:rFonts w:ascii="Arial" w:cs="Arial" w:eastAsia="Arial" w:hAnsi="Arial"/>
                <w:sz w:val="18"/>
                <w:szCs w:val="18"/>
                <w:b w:val="1"/>
                <w:bCs w:val="1"/>
                <w:color w:val="auto"/>
                <w:w w:val="89"/>
              </w:rPr>
              <w:t>2008</w:t>
            </w:r>
          </w:p>
        </w:tc>
        <w:tc>
          <w:tcPr>
            <w:tcW w:w="2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4"/>
              </w:rPr>
              <w:t>2008</w:t>
            </w:r>
          </w:p>
        </w:tc>
      </w:tr>
      <w:tr>
        <w:trPr>
          <w:trHeight w:val="231"/>
        </w:trPr>
        <w:tc>
          <w:tcPr>
            <w:tcW w:w="50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2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 1)</w:t>
            </w:r>
          </w:p>
        </w:tc>
      </w:tr>
    </w:tbl>
    <w:p>
      <w:pPr>
        <w:sectPr>
          <w:pgSz w:w="11900" w:h="16838" w:orient="portrait"/>
          <w:cols w:equalWidth="0" w:num="1">
            <w:col w:w="10219"/>
          </w:cols>
          <w:pgMar w:left="240" w:top="125"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59"/>
        </w:trPr>
        <w:tc>
          <w:tcPr>
            <w:tcW w:w="496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7,688</w:t>
            </w:r>
          </w:p>
        </w:tc>
        <w:tc>
          <w:tcPr>
            <w:tcW w:w="280" w:type="dxa"/>
            <w:vAlign w:val="bottom"/>
          </w:tcPr>
          <w:p>
            <w:pPr>
              <w:spacing w:after="0"/>
              <w:rPr>
                <w:sz w:val="19"/>
                <w:szCs w:val="19"/>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9,325</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1,375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457</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Accounts receivable, less allowance for doubtful accounts</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72,641</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56,516</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57,998</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50,525</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32,123</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27,126</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8,722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7,435</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4,843</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4,796</w:t>
            </w:r>
          </w:p>
        </w:tc>
      </w:tr>
      <w:tr>
        <w:trPr>
          <w:trHeight w:val="231"/>
        </w:trPr>
        <w:tc>
          <w:tcPr>
            <w:tcW w:w="49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9,457</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9,517</w:t>
            </w:r>
          </w:p>
        </w:tc>
      </w:tr>
      <w:tr>
        <w:trPr>
          <w:trHeight w:val="237"/>
        </w:trPr>
        <w:tc>
          <w:tcPr>
            <w:tcW w:w="496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194,847</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165,697</w:t>
            </w:r>
          </w:p>
        </w:tc>
      </w:tr>
      <w:tr>
        <w:trPr>
          <w:trHeight w:val="438"/>
        </w:trPr>
        <w:tc>
          <w:tcPr>
            <w:tcW w:w="4960" w:type="dxa"/>
            <w:vAlign w:val="bottom"/>
          </w:tcPr>
          <w:p>
            <w:pPr>
              <w:ind w:left="280"/>
              <w:spacing w:after="0"/>
              <w:rPr>
                <w:sz w:val="20"/>
                <w:szCs w:val="20"/>
                <w:color w:val="auto"/>
              </w:rPr>
            </w:pPr>
            <w:r>
              <w:rPr>
                <w:rFonts w:ascii="Arial" w:cs="Arial" w:eastAsia="Arial" w:hAnsi="Arial"/>
                <w:sz w:val="18"/>
                <w:szCs w:val="18"/>
                <w:color w:val="auto"/>
              </w:rPr>
              <w:t>Advertising rights, net</w:t>
            </w:r>
          </w:p>
        </w:tc>
        <w:tc>
          <w:tcPr>
            <w:tcW w:w="50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3,006</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3,457</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18,012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16,837</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Investments in affiliates</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3,679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2,998</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4,532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4,722</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Intangible and other assets</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2,954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3,102</w:t>
            </w:r>
          </w:p>
        </w:tc>
      </w:tr>
      <w:tr>
        <w:trPr>
          <w:trHeight w:val="231"/>
        </w:trPr>
        <w:tc>
          <w:tcPr>
            <w:tcW w:w="49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394</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r>
      <w:tr>
        <w:trPr>
          <w:trHeight w:val="236"/>
        </w:trPr>
        <w:tc>
          <w:tcPr>
            <w:tcW w:w="4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32,577</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31,259</w:t>
            </w:r>
          </w:p>
        </w:tc>
      </w:tr>
      <w:tr>
        <w:trPr>
          <w:trHeight w:val="439"/>
        </w:trPr>
        <w:tc>
          <w:tcPr>
            <w:tcW w:w="4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Land</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2,757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3,190</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Buildings</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50,257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49,464</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48,522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44,743</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51,446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45,482</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Equipment held for rental</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3,293</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2,658</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5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8,341</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7,516</w:t>
            </w:r>
          </w:p>
        </w:tc>
      </w:tr>
      <w:tr>
        <w:trPr>
          <w:trHeight w:val="231"/>
        </w:trPr>
        <w:tc>
          <w:tcPr>
            <w:tcW w:w="496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5,806</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6,106</w:t>
            </w:r>
          </w:p>
        </w:tc>
      </w:tr>
      <w:tr>
        <w:trPr>
          <w:trHeight w:val="236"/>
        </w:trPr>
        <w:tc>
          <w:tcPr>
            <w:tcW w:w="4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170,422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159,159</w:t>
            </w:r>
          </w:p>
        </w:tc>
      </w:tr>
      <w:tr>
        <w:trPr>
          <w:trHeight w:val="231"/>
        </w:trPr>
        <w:tc>
          <w:tcPr>
            <w:tcW w:w="496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70,950</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61,636</w:t>
            </w:r>
          </w:p>
        </w:tc>
      </w:tr>
      <w:tr>
        <w:trPr>
          <w:trHeight w:val="236"/>
        </w:trPr>
        <w:tc>
          <w:tcPr>
            <w:tcW w:w="4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99,472</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97,523</w:t>
            </w:r>
          </w:p>
        </w:tc>
      </w:tr>
      <w:tr>
        <w:trPr>
          <w:trHeight w:val="212"/>
        </w:trPr>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326,896</w:t>
            </w:r>
          </w:p>
        </w:tc>
        <w:tc>
          <w:tcPr>
            <w:tcW w:w="280" w:type="dxa"/>
            <w:vAlign w:val="bottom"/>
          </w:tcPr>
          <w:p>
            <w:pPr>
              <w:spacing w:after="0"/>
              <w:rPr>
                <w:sz w:val="18"/>
                <w:szCs w:val="18"/>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294,479</w:t>
            </w:r>
          </w:p>
        </w:tc>
      </w:tr>
      <w:tr>
        <w:trPr>
          <w:trHeight w:val="20"/>
        </w:trPr>
        <w:tc>
          <w:tcPr>
            <w:tcW w:w="4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67310</wp:posOffset>
            </wp:positionV>
            <wp:extent cx="51708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DAKTRONICS, INC. AND SUBSIDIARIES</w:t>
      </w:r>
    </w:p>
    <w:p>
      <w:pPr>
        <w:spacing w:after="0" w:line="3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color w:val="auto"/>
        </w:rPr>
        <w:t>(continued)</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tcPr>
          <w:p>
            <w:pPr>
              <w:spacing w:after="0"/>
              <w:rPr>
                <w:sz w:val="19"/>
                <w:szCs w:val="19"/>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November 1,</w:t>
            </w:r>
          </w:p>
        </w:tc>
        <w:tc>
          <w:tcPr>
            <w:tcW w:w="340" w:type="dxa"/>
            <w:vAlign w:val="bottom"/>
          </w:tcPr>
          <w:p>
            <w:pPr>
              <w:spacing w:after="0"/>
              <w:rPr>
                <w:sz w:val="19"/>
                <w:szCs w:val="19"/>
                <w:color w:val="auto"/>
              </w:rPr>
            </w:pPr>
          </w:p>
        </w:tc>
        <w:tc>
          <w:tcPr>
            <w:tcW w:w="1100" w:type="dxa"/>
            <w:vAlign w:val="bottom"/>
          </w:tcPr>
          <w:p>
            <w:pPr>
              <w:jc w:val="center"/>
              <w:ind w:right="272"/>
              <w:spacing w:after="0"/>
              <w:rPr>
                <w:sz w:val="20"/>
                <w:szCs w:val="20"/>
                <w:color w:val="auto"/>
              </w:rPr>
            </w:pPr>
            <w:r>
              <w:rPr>
                <w:rFonts w:ascii="Arial" w:cs="Arial" w:eastAsia="Arial" w:hAnsi="Arial"/>
                <w:sz w:val="18"/>
                <w:szCs w:val="18"/>
                <w:b w:val="1"/>
                <w:bCs w:val="1"/>
                <w:color w:val="auto"/>
                <w:w w:val="92"/>
              </w:rPr>
              <w:t>April 26,</w:t>
            </w:r>
          </w:p>
        </w:tc>
      </w:tr>
      <w:tr>
        <w:trPr>
          <w:trHeight w:val="230"/>
        </w:trPr>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right="252"/>
              <w:spacing w:after="0"/>
              <w:rPr>
                <w:sz w:val="20"/>
                <w:szCs w:val="20"/>
                <w:color w:val="auto"/>
              </w:rPr>
            </w:pPr>
            <w:r>
              <w:rPr>
                <w:rFonts w:ascii="Arial" w:cs="Arial" w:eastAsia="Arial" w:hAnsi="Arial"/>
                <w:sz w:val="18"/>
                <w:szCs w:val="18"/>
                <w:b w:val="1"/>
                <w:bCs w:val="1"/>
                <w:color w:val="auto"/>
                <w:w w:val="89"/>
              </w:rPr>
              <w:t>2008</w:t>
            </w:r>
          </w:p>
        </w:tc>
      </w:tr>
      <w:tr>
        <w:trPr>
          <w:trHeight w:val="230"/>
        </w:trPr>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(unaudited)</w:t>
            </w:r>
          </w:p>
        </w:tc>
        <w:tc>
          <w:tcPr>
            <w:tcW w:w="340" w:type="dxa"/>
            <w:vAlign w:val="bottom"/>
          </w:tcPr>
          <w:p>
            <w:pPr>
              <w:spacing w:after="0"/>
              <w:rPr>
                <w:sz w:val="19"/>
                <w:szCs w:val="19"/>
                <w:color w:val="auto"/>
              </w:rPr>
            </w:pPr>
          </w:p>
        </w:tc>
        <w:tc>
          <w:tcPr>
            <w:tcW w:w="1100" w:type="dxa"/>
            <w:vAlign w:val="bottom"/>
          </w:tcPr>
          <w:p>
            <w:pPr>
              <w:jc w:val="center"/>
              <w:ind w:right="252"/>
              <w:spacing w:after="0"/>
              <w:rPr>
                <w:sz w:val="20"/>
                <w:szCs w:val="20"/>
                <w:color w:val="auto"/>
              </w:rPr>
            </w:pPr>
            <w:r>
              <w:rPr>
                <w:rFonts w:ascii="Arial" w:cs="Arial" w:eastAsia="Arial" w:hAnsi="Arial"/>
                <w:sz w:val="18"/>
                <w:szCs w:val="18"/>
                <w:b w:val="1"/>
                <w:bCs w:val="1"/>
                <w:color w:val="auto"/>
                <w:w w:val="86"/>
              </w:rPr>
              <w:t>(note 1)</w:t>
            </w:r>
          </w:p>
        </w:tc>
      </w:tr>
      <w:tr>
        <w:trPr>
          <w:trHeight w:val="439"/>
        </w:trPr>
        <w:tc>
          <w:tcPr>
            <w:tcW w:w="55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459"/>
        </w:trPr>
        <w:tc>
          <w:tcPr>
            <w:tcW w:w="55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36,228</w:t>
            </w: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31,540</w:t>
            </w: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Accrued expenses and warranty obligations</w:t>
            </w:r>
          </w:p>
        </w:tc>
        <w:tc>
          <w:tcPr>
            <w:tcW w:w="2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32,830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26,100</w:t>
            </w: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Current maturities of long-term debt and marketing obligations</w:t>
            </w:r>
          </w:p>
        </w:tc>
        <w:tc>
          <w:tcPr>
            <w:tcW w:w="2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910</w:t>
            </w: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18,043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24,560</w:t>
            </w: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13,591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12,113</w:t>
            </w: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9,257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6,980</w:t>
            </w:r>
          </w:p>
        </w:tc>
      </w:tr>
      <w:tr>
        <w:trPr>
          <w:trHeight w:val="231"/>
        </w:trPr>
        <w:tc>
          <w:tcPr>
            <w:tcW w:w="550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2,871</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949</w:t>
            </w:r>
          </w:p>
        </w:tc>
      </w:tr>
      <w:tr>
        <w:trPr>
          <w:trHeight w:val="237"/>
        </w:trPr>
        <w:tc>
          <w:tcPr>
            <w:tcW w:w="550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113,159</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103,152</w:t>
            </w:r>
          </w:p>
        </w:tc>
      </w:tr>
      <w:tr>
        <w:trPr>
          <w:trHeight w:val="438"/>
        </w:trPr>
        <w:tc>
          <w:tcPr>
            <w:tcW w:w="550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2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646</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Long-term warranty obligations and other payables</w:t>
            </w:r>
          </w:p>
        </w:tc>
        <w:tc>
          <w:tcPr>
            <w:tcW w:w="2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4,857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3,766</w:t>
            </w:r>
          </w:p>
        </w:tc>
      </w:tr>
      <w:tr>
        <w:trPr>
          <w:trHeight w:val="231"/>
        </w:trPr>
        <w:tc>
          <w:tcPr>
            <w:tcW w:w="55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3,607</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3,607</w:t>
            </w:r>
          </w:p>
        </w:tc>
      </w:tr>
      <w:tr>
        <w:trPr>
          <w:trHeight w:val="237"/>
        </w:trPr>
        <w:tc>
          <w:tcPr>
            <w:tcW w:w="5500" w:type="dxa"/>
            <w:vAlign w:val="bottom"/>
          </w:tcPr>
          <w:p>
            <w:pPr>
              <w:ind w:left="66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9,207</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8,074</w:t>
            </w: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122,366</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111,226</w:t>
            </w:r>
          </w:p>
        </w:tc>
      </w:tr>
    </w:tbl>
    <w:p>
      <w:pPr>
        <w:sectPr>
          <w:pgSz w:w="11900" w:h="16838" w:orient="portrait"/>
          <w:cols w:equalWidth="0" w:num="1">
            <w:col w:w="10119"/>
          </w:cols>
          <w:pgMar w:left="340" w:top="206"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SHAREHOLDERS' EQUITY:</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Common stock, no par value, authorized</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500" w:type="dxa"/>
            <w:vAlign w:val="bottom"/>
          </w:tcPr>
          <w:p>
            <w:pPr>
              <w:ind w:left="840"/>
              <w:spacing w:after="0"/>
              <w:rPr>
                <w:sz w:val="20"/>
                <w:szCs w:val="20"/>
                <w:color w:val="auto"/>
              </w:rPr>
            </w:pPr>
            <w:r>
              <w:rPr>
                <w:rFonts w:ascii="Arial" w:cs="Arial" w:eastAsia="Arial" w:hAnsi="Arial"/>
                <w:sz w:val="18"/>
                <w:szCs w:val="18"/>
                <w:color w:val="auto"/>
              </w:rPr>
              <w:t>120,000,000 shares; 40,529,513 and 40,316,000 shares</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500" w:type="dxa"/>
            <w:vAlign w:val="bottom"/>
          </w:tcPr>
          <w:p>
            <w:pPr>
              <w:ind w:left="840"/>
              <w:spacing w:after="0"/>
              <w:rPr>
                <w:sz w:val="20"/>
                <w:szCs w:val="20"/>
                <w:color w:val="auto"/>
              </w:rPr>
            </w:pPr>
            <w:r>
              <w:rPr>
                <w:rFonts w:ascii="Arial" w:cs="Arial" w:eastAsia="Arial" w:hAnsi="Arial"/>
                <w:sz w:val="18"/>
                <w:szCs w:val="18"/>
                <w:color w:val="auto"/>
                <w:w w:val="96"/>
              </w:rPr>
              <w:t>issued at November 1, 2008 and April 26, 2008, respectively</w:t>
            </w:r>
          </w:p>
        </w:tc>
        <w:tc>
          <w:tcPr>
            <w:tcW w:w="5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26,973</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25,638</w:t>
            </w: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12,152</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10,398</w:t>
            </w: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5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166,200</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147,912</w:t>
            </w:r>
          </w:p>
        </w:tc>
      </w:tr>
      <w:tr>
        <w:trPr>
          <w:trHeight w:val="230"/>
        </w:trPr>
        <w:tc>
          <w:tcPr>
            <w:tcW w:w="550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5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31"/>
        </w:trPr>
        <w:tc>
          <w:tcPr>
            <w:tcW w:w="55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(786)</w:t>
            </w: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(686)</w:t>
            </w:r>
          </w:p>
        </w:tc>
      </w:tr>
      <w:tr>
        <w:trPr>
          <w:trHeight w:val="236"/>
        </w:trPr>
        <w:tc>
          <w:tcPr>
            <w:tcW w:w="55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204,530</w:t>
            </w:r>
          </w:p>
        </w:tc>
        <w:tc>
          <w:tcPr>
            <w:tcW w:w="3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183,253</w:t>
            </w:r>
          </w:p>
        </w:tc>
      </w:tr>
      <w:tr>
        <w:trPr>
          <w:trHeight w:val="212"/>
        </w:trPr>
        <w:tc>
          <w:tcPr>
            <w:tcW w:w="55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326,896</w:t>
            </w:r>
          </w:p>
        </w:tc>
        <w:tc>
          <w:tcPr>
            <w:tcW w:w="300" w:type="dxa"/>
            <w:vAlign w:val="bottom"/>
          </w:tcPr>
          <w:p>
            <w:pPr>
              <w:spacing w:after="0"/>
              <w:rPr>
                <w:sz w:val="18"/>
                <w:szCs w:val="18"/>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294,479</w:t>
            </w:r>
          </w:p>
        </w:tc>
      </w:tr>
      <w:tr>
        <w:trPr>
          <w:trHeight w:val="20"/>
        </w:trPr>
        <w:tc>
          <w:tcPr>
            <w:tcW w:w="5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221615</wp:posOffset>
            </wp:positionV>
            <wp:extent cx="51708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240" w:type="dxa"/>
            <w:vAlign w:val="bottom"/>
            <w:gridSpan w:val="4"/>
          </w:tcPr>
          <w:p>
            <w:pPr>
              <w:jc w:val="right"/>
              <w:ind w:right="51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5"/>
        </w:trPr>
        <w:tc>
          <w:tcPr>
            <w:tcW w:w="3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November 1,</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8"/>
              </w:rPr>
              <w:t>October 27,</w:t>
            </w:r>
          </w:p>
        </w:tc>
        <w:tc>
          <w:tcPr>
            <w:tcW w:w="220" w:type="dxa"/>
            <w:vAlign w:val="bottom"/>
          </w:tcPr>
          <w:p>
            <w:pPr>
              <w:spacing w:after="0"/>
              <w:rPr>
                <w:sz w:val="18"/>
                <w:szCs w:val="18"/>
                <w:color w:val="auto"/>
              </w:rPr>
            </w:pPr>
          </w:p>
        </w:tc>
        <w:tc>
          <w:tcPr>
            <w:tcW w:w="14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November 1,</w:t>
            </w:r>
          </w:p>
        </w:tc>
        <w:tc>
          <w:tcPr>
            <w:tcW w:w="1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8"/>
              </w:rPr>
              <w:t>October 27,</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438"/>
        </w:trPr>
        <w:tc>
          <w:tcPr>
            <w:tcW w:w="338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169,697</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131,436</w:t>
            </w:r>
          </w:p>
        </w:tc>
        <w:tc>
          <w:tcPr>
            <w:tcW w:w="22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330,926</w:t>
            </w:r>
          </w:p>
        </w:tc>
        <w:tc>
          <w:tcPr>
            <w:tcW w:w="2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252,359</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121,486</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92,236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237,367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176,280</w:t>
            </w:r>
          </w:p>
        </w:tc>
        <w:tc>
          <w:tcPr>
            <w:tcW w:w="0" w:type="dxa"/>
            <w:vAlign w:val="bottom"/>
          </w:tcPr>
          <w:p>
            <w:pPr>
              <w:spacing w:after="0"/>
              <w:rPr>
                <w:sz w:val="1"/>
                <w:szCs w:val="1"/>
                <w:color w:val="auto"/>
              </w:rPr>
            </w:pPr>
          </w:p>
        </w:tc>
      </w:tr>
      <w:tr>
        <w:trPr>
          <w:trHeight w:val="237"/>
        </w:trPr>
        <w:tc>
          <w:tcPr>
            <w:tcW w:w="3380" w:type="dxa"/>
            <w:vAlign w:val="bottom"/>
          </w:tcPr>
          <w:p>
            <w:pPr>
              <w:ind w:left="7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48,211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39,200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76,079</w:t>
            </w:r>
          </w:p>
        </w:tc>
        <w:tc>
          <w:tcPr>
            <w:tcW w:w="0" w:type="dxa"/>
            <w:vAlign w:val="bottom"/>
          </w:tcPr>
          <w:p>
            <w:pPr>
              <w:spacing w:after="0"/>
              <w:rPr>
                <w:sz w:val="1"/>
                <w:szCs w:val="1"/>
                <w:color w:val="auto"/>
              </w:rPr>
            </w:pPr>
          </w:p>
        </w:tc>
      </w:tr>
      <w:tr>
        <w:trPr>
          <w:trHeight w:val="439"/>
        </w:trPr>
        <w:tc>
          <w:tcPr>
            <w:tcW w:w="33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Arial" w:cs="Arial" w:eastAsia="Arial" w:hAnsi="Arial"/>
                <w:sz w:val="18"/>
                <w:szCs w:val="18"/>
                <w:color w:val="auto"/>
              </w:rPr>
              <w:t>Selling</w:t>
            </w:r>
          </w:p>
        </w:tc>
        <w:tc>
          <w:tcPr>
            <w:tcW w:w="1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15,162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30,006</w:t>
            </w: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7,554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6,434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231"/>
        </w:trPr>
        <w:tc>
          <w:tcPr>
            <w:tcW w:w="3380" w:type="dxa"/>
            <w:vAlign w:val="bottom"/>
          </w:tcPr>
          <w:p>
            <w:pPr>
              <w:ind w:left="36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5,286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36"/>
        </w:trPr>
        <w:tc>
          <w:tcPr>
            <w:tcW w:w="3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28,366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26,862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52,464</w:t>
            </w:r>
          </w:p>
        </w:tc>
        <w:tc>
          <w:tcPr>
            <w:tcW w:w="0" w:type="dxa"/>
            <w:vAlign w:val="bottom"/>
          </w:tcPr>
          <w:p>
            <w:pPr>
              <w:spacing w:after="0"/>
              <w:rPr>
                <w:sz w:val="1"/>
                <w:szCs w:val="1"/>
                <w:color w:val="auto"/>
              </w:rPr>
            </w:pPr>
          </w:p>
        </w:tc>
      </w:tr>
      <w:tr>
        <w:trPr>
          <w:trHeight w:val="237"/>
        </w:trPr>
        <w:tc>
          <w:tcPr>
            <w:tcW w:w="3380" w:type="dxa"/>
            <w:vAlign w:val="bottom"/>
          </w:tcPr>
          <w:p>
            <w:pPr>
              <w:ind w:left="74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19,845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12,338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23,615</w:t>
            </w:r>
          </w:p>
        </w:tc>
        <w:tc>
          <w:tcPr>
            <w:tcW w:w="0" w:type="dxa"/>
            <w:vAlign w:val="bottom"/>
          </w:tcPr>
          <w:p>
            <w:pPr>
              <w:spacing w:after="0"/>
              <w:rPr>
                <w:sz w:val="1"/>
                <w:szCs w:val="1"/>
                <w:color w:val="auto"/>
              </w:rPr>
            </w:pPr>
          </w:p>
        </w:tc>
      </w:tr>
      <w:tr>
        <w:trPr>
          <w:trHeight w:val="439"/>
        </w:trPr>
        <w:tc>
          <w:tcPr>
            <w:tcW w:w="33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(1,334)</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18,965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12,273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33,804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23,207</w:t>
            </w:r>
          </w:p>
        </w:tc>
        <w:tc>
          <w:tcPr>
            <w:tcW w:w="0" w:type="dxa"/>
            <w:vAlign w:val="bottom"/>
          </w:tcPr>
          <w:p>
            <w:pPr>
              <w:spacing w:after="0"/>
              <w:rPr>
                <w:sz w:val="1"/>
                <w:szCs w:val="1"/>
                <w:color w:val="auto"/>
              </w:rPr>
            </w:pPr>
          </w:p>
        </w:tc>
      </w:tr>
      <w:tr>
        <w:trPr>
          <w:trHeight w:val="222"/>
        </w:trPr>
        <w:tc>
          <w:tcPr>
            <w:tcW w:w="33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6,768</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4,264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12,197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8,009</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21,923</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15,121</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80" w:type="dxa"/>
            <w:vAlign w:val="bottom"/>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40,478</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39,818</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40,440</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39,732</w:t>
            </w:r>
          </w:p>
        </w:tc>
        <w:tc>
          <w:tcPr>
            <w:tcW w:w="0" w:type="dxa"/>
            <w:vAlign w:val="bottom"/>
          </w:tcPr>
          <w:p>
            <w:pPr>
              <w:spacing w:after="0"/>
              <w:rPr>
                <w:sz w:val="1"/>
                <w:szCs w:val="1"/>
                <w:color w:val="auto"/>
              </w:rPr>
            </w:pPr>
          </w:p>
        </w:tc>
      </w:tr>
      <w:tr>
        <w:trPr>
          <w:trHeight w:val="238"/>
        </w:trPr>
        <w:tc>
          <w:tcPr>
            <w:tcW w:w="3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41,221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41,436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41,359</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2"/>
        </w:trPr>
        <w:tc>
          <w:tcPr>
            <w:tcW w:w="3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tcPr>
          <w:p>
            <w:pPr>
              <w:spacing w:after="0"/>
              <w:rPr>
                <w:sz w:val="20"/>
                <w:szCs w:val="20"/>
                <w:color w:val="auto"/>
              </w:rPr>
            </w:pPr>
            <w:r>
              <w:rPr>
                <w:rFonts w:ascii="Arial" w:cs="Arial" w:eastAsia="Arial" w:hAnsi="Arial"/>
                <w:sz w:val="18"/>
                <w:szCs w:val="18"/>
                <w:color w:val="auto"/>
              </w:rPr>
              <w:t>Cash dividend paid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24"/>
                <w:szCs w:val="24"/>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221615</wp:posOffset>
            </wp:positionV>
            <wp:extent cx="51708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119"/>
          </w:cols>
          <w:pgMar w:left="340" w:top="2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199"/>
        <w:spacing w:after="0"/>
        <w:rPr>
          <w:sz w:val="20"/>
          <w:szCs w:val="20"/>
          <w:color w:val="auto"/>
        </w:rPr>
      </w:pPr>
      <w:r>
        <w:rPr>
          <w:rFonts w:ascii="Arial" w:cs="Arial" w:eastAsia="Arial" w:hAnsi="Arial"/>
          <w:sz w:val="16"/>
          <w:szCs w:val="16"/>
          <w:b w:val="1"/>
          <w:bCs w:val="1"/>
          <w:color w:val="auto"/>
        </w:rPr>
        <w:t>CONSOLIDATED STATEMENTS OF CASH FLOWS</w:t>
      </w:r>
    </w:p>
    <w:p>
      <w:pPr>
        <w:sectPr>
          <w:pgSz w:w="11900" w:h="16838" w:orient="portrait"/>
          <w:cols w:equalWidth="0" w:num="1">
            <w:col w:w="10119"/>
          </w:cols>
          <w:pgMar w:left="340" w:top="212" w:right="1440" w:bottom="0" w:gutter="0" w:footer="0" w:header="0"/>
          <w:type w:val="continuous"/>
        </w:sectPr>
      </w:pPr>
    </w:p>
    <w:bookmarkStart w:id="4" w:name="page5"/>
    <w:bookmarkEnd w:id="4"/>
    <w:p>
      <w:pPr>
        <w:jc w:val="center"/>
        <w:ind w:right="2099"/>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November 1,</w:t>
            </w:r>
          </w:p>
        </w:tc>
        <w:tc>
          <w:tcPr>
            <w:tcW w:w="280" w:type="dxa"/>
            <w:vAlign w:val="bottom"/>
          </w:tcPr>
          <w:p>
            <w:pPr>
              <w:spacing w:after="0"/>
              <w:rPr>
                <w:sz w:val="17"/>
                <w:szCs w:val="17"/>
                <w:color w:val="auto"/>
              </w:rPr>
            </w:pPr>
          </w:p>
        </w:tc>
        <w:tc>
          <w:tcPr>
            <w:tcW w:w="1400" w:type="dxa"/>
            <w:vAlign w:val="bottom"/>
          </w:tcPr>
          <w:p>
            <w:pPr>
              <w:jc w:val="right"/>
              <w:ind w:right="312"/>
              <w:spacing w:after="0" w:line="196" w:lineRule="exact"/>
              <w:rPr>
                <w:sz w:val="20"/>
                <w:szCs w:val="20"/>
                <w:color w:val="auto"/>
              </w:rPr>
            </w:pPr>
            <w:r>
              <w:rPr>
                <w:rFonts w:ascii="Arial" w:cs="Arial" w:eastAsia="Arial" w:hAnsi="Arial"/>
                <w:sz w:val="18"/>
                <w:szCs w:val="18"/>
                <w:b w:val="1"/>
                <w:bCs w:val="1"/>
                <w:color w:val="auto"/>
                <w:w w:val="98"/>
              </w:rPr>
              <w:t>October 27,</w:t>
            </w:r>
          </w:p>
        </w:tc>
        <w:tc>
          <w:tcPr>
            <w:tcW w:w="0" w:type="dxa"/>
            <w:vAlign w:val="bottom"/>
          </w:tcPr>
          <w:p>
            <w:pPr>
              <w:spacing w:after="0"/>
              <w:rPr>
                <w:sz w:val="1"/>
                <w:szCs w:val="1"/>
                <w:color w:val="auto"/>
              </w:rPr>
            </w:pPr>
          </w:p>
        </w:tc>
      </w:tr>
      <w:tr>
        <w:trPr>
          <w:trHeight w:val="228"/>
        </w:trPr>
        <w:tc>
          <w:tcPr>
            <w:tcW w:w="5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392"/>
        </w:trPr>
        <w:tc>
          <w:tcPr>
            <w:tcW w:w="54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21,923</w:t>
            </w:r>
          </w:p>
        </w:tc>
        <w:tc>
          <w:tcPr>
            <w:tcW w:w="22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15,121</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by operating activities: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11,872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Gain on sale of property and equipment</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1,594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Equity in (earnings) losses of affiliates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5480" w:type="dxa"/>
            <w:vAlign w:val="bottom"/>
          </w:tcPr>
          <w:p>
            <w:pPr>
              <w:ind w:left="44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37"/>
        </w:trPr>
        <w:tc>
          <w:tcPr>
            <w:tcW w:w="5480" w:type="dxa"/>
            <w:vAlign w:val="bottom"/>
          </w:tcPr>
          <w:p>
            <w:pPr>
              <w:ind w:left="66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15,692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25,988</w:t>
            </w:r>
          </w:p>
        </w:tc>
        <w:tc>
          <w:tcPr>
            <w:tcW w:w="0" w:type="dxa"/>
            <w:vAlign w:val="bottom"/>
          </w:tcPr>
          <w:p>
            <w:pPr>
              <w:spacing w:after="0"/>
              <w:rPr>
                <w:sz w:val="1"/>
                <w:szCs w:val="1"/>
                <w:color w:val="auto"/>
              </w:rPr>
            </w:pPr>
          </w:p>
        </w:tc>
      </w:tr>
      <w:tr>
        <w:trPr>
          <w:trHeight w:val="392"/>
        </w:trPr>
        <w:tc>
          <w:tcPr>
            <w:tcW w:w="54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(16,569)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(22,382)</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Loans to equity investees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Cash consideration paid for equity method investments</w:t>
            </w: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2"/>
        </w:trPr>
        <w:tc>
          <w:tcPr>
            <w:tcW w:w="5480" w:type="dxa"/>
            <w:vAlign w:val="bottom"/>
          </w:tcPr>
          <w:p>
            <w:pPr>
              <w:ind w:left="440"/>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7"/>
        </w:trPr>
        <w:tc>
          <w:tcPr>
            <w:tcW w:w="5480" w:type="dxa"/>
            <w:vAlign w:val="bottom"/>
          </w:tcPr>
          <w:p>
            <w:pPr>
              <w:ind w:left="66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(22,753)</w:t>
            </w:r>
          </w:p>
        </w:tc>
        <w:tc>
          <w:tcPr>
            <w:tcW w:w="0" w:type="dxa"/>
            <w:vAlign w:val="bottom"/>
          </w:tcPr>
          <w:p>
            <w:pPr>
              <w:spacing w:after="0"/>
              <w:rPr>
                <w:sz w:val="1"/>
                <w:szCs w:val="1"/>
                <w:color w:val="auto"/>
              </w:rPr>
            </w:pPr>
          </w:p>
        </w:tc>
      </w:tr>
      <w:tr>
        <w:trPr>
          <w:trHeight w:val="392"/>
        </w:trPr>
        <w:tc>
          <w:tcPr>
            <w:tcW w:w="54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Net borrowings (payments) on notes payable</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Proceeds from exercise of stock options and warrants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Excess tax benefits from stock-based compensation</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2"/>
        </w:trPr>
        <w:tc>
          <w:tcPr>
            <w:tcW w:w="5480" w:type="dxa"/>
            <w:vAlign w:val="bottom"/>
          </w:tcPr>
          <w:p>
            <w:pPr>
              <w:ind w:left="440"/>
              <w:spacing w:after="0"/>
              <w:rPr>
                <w:sz w:val="20"/>
                <w:szCs w:val="20"/>
                <w:color w:val="auto"/>
              </w:rPr>
            </w:pPr>
            <w:r>
              <w:rPr>
                <w:rFonts w:ascii="Arial" w:cs="Arial" w:eastAsia="Arial" w:hAnsi="Arial"/>
                <w:sz w:val="18"/>
                <w:szCs w:val="18"/>
                <w:color w:val="auto"/>
              </w:rPr>
              <w:t>Dividend paid</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(3,635)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38"/>
        </w:trPr>
        <w:tc>
          <w:tcPr>
            <w:tcW w:w="5480" w:type="dxa"/>
            <w:vAlign w:val="bottom"/>
          </w:tcPr>
          <w:p>
            <w:pPr>
              <w:ind w:left="66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(3,444)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425"/>
        </w:trPr>
        <w:tc>
          <w:tcPr>
            <w:tcW w:w="54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451"/>
        </w:trPr>
        <w:tc>
          <w:tcPr>
            <w:tcW w:w="5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440"/>
              <w:spacing w:after="0"/>
              <w:rPr>
                <w:sz w:val="20"/>
                <w:szCs w:val="20"/>
                <w:color w:val="auto"/>
              </w:rPr>
            </w:pPr>
            <w:r>
              <w:rPr>
                <w:rFonts w:ascii="Arial" w:cs="Arial" w:eastAsia="Arial" w:hAnsi="Arial"/>
                <w:sz w:val="18"/>
                <w:szCs w:val="18"/>
                <w:color w:val="auto"/>
              </w:rPr>
              <w:t>Beginning</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2"/>
        </w:trPr>
        <w:tc>
          <w:tcPr>
            <w:tcW w:w="5480" w:type="dxa"/>
            <w:vAlign w:val="bottom"/>
          </w:tcPr>
          <w:p>
            <w:pPr>
              <w:ind w:left="440"/>
              <w:spacing w:after="0"/>
              <w:rPr>
                <w:sz w:val="20"/>
                <w:szCs w:val="20"/>
                <w:color w:val="auto"/>
              </w:rPr>
            </w:pPr>
            <w:r>
              <w:rPr>
                <w:rFonts w:ascii="Arial" w:cs="Arial" w:eastAsia="Arial" w:hAnsi="Arial"/>
                <w:sz w:val="18"/>
                <w:szCs w:val="18"/>
                <w:color w:val="auto"/>
              </w:rPr>
              <w:t>Ending</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7,688</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Cash payments for:</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2"/>
        </w:trPr>
        <w:tc>
          <w:tcPr>
            <w:tcW w:w="5480" w:type="dxa"/>
            <w:vAlign w:val="bottom"/>
          </w:tcPr>
          <w:p>
            <w:pPr>
              <w:ind w:left="440"/>
              <w:spacing w:after="0"/>
              <w:rPr>
                <w:sz w:val="20"/>
                <w:szCs w:val="20"/>
                <w:color w:val="auto"/>
              </w:rPr>
            </w:pPr>
            <w:r>
              <w:rPr>
                <w:rFonts w:ascii="Arial" w:cs="Arial" w:eastAsia="Arial" w:hAnsi="Arial"/>
                <w:sz w:val="18"/>
                <w:szCs w:val="18"/>
                <w:color w:val="auto"/>
              </w:rPr>
              <w:t>Income taxes, net of refunds</w:t>
            </w:r>
          </w:p>
        </w:tc>
        <w:tc>
          <w:tcPr>
            <w:tcW w:w="2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8,346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412"/>
        </w:trPr>
        <w:tc>
          <w:tcPr>
            <w:tcW w:w="5480" w:type="dxa"/>
            <w:vAlign w:val="bottom"/>
          </w:tcPr>
          <w:p>
            <w:pPr>
              <w:spacing w:after="0"/>
              <w:rPr>
                <w:sz w:val="20"/>
                <w:szCs w:val="20"/>
                <w:color w:val="auto"/>
              </w:rPr>
            </w:pPr>
            <w:r>
              <w:rPr>
                <w:rFonts w:ascii="Arial" w:cs="Arial" w:eastAsia="Arial" w:hAnsi="Arial"/>
                <w:sz w:val="18"/>
                <w:szCs w:val="18"/>
                <w:color w:val="auto"/>
                <w:w w:val="98"/>
              </w:rPr>
              <w:t>Supplemental schedule of non-cash investing and financing activities: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Demonstration equipment transferred to inventory</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w w:val="99"/>
              </w:rPr>
              <w:t>Purchase of property and equipment included in accounts payable</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2"/>
        </w:trPr>
        <w:tc>
          <w:tcPr>
            <w:tcW w:w="5480" w:type="dxa"/>
            <w:vAlign w:val="bottom"/>
          </w:tcPr>
          <w:p>
            <w:pPr>
              <w:ind w:left="220"/>
              <w:spacing w:after="0"/>
              <w:rPr>
                <w:sz w:val="20"/>
                <w:szCs w:val="20"/>
                <w:color w:val="auto"/>
              </w:rPr>
            </w:pPr>
            <w:r>
              <w:rPr>
                <w:rFonts w:ascii="Arial" w:cs="Arial" w:eastAsia="Arial" w:hAnsi="Arial"/>
                <w:sz w:val="18"/>
                <w:szCs w:val="18"/>
                <w:color w:val="auto"/>
              </w:rPr>
              <w:t>Conversion of accounts receivable to equity interest in affiliate</w:t>
            </w:r>
          </w:p>
        </w:tc>
        <w:tc>
          <w:tcPr>
            <w:tcW w:w="2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1,947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ectPr>
          <w:pgSz w:w="11900" w:h="16838" w:orient="portrait"/>
          <w:cols w:equalWidth="0" w:num="1">
            <w:col w:w="10219"/>
          </w:cols>
          <w:pgMar w:left="240" w:top="131" w:right="1440" w:bottom="0" w:gutter="0" w:footer="0" w:header="0"/>
        </w:sectPr>
      </w:pPr>
    </w:p>
    <w:bookmarkStart w:id="5" w:name="page6"/>
    <w:bookmarkEnd w:id="5"/>
    <w:p>
      <w:pPr>
        <w:jc w:val="both"/>
        <w:ind w:right="2099"/>
        <w:spacing w:after="0" w:line="286"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26, 2008 has been derived from the audited financial statements at that date but does not include all of the information and footnotes required by generally accepted accounting principles for complete financial statements.These financial statements should be read in conjunction with our financial statements and notes thereto for the year ended April 26, 2008,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 The consolidated financial statements include our accounts and those of our wholly-owned subsidiaries, Daktronics France SARL; Daktronics Shanghai, Ltd.; Daktronics GmbH; Star Circuits, Inc.; Daktronics Media Holdings, Inc.; MSC Technologies, Inc.; Daktronics UK, Ltd.; Daktronics Hong Kong, Ltd.; Daktronics Canada, Inc.; Daktronics Hoist, Inc.; Daktronics Beijing, Ltd; Daktronics Australia Pty Ltd; and Daktronics FZE. Intercompany balances and transactions have been eliminated in consolidation.</w:t>
      </w:r>
    </w:p>
    <w:p>
      <w:pPr>
        <w:spacing w:after="0" w:line="202"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Investments in affiliates are accounted for by the equity method. We have evaluated our relationships with affiliates and have determined that these entities are not variable interest entities and therefore are not required to be considered for consolidation in our consolidated financial statements. Accordingly, our proportional share of the respective affiliate’s earnings or losses is included in other income (expense) in our consolidated statement of income.</w:t>
      </w:r>
    </w:p>
    <w:p>
      <w:pPr>
        <w:spacing w:after="0" w:line="25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construction contracts (“construction-type contracts”), estimated costs to be incurred for product warranties, excess and obsolete inventory, the reserve for doubtful accounts, stock-based compensation and income taxes. Changes in estimates are reflected in the periods in which they become known.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deposits to secure bank guarantees issued by our Chinese subsidiary.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5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 xml:space="preserve">In February 2007, the Financial Accounting Standards Board (“FASB”) issued Statement of Financial Accounting Standards (“SFAS”)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xml:space="preserve"> (“SFAS No. 159”).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SFAS No. 159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We did not elect the fair value option for any financial assets or liabilities.</w:t>
      </w:r>
    </w:p>
    <w:p>
      <w:pPr>
        <w:spacing w:after="0" w:line="229" w:lineRule="exact"/>
        <w:rPr>
          <w:sz w:val="20"/>
          <w:szCs w:val="20"/>
          <w:color w:val="auto"/>
        </w:rPr>
      </w:pPr>
    </w:p>
    <w:p>
      <w:pPr>
        <w:jc w:val="both"/>
        <w:ind w:right="2099"/>
        <w:spacing w:after="0" w:line="310" w:lineRule="auto"/>
        <w:rPr>
          <w:sz w:val="20"/>
          <w:szCs w:val="20"/>
          <w:color w:val="auto"/>
        </w:rPr>
      </w:pPr>
      <w:r>
        <w:rPr>
          <w:rFonts w:ascii="Arial" w:cs="Arial" w:eastAsia="Arial" w:hAnsi="Arial"/>
          <w:sz w:val="16"/>
          <w:szCs w:val="16"/>
          <w:color w:val="auto"/>
        </w:rPr>
        <w:t xml:space="preserve">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141(R)”). SFAS No. 141(R) amends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provides revised guidance for recognizing and measuring identifiable assets and goodwill acquired, liabilities assumed, and any noncontrolling interest in the acquiree. Some of the revised guidance of SFAS No. 141(R) includes initial capitalization of acquired in-</w:t>
      </w:r>
    </w:p>
    <w:p>
      <w:pPr>
        <w:spacing w:after="0" w:line="18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SFAS No. 141(R) is effective for fiscal years beginning on or after December 15, 2008 and will be applied prospectively to business combinations that are consummated after adoption of SFAS No. 141(R). This standard will change our accounting treatment for business combinations on a prospective basis, when adopted.</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w:t>
      </w:r>
    </w:p>
    <w:p>
      <w:pPr>
        <w:spacing w:after="0" w:line="59"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i w:val="1"/>
          <w:iCs w:val="1"/>
          <w:color w:val="auto"/>
        </w:rPr>
        <w:t xml:space="preserve">Statements </w:t>
      </w:r>
      <w:r>
        <w:rPr>
          <w:rFonts w:ascii="Arial" w:cs="Arial" w:eastAsia="Arial" w:hAnsi="Arial"/>
          <w:sz w:val="16"/>
          <w:szCs w:val="16"/>
          <w:color w:val="auto"/>
        </w:rPr>
        <w:t>(“SFAS No. 160”). SFAS No. 160 establishes new standards that will govern the accounting for and</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of noncontrolling interests in partially owned subsidiaries. SFAS No. 160 is effective for fiscal years beginning on or after December 15, 2008 and requires retroactive adoption of the presentation and disclosure requirements for existing minority interests. All other requirements shall be applied prospectively. As of November 1, 2008, we do not have any partially owned consolidated subsidiaries and, therefore, we do not expect an impact related to the adoption of this accounting standard.</w:t>
      </w:r>
    </w:p>
    <w:p>
      <w:pPr>
        <w:sectPr>
          <w:pgSz w:w="11900" w:h="16838" w:orient="portrait"/>
          <w:cols w:equalWidth="0" w:num="1">
            <w:col w:w="10219"/>
          </w:cols>
          <w:pgMar w:left="240" w:top="374" w:right="1440" w:bottom="29"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w:t>
      </w:r>
    </w:p>
    <w:p>
      <w:pPr>
        <w:spacing w:after="0" w:line="59"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 an amendment of FASB Statement No. 133 </w:t>
      </w:r>
      <w:r>
        <w:rPr>
          <w:rFonts w:ascii="Arial" w:cs="Arial" w:eastAsia="Arial" w:hAnsi="Arial"/>
          <w:sz w:val="16"/>
          <w:szCs w:val="16"/>
          <w:color w:val="auto"/>
        </w:rPr>
        <w:t>(“SFAS No. 161”), which changes the disclosure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and hedging activities. SFAS No. 161 requires companies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SFAS No. 161 is effective for fiscal years beginning after November 15, 2008. This standard will change our disclosures of any future derivative instruments and hedging activities on a prospective basis, when adopted.</w:t>
      </w:r>
    </w:p>
    <w:p>
      <w:pPr>
        <w:spacing w:after="0" w:line="226" w:lineRule="exact"/>
        <w:rPr>
          <w:sz w:val="20"/>
          <w:szCs w:val="20"/>
          <w:color w:val="auto"/>
        </w:rPr>
      </w:pPr>
    </w:p>
    <w:p>
      <w:pPr>
        <w:jc w:val="both"/>
        <w:ind w:right="2119"/>
        <w:spacing w:after="0" w:line="296"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 SFAS No. 162 establishes the GAAP hierarchy and identifies the sources of accounting principles and the framework for selecting the principles used in the preparation of financial statements. SFAS No. 162 is effective 60 days following the Securities and Exchange Commission’s approval of the Public Accounting Oversight Board amendments to AU Section 411, </w:t>
      </w:r>
      <w:r>
        <w:rPr>
          <w:rFonts w:ascii="Arial" w:cs="Arial" w:eastAsia="Arial" w:hAnsi="Arial"/>
          <w:sz w:val="16"/>
          <w:szCs w:val="16"/>
          <w:i w:val="1"/>
          <w:iCs w:val="1"/>
          <w:color w:val="auto"/>
        </w:rPr>
        <w:t>The Meaning of Present Fairly in Conformity with 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Accepted Accounting Principles. </w:t>
      </w:r>
      <w:r>
        <w:rPr>
          <w:rFonts w:ascii="Arial" w:cs="Arial" w:eastAsia="Arial" w:hAnsi="Arial"/>
          <w:sz w:val="16"/>
          <w:szCs w:val="16"/>
          <w:color w:val="auto"/>
        </w:rPr>
        <w:t>We have not yet determined the impact, if any, that implementation of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162 will have on our consolidated financial statements.</w:t>
      </w:r>
    </w:p>
    <w:p>
      <w:pPr>
        <w:spacing w:after="0" w:line="221" w:lineRule="exact"/>
        <w:rPr>
          <w:sz w:val="20"/>
          <w:szCs w:val="20"/>
          <w:color w:val="auto"/>
        </w:rPr>
      </w:pPr>
    </w:p>
    <w:p>
      <w:pPr>
        <w:jc w:val="both"/>
        <w:ind w:right="2119"/>
        <w:spacing w:after="0" w:line="266" w:lineRule="auto"/>
        <w:rPr>
          <w:sz w:val="20"/>
          <w:szCs w:val="20"/>
          <w:color w:val="auto"/>
        </w:rPr>
      </w:pPr>
      <w:r>
        <w:rPr>
          <w:rFonts w:ascii="Arial" w:cs="Arial" w:eastAsia="Arial" w:hAnsi="Arial"/>
          <w:sz w:val="18"/>
          <w:szCs w:val="18"/>
          <w:color w:val="auto"/>
        </w:rPr>
        <w:t xml:space="preserve">In April 2008, the FASB issued FASB Staff Position (FSP) No. 142-3, </w:t>
      </w:r>
      <w:r>
        <w:rPr>
          <w:rFonts w:ascii="Arial" w:cs="Arial" w:eastAsia="Arial" w:hAnsi="Arial"/>
          <w:sz w:val="18"/>
          <w:szCs w:val="18"/>
          <w:i w:val="1"/>
          <w:iCs w:val="1"/>
          <w:color w:val="auto"/>
        </w:rPr>
        <w:t>Determination of the Useful Life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(“FSP No. 142-3”)</w:t>
      </w:r>
      <w:r>
        <w:rPr>
          <w:rFonts w:ascii="Arial" w:cs="Arial" w:eastAsia="Arial" w:hAnsi="Arial"/>
          <w:sz w:val="18"/>
          <w:szCs w:val="18"/>
          <w:i w:val="1"/>
          <w:iCs w:val="1"/>
          <w:color w:val="auto"/>
        </w:rPr>
        <w:t xml:space="preserve">. </w:t>
      </w:r>
      <w:r>
        <w:rPr>
          <w:rFonts w:ascii="Arial" w:cs="Arial" w:eastAsia="Arial" w:hAnsi="Arial"/>
          <w:sz w:val="18"/>
          <w:szCs w:val="18"/>
          <w:color w:val="auto"/>
        </w:rPr>
        <w:t>FSP No. 142-3 amends the factors that should be considered in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renewal or extension assumptions used to determine the useful life of a recognized intangible asset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FSP No. 142-3 is effective for fiscal years beginning after December 15, 2008. We are currently assessing the impact of FSP No. 142-3 on our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8" w:lineRule="exact"/>
        <w:rPr>
          <w:sz w:val="20"/>
          <w:szCs w:val="20"/>
          <w:color w:val="auto"/>
        </w:rPr>
      </w:pPr>
    </w:p>
    <w:p>
      <w:pPr>
        <w:jc w:val="both"/>
        <w:ind w:right="2099"/>
        <w:spacing w:after="0" w:line="323" w:lineRule="auto"/>
        <w:rPr>
          <w:sz w:val="20"/>
          <w:szCs w:val="20"/>
          <w:color w:val="auto"/>
        </w:rPr>
      </w:pPr>
      <w:r>
        <w:rPr>
          <w:rFonts w:ascii="Arial" w:cs="Arial" w:eastAsia="Arial" w:hAnsi="Arial"/>
          <w:sz w:val="15"/>
          <w:szCs w:val="15"/>
          <w:i w:val="1"/>
          <w:iCs w:val="1"/>
          <w:color w:val="auto"/>
        </w:rPr>
        <w:t>Construction-type contracts</w:t>
      </w:r>
      <w:r>
        <w:rPr>
          <w:rFonts w:ascii="Arial" w:cs="Arial" w:eastAsia="Arial" w:hAnsi="Arial"/>
          <w:sz w:val="15"/>
          <w:szCs w:val="15"/>
          <w:color w:val="auto"/>
        </w:rPr>
        <w:t>: Earnings on construction-type contracts are recognized on the percentage-of-completion 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probable and estimable.</w:t>
      </w:r>
    </w:p>
    <w:p>
      <w:pPr>
        <w:spacing w:after="0" w:line="20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 xml:space="preserve">Equipment other than construction-type contracts: </w:t>
      </w:r>
      <w:r>
        <w:rPr>
          <w:rFonts w:ascii="Arial" w:cs="Arial" w:eastAsia="Arial" w:hAnsi="Arial"/>
          <w:sz w:val="16"/>
          <w:szCs w:val="16"/>
          <w:color w:val="auto"/>
        </w:rPr>
        <w:t>We recognize revenue on equipment sales,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construction-type contracts, when title passes, 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22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the rights to sell or to retain 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In cases where we receive advertising rights as opposed to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revenue.</w:t>
      </w:r>
    </w:p>
    <w:p>
      <w:pPr>
        <w:spacing w:after="0" w:line="22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cost of advertising rights, net of amortization, was $3,006 as of November 1, 2008 and $3,457 as of April 26, 2008.</w:t>
      </w:r>
    </w:p>
    <w:p>
      <w:pPr>
        <w:spacing w:after="0" w:line="21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Product maintenance: </w:t>
      </w:r>
      <w:r>
        <w:rPr>
          <w:rFonts w:ascii="Arial" w:cs="Arial" w:eastAsia="Arial" w:hAnsi="Arial"/>
          <w:sz w:val="16"/>
          <w:szCs w:val="16"/>
          <w:color w:val="auto"/>
        </w:rPr>
        <w:t>In connection with the sale of our products, we also occasionally sell separately priced</w:t>
      </w:r>
      <w:r>
        <w:rPr>
          <w:rFonts w:ascii="Arial" w:cs="Arial" w:eastAsia="Arial" w:hAnsi="Arial"/>
          <w:sz w:val="16"/>
          <w:szCs w:val="16"/>
          <w:i w:val="1"/>
          <w:iCs w:val="1"/>
          <w:color w:val="auto"/>
        </w:rPr>
        <w:t xml:space="preserve"> </w:t>
      </w:r>
      <w:r>
        <w:rPr>
          <w:rFonts w:ascii="Arial" w:cs="Arial" w:eastAsia="Arial" w:hAnsi="Arial"/>
          <w:sz w:val="16"/>
          <w:szCs w:val="16"/>
          <w:color w:val="auto"/>
        </w:rPr>
        <w:t>extended warranties and product maintenance contracts. The revenue related to such contracts is deferred and recognized ratably as net sales over the terms of the contracts, which vary up to 10 years.</w:t>
      </w:r>
    </w:p>
    <w:p>
      <w:pPr>
        <w:spacing w:after="0" w:line="215"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sell our proprietary software bundled with displays and certain other products. Pursuant to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construction-type contracts, are recognized when persuasive evidence of an agreement exists, delivery of the product has occurred, the fee is fixed and determinable and collection is probable. For sales of software included in construction-type contracts, the revenue is recognized under the percentage-of-completion method for construction-type contracts starting when all of the above-mentioned criteria have been met.</w:t>
      </w:r>
    </w:p>
    <w:p>
      <w:pPr>
        <w:sectPr>
          <w:pgSz w:w="11900" w:h="16838" w:orient="portrait"/>
          <w:cols w:equalWidth="0" w:num="1">
            <w:col w:w="10219"/>
          </w:cols>
          <w:pgMar w:left="240" w:top="158" w:right="1440" w:bottom="0" w:gutter="0" w:footer="0" w:header="0"/>
        </w:sectPr>
      </w:pPr>
    </w:p>
    <w:bookmarkStart w:id="7" w:name="page8"/>
    <w:bookmarkEnd w:id="7"/>
    <w:p>
      <w:pPr>
        <w:jc w:val="both"/>
        <w:ind w:right="2099"/>
        <w:spacing w:after="0" w:line="298"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us for services such as event support, control room design, on-site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service and technical support for our equipment are recognized as net sales when the services are performed. Net sales from services offerings which are not included in construction-type contracts approximated 5.4% and 4.9% of net sales for the six months ended November 1, 2008 and October 27, 2007, respectively.</w:t>
      </w:r>
    </w:p>
    <w:p>
      <w:pPr>
        <w:spacing w:after="0" w:line="22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We utilize derivative financial instruments to manage the economic impact of fluctuations in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rates on those transactions that are denominated in currency other than our functional currency, which is the U.S. dollar. We enter into currency forward contracts to manage these economic risks.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by SFAS No. 137 and SFAS No.138,</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201"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derivatives outstanding as of November 1,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 (“EPS”)</w:t>
      </w:r>
    </w:p>
    <w:p>
      <w:pPr>
        <w:spacing w:after="0" w:line="25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9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EPS for the three and six months ended November 1, 2008 and October 27, 2007 follows:</w:t>
      </w:r>
    </w:p>
    <w:p>
      <w:pPr>
        <w:spacing w:after="0" w:line="21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12"/>
              <w:spacing w:after="0"/>
              <w:rPr>
                <w:sz w:val="20"/>
                <w:szCs w:val="20"/>
                <w:color w:val="auto"/>
              </w:rPr>
            </w:pPr>
            <w:r>
              <w:rPr>
                <w:rFonts w:ascii="Arial" w:cs="Arial" w:eastAsia="Arial" w:hAnsi="Arial"/>
                <w:sz w:val="18"/>
                <w:szCs w:val="18"/>
                <w:b w:val="1"/>
                <w:bCs w:val="1"/>
                <w:color w:val="auto"/>
                <w:w w:val="95"/>
              </w:rPr>
              <w:t>Per Share</w:t>
            </w:r>
          </w:p>
        </w:tc>
        <w:tc>
          <w:tcPr>
            <w:tcW w:w="0" w:type="dxa"/>
            <w:vAlign w:val="bottom"/>
          </w:tcPr>
          <w:p>
            <w:pPr>
              <w:spacing w:after="0"/>
              <w:rPr>
                <w:sz w:val="1"/>
                <w:szCs w:val="1"/>
                <w:color w:val="auto"/>
              </w:rPr>
            </w:pPr>
          </w:p>
        </w:tc>
      </w:tr>
      <w:tr>
        <w:trPr>
          <w:trHeight w:val="228"/>
        </w:trPr>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9"/>
                <w:szCs w:val="19"/>
                <w:color w:val="auto"/>
              </w:rPr>
            </w:pPr>
          </w:p>
        </w:tc>
        <w:tc>
          <w:tcPr>
            <w:tcW w:w="1220" w:type="dxa"/>
            <w:vAlign w:val="bottom"/>
          </w:tcPr>
          <w:p>
            <w:pPr>
              <w:jc w:val="right"/>
              <w:ind w:right="372"/>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8"/>
                <w:szCs w:val="18"/>
                <w:color w:val="auto"/>
                <w:w w:val="96"/>
              </w:rPr>
              <w:t>For the three months ended November 1, 2008:</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5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12,197</w:t>
            </w: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40,478</w:t>
            </w:r>
          </w:p>
        </w:tc>
        <w:tc>
          <w:tcPr>
            <w:tcW w:w="220" w:type="dxa"/>
            <w:vAlign w:val="bottom"/>
          </w:tcPr>
          <w:p>
            <w:pPr>
              <w:spacing w:after="0"/>
              <w:rPr>
                <w:sz w:val="19"/>
                <w:szCs w:val="19"/>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3680" w:type="dxa"/>
            <w:vAlign w:val="bottom"/>
          </w:tcPr>
          <w:p>
            <w:pPr>
              <w:ind w:left="800"/>
              <w:spacing w:after="0"/>
              <w:rPr>
                <w:sz w:val="20"/>
                <w:szCs w:val="20"/>
                <w:color w:val="auto"/>
              </w:rPr>
            </w:pPr>
            <w:r>
              <w:rPr>
                <w:rFonts w:ascii="Arial" w:cs="Arial" w:eastAsia="Arial" w:hAnsi="Arial"/>
                <w:sz w:val="18"/>
                <w:szCs w:val="18"/>
                <w:color w:val="auto"/>
              </w:rPr>
              <w:t>Dilution associated with stock</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800"/>
              <w:spacing w:after="0"/>
              <w:rPr>
                <w:sz w:val="20"/>
                <w:szCs w:val="20"/>
                <w:color w:val="auto"/>
              </w:rPr>
            </w:pPr>
            <w:r>
              <w:rPr>
                <w:rFonts w:ascii="Arial" w:cs="Arial" w:eastAsia="Arial" w:hAnsi="Arial"/>
                <w:sz w:val="18"/>
                <w:szCs w:val="18"/>
                <w:color w:val="auto"/>
              </w:rPr>
              <w:t>compensation plans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680" w:type="dxa"/>
            <w:vAlign w:val="bottom"/>
          </w:tcPr>
          <w:p>
            <w:pPr>
              <w:ind w:left="5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12,197</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41,221</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w w:val="98"/>
              </w:rPr>
              <w:t>For the three months ended October 27, 2007:</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5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8,009</w:t>
            </w: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39,818</w:t>
            </w:r>
          </w:p>
        </w:tc>
        <w:tc>
          <w:tcPr>
            <w:tcW w:w="22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3680" w:type="dxa"/>
            <w:vAlign w:val="bottom"/>
          </w:tcPr>
          <w:p>
            <w:pPr>
              <w:ind w:left="800"/>
              <w:spacing w:after="0"/>
              <w:rPr>
                <w:sz w:val="20"/>
                <w:szCs w:val="20"/>
                <w:color w:val="auto"/>
              </w:rPr>
            </w:pPr>
            <w:r>
              <w:rPr>
                <w:rFonts w:ascii="Arial" w:cs="Arial" w:eastAsia="Arial" w:hAnsi="Arial"/>
                <w:sz w:val="18"/>
                <w:szCs w:val="18"/>
                <w:color w:val="auto"/>
              </w:rPr>
              <w:t>Dilution associated with stock</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800"/>
              <w:spacing w:after="0"/>
              <w:rPr>
                <w:sz w:val="20"/>
                <w:szCs w:val="20"/>
                <w:color w:val="auto"/>
              </w:rPr>
            </w:pPr>
            <w:r>
              <w:rPr>
                <w:rFonts w:ascii="Arial" w:cs="Arial" w:eastAsia="Arial" w:hAnsi="Arial"/>
                <w:sz w:val="18"/>
                <w:szCs w:val="18"/>
                <w:color w:val="auto"/>
              </w:rPr>
              <w:t>compensation plans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8"/>
        </w:trPr>
        <w:tc>
          <w:tcPr>
            <w:tcW w:w="3680" w:type="dxa"/>
            <w:vAlign w:val="bottom"/>
          </w:tcPr>
          <w:p>
            <w:pPr>
              <w:ind w:left="5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8,009</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41,436</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For the six months ended November 1, 2008:</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5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22,673</w:t>
            </w: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40,440</w:t>
            </w:r>
          </w:p>
        </w:tc>
        <w:tc>
          <w:tcPr>
            <w:tcW w:w="220" w:type="dxa"/>
            <w:vAlign w:val="bottom"/>
          </w:tcPr>
          <w:p>
            <w:pPr>
              <w:spacing w:after="0"/>
              <w:rPr>
                <w:sz w:val="19"/>
                <w:szCs w:val="19"/>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3680" w:type="dxa"/>
            <w:vAlign w:val="bottom"/>
          </w:tcPr>
          <w:p>
            <w:pPr>
              <w:ind w:left="800"/>
              <w:spacing w:after="0"/>
              <w:rPr>
                <w:sz w:val="20"/>
                <w:szCs w:val="20"/>
                <w:color w:val="auto"/>
              </w:rPr>
            </w:pPr>
            <w:r>
              <w:rPr>
                <w:rFonts w:ascii="Arial" w:cs="Arial" w:eastAsia="Arial" w:hAnsi="Arial"/>
                <w:sz w:val="18"/>
                <w:szCs w:val="18"/>
                <w:color w:val="auto"/>
              </w:rPr>
              <w:t>Dilution associated with stock</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800"/>
              <w:spacing w:after="0"/>
              <w:rPr>
                <w:sz w:val="20"/>
                <w:szCs w:val="20"/>
                <w:color w:val="auto"/>
              </w:rPr>
            </w:pPr>
            <w:r>
              <w:rPr>
                <w:rFonts w:ascii="Arial" w:cs="Arial" w:eastAsia="Arial" w:hAnsi="Arial"/>
                <w:sz w:val="18"/>
                <w:szCs w:val="18"/>
                <w:color w:val="auto"/>
              </w:rPr>
              <w:t>compensation plans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8"/>
        </w:trPr>
        <w:tc>
          <w:tcPr>
            <w:tcW w:w="3680" w:type="dxa"/>
            <w:vAlign w:val="bottom"/>
          </w:tcPr>
          <w:p>
            <w:pPr>
              <w:ind w:left="5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22,673</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41,286</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For the six months ended October 27, 2007:</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5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15,121</w:t>
            </w: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39,732</w:t>
            </w:r>
          </w:p>
        </w:tc>
        <w:tc>
          <w:tcPr>
            <w:tcW w:w="220" w:type="dxa"/>
            <w:vAlign w:val="bottom"/>
          </w:tcPr>
          <w:p>
            <w:pPr>
              <w:spacing w:after="0"/>
              <w:rPr>
                <w:sz w:val="19"/>
                <w:szCs w:val="19"/>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680" w:type="dxa"/>
            <w:vAlign w:val="bottom"/>
          </w:tcPr>
          <w:p>
            <w:pPr>
              <w:ind w:left="800"/>
              <w:spacing w:after="0"/>
              <w:rPr>
                <w:sz w:val="20"/>
                <w:szCs w:val="20"/>
                <w:color w:val="auto"/>
              </w:rPr>
            </w:pPr>
            <w:r>
              <w:rPr>
                <w:rFonts w:ascii="Arial" w:cs="Arial" w:eastAsia="Arial" w:hAnsi="Arial"/>
                <w:sz w:val="18"/>
                <w:szCs w:val="18"/>
                <w:color w:val="auto"/>
              </w:rPr>
              <w:t>Dilution associated with stock</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800"/>
              <w:spacing w:after="0"/>
              <w:rPr>
                <w:sz w:val="20"/>
                <w:szCs w:val="20"/>
                <w:color w:val="auto"/>
              </w:rPr>
            </w:pPr>
            <w:r>
              <w:rPr>
                <w:rFonts w:ascii="Arial" w:cs="Arial" w:eastAsia="Arial" w:hAnsi="Arial"/>
                <w:sz w:val="18"/>
                <w:szCs w:val="18"/>
                <w:color w:val="auto"/>
              </w:rPr>
              <w:t>compensation plans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8"/>
        </w:trPr>
        <w:tc>
          <w:tcPr>
            <w:tcW w:w="3680" w:type="dxa"/>
            <w:vAlign w:val="bottom"/>
          </w:tcPr>
          <w:p>
            <w:pPr>
              <w:ind w:left="5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15,121</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41,359</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8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 xml:space="preserve">We account for goodwill and other intangible assets in accordance with SFAS No. 142,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and we complete an impairment analysis on at least an annual basis and more frequently if</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warrant.</w:t>
      </w:r>
    </w:p>
    <w:p>
      <w:pPr>
        <w:sectPr>
          <w:pgSz w:w="11900" w:h="16838" w:orient="portrait"/>
          <w:cols w:equalWidth="0" w:num="1">
            <w:col w:w="10219"/>
          </w:cols>
          <w:pgMar w:left="240" w:top="158" w:right="1440" w:bottom="0" w:gutter="0" w:footer="0" w:header="0"/>
        </w:sectPr>
      </w:pPr>
    </w:p>
    <w:bookmarkStart w:id="8" w:name="page9"/>
    <w:bookmarkEnd w:id="8"/>
    <w:p>
      <w:pPr>
        <w:jc w:val="both"/>
        <w:ind w:right="2119"/>
        <w:spacing w:after="0" w:line="259" w:lineRule="auto"/>
        <w:rPr>
          <w:sz w:val="20"/>
          <w:szCs w:val="20"/>
          <w:color w:val="auto"/>
        </w:rPr>
      </w:pPr>
      <w:r>
        <w:rPr>
          <w:rFonts w:ascii="Arial" w:cs="Arial" w:eastAsia="Arial" w:hAnsi="Arial"/>
          <w:sz w:val="18"/>
          <w:szCs w:val="18"/>
          <w:color w:val="auto"/>
        </w:rPr>
        <w:t>Goodwill was $4,532 at November 1, 2008 and $4,722 at April 26, 2008. We performed an impairment analysis of goodwill as of November 1, 2008. The result of this analysis indicated that no goodwill impairment existed as of that date.</w:t>
      </w:r>
    </w:p>
    <w:p>
      <w:pPr>
        <w:spacing w:after="0" w:line="221"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As required by SFAS No. 142, intangibles with finite lives are amortized. Included in intangible assets are non-compete agreements, various patents and trademarks. The net value of intangible assets is included as a component of intangible and other assets in the accompanying consolidated balance sheets. Estimated amortization expense based on intangibles as of November 1, 2008 is $315 for each of fiscal years ending 2009 and 2010, $288 for fiscal 2011, $246 for fiscal 2012, $228 for fiscal 2013 and $780 thereafter. The following table sets forth the gross carrying amount and accumulated amortization of intangible assets by major intangible class as of November 1, 2008:</w:t>
      </w:r>
    </w:p>
    <w:p>
      <w:pPr>
        <w:spacing w:after="0" w:line="242"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Gross Carrying</w:t>
            </w:r>
          </w:p>
        </w:tc>
        <w:tc>
          <w:tcPr>
            <w:tcW w:w="26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Accumulated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Amount</w:t>
            </w:r>
          </w:p>
        </w:tc>
        <w:tc>
          <w:tcPr>
            <w:tcW w:w="26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w w:val="96"/>
              </w:rPr>
              <w:t>Net Value</w:t>
            </w:r>
          </w:p>
        </w:tc>
      </w:tr>
      <w:tr>
        <w:trPr>
          <w:trHeight w:val="203"/>
        </w:trPr>
        <w:tc>
          <w:tcPr>
            <w:tcW w:w="1720" w:type="dxa"/>
            <w:vAlign w:val="bottom"/>
          </w:tcPr>
          <w:p>
            <w:pPr>
              <w:spacing w:after="0" w:line="203" w:lineRule="exact"/>
              <w:rPr>
                <w:sz w:val="20"/>
                <w:szCs w:val="20"/>
                <w:color w:val="auto"/>
              </w:rPr>
            </w:pPr>
            <w:r>
              <w:rPr>
                <w:rFonts w:ascii="Arial" w:cs="Arial" w:eastAsia="Arial" w:hAnsi="Arial"/>
                <w:sz w:val="18"/>
                <w:szCs w:val="18"/>
                <w:color w:val="auto"/>
              </w:rPr>
              <w:t>Patents</w:t>
            </w: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2,282</w:t>
            </w:r>
          </w:p>
        </w:tc>
        <w:tc>
          <w:tcPr>
            <w:tcW w:w="340" w:type="dxa"/>
            <w:vAlign w:val="bottom"/>
          </w:tcPr>
          <w:p>
            <w:pPr>
              <w:spacing w:after="0"/>
              <w:rPr>
                <w:sz w:val="17"/>
                <w:szCs w:val="17"/>
                <w:color w:val="auto"/>
              </w:rPr>
            </w:pPr>
          </w:p>
        </w:tc>
        <w:tc>
          <w:tcPr>
            <w:tcW w:w="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476</w:t>
            </w:r>
          </w:p>
        </w:tc>
        <w:tc>
          <w:tcPr>
            <w:tcW w:w="340" w:type="dxa"/>
            <w:vAlign w:val="bottom"/>
          </w:tcPr>
          <w:p>
            <w:pPr>
              <w:spacing w:after="0"/>
              <w:rPr>
                <w:sz w:val="17"/>
                <w:szCs w:val="17"/>
                <w:color w:val="auto"/>
              </w:rPr>
            </w:pPr>
          </w:p>
        </w:tc>
        <w:tc>
          <w:tcPr>
            <w:tcW w:w="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1,806</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Non-compete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agreements</w:t>
            </w:r>
          </w:p>
        </w:tc>
        <w:tc>
          <w:tcPr>
            <w:tcW w:w="20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172</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w w:val="93"/>
              </w:rPr>
              <w:t>Registered trademarks</w:t>
            </w:r>
          </w:p>
        </w:tc>
        <w:tc>
          <w:tcPr>
            <w:tcW w:w="20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401</w:t>
            </w:r>
          </w:p>
        </w:tc>
      </w:tr>
      <w:tr>
        <w:trPr>
          <w:trHeight w:val="231"/>
        </w:trPr>
        <w:tc>
          <w:tcPr>
            <w:tcW w:w="17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w:t>
            </w:r>
          </w:p>
        </w:tc>
      </w:tr>
      <w:tr>
        <w:trPr>
          <w:trHeight w:val="211"/>
        </w:trPr>
        <w:tc>
          <w:tcPr>
            <w:tcW w:w="17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3,118</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4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2,413</w:t>
            </w: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312"/>
              <w:spacing w:after="0"/>
              <w:rPr>
                <w:sz w:val="20"/>
                <w:szCs w:val="20"/>
                <w:color w:val="auto"/>
              </w:rPr>
            </w:pPr>
            <w:r>
              <w:rPr>
                <w:rFonts w:ascii="Arial" w:cs="Arial" w:eastAsia="Arial" w:hAnsi="Arial"/>
                <w:sz w:val="18"/>
                <w:szCs w:val="18"/>
                <w:b w:val="1"/>
                <w:bCs w:val="1"/>
                <w:color w:val="auto"/>
                <w:w w:val="96"/>
              </w:rPr>
              <w:t>November 1,</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ind w:right="472"/>
              <w:spacing w:after="0"/>
              <w:rPr>
                <w:sz w:val="20"/>
                <w:szCs w:val="20"/>
                <w:color w:val="auto"/>
              </w:rPr>
            </w:pPr>
            <w:r>
              <w:rPr>
                <w:rFonts w:ascii="Arial" w:cs="Arial" w:eastAsia="Arial" w:hAnsi="Arial"/>
                <w:sz w:val="18"/>
                <w:szCs w:val="18"/>
                <w:b w:val="1"/>
                <w:bCs w:val="1"/>
                <w:color w:val="auto"/>
              </w:rPr>
              <w:t>April 26,</w:t>
            </w:r>
          </w:p>
        </w:tc>
        <w:tc>
          <w:tcPr>
            <w:tcW w:w="2180" w:type="dxa"/>
            <w:vAlign w:val="bottom"/>
          </w:tcPr>
          <w:p>
            <w:pPr>
              <w:spacing w:after="0"/>
              <w:rPr>
                <w:sz w:val="19"/>
                <w:szCs w:val="19"/>
                <w:color w:val="auto"/>
              </w:rPr>
            </w:pPr>
          </w:p>
        </w:tc>
      </w:tr>
      <w:tr>
        <w:trPr>
          <w:trHeight w:val="230"/>
        </w:trPr>
        <w:tc>
          <w:tcPr>
            <w:tcW w:w="2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2008</w:t>
            </w:r>
          </w:p>
        </w:tc>
        <w:tc>
          <w:tcPr>
            <w:tcW w:w="2180" w:type="dxa"/>
            <w:vAlign w:val="bottom"/>
          </w:tcPr>
          <w:p>
            <w:pPr>
              <w:spacing w:after="0"/>
              <w:rPr>
                <w:sz w:val="19"/>
                <w:szCs w:val="19"/>
                <w:color w:val="auto"/>
              </w:rPr>
            </w:pPr>
          </w:p>
        </w:tc>
      </w:tr>
      <w:tr>
        <w:trPr>
          <w:trHeight w:val="217"/>
        </w:trPr>
        <w:tc>
          <w:tcPr>
            <w:tcW w:w="2060" w:type="dxa"/>
            <w:vAlign w:val="bottom"/>
          </w:tcPr>
          <w:p>
            <w:pPr>
              <w:ind w:left="100"/>
              <w:spacing w:after="0"/>
              <w:rPr>
                <w:sz w:val="20"/>
                <w:szCs w:val="20"/>
                <w:color w:val="auto"/>
              </w:rPr>
            </w:pPr>
            <w:r>
              <w:rPr>
                <w:rFonts w:ascii="Arial" w:cs="Arial" w:eastAsia="Arial" w:hAnsi="Arial"/>
                <w:sz w:val="18"/>
                <w:szCs w:val="18"/>
                <w:color w:val="auto"/>
              </w:rPr>
              <w:t>Raw materials</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23,131</w:t>
            </w:r>
          </w:p>
        </w:tc>
        <w:tc>
          <w:tcPr>
            <w:tcW w:w="36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23,221</w:t>
            </w:r>
          </w:p>
        </w:tc>
        <w:tc>
          <w:tcPr>
            <w:tcW w:w="2180" w:type="dxa"/>
            <w:vAlign w:val="bottom"/>
          </w:tcPr>
          <w:p>
            <w:pPr>
              <w:spacing w:after="0"/>
              <w:rPr>
                <w:sz w:val="18"/>
                <w:szCs w:val="18"/>
                <w:color w:val="auto"/>
              </w:rPr>
            </w:pPr>
          </w:p>
        </w:tc>
      </w:tr>
      <w:tr>
        <w:trPr>
          <w:trHeight w:val="222"/>
        </w:trPr>
        <w:tc>
          <w:tcPr>
            <w:tcW w:w="2060" w:type="dxa"/>
            <w:vAlign w:val="bottom"/>
          </w:tcPr>
          <w:p>
            <w:pPr>
              <w:ind w:left="10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11,725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8,564</w:t>
            </w:r>
          </w:p>
        </w:tc>
        <w:tc>
          <w:tcPr>
            <w:tcW w:w="2180" w:type="dxa"/>
            <w:vAlign w:val="bottom"/>
          </w:tcPr>
          <w:p>
            <w:pPr>
              <w:spacing w:after="0"/>
              <w:rPr>
                <w:sz w:val="19"/>
                <w:szCs w:val="19"/>
                <w:color w:val="auto"/>
              </w:rPr>
            </w:pPr>
          </w:p>
        </w:tc>
      </w:tr>
      <w:tr>
        <w:trPr>
          <w:trHeight w:val="231"/>
        </w:trPr>
        <w:tc>
          <w:tcPr>
            <w:tcW w:w="2060" w:type="dxa"/>
            <w:vAlign w:val="bottom"/>
          </w:tcPr>
          <w:p>
            <w:pPr>
              <w:ind w:left="10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23,142</w:t>
            </w:r>
          </w:p>
        </w:tc>
        <w:tc>
          <w:tcPr>
            <w:tcW w:w="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18,740</w:t>
            </w:r>
          </w:p>
        </w:tc>
        <w:tc>
          <w:tcPr>
            <w:tcW w:w="2180" w:type="dxa"/>
            <w:vAlign w:val="bottom"/>
          </w:tcPr>
          <w:p>
            <w:pPr>
              <w:spacing w:after="0"/>
              <w:rPr>
                <w:sz w:val="20"/>
                <w:szCs w:val="20"/>
                <w:color w:val="auto"/>
              </w:rPr>
            </w:pPr>
          </w:p>
        </w:tc>
      </w:tr>
      <w:tr>
        <w:trPr>
          <w:trHeight w:val="211"/>
        </w:trPr>
        <w:tc>
          <w:tcPr>
            <w:tcW w:w="2060" w:type="dxa"/>
            <w:vAlign w:val="bottom"/>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57,998</w:t>
            </w:r>
          </w:p>
        </w:tc>
        <w:tc>
          <w:tcPr>
            <w:tcW w:w="360" w:type="dxa"/>
            <w:vAlign w:val="bottom"/>
          </w:tcPr>
          <w:p>
            <w:pPr>
              <w:spacing w:after="0"/>
              <w:rPr>
                <w:sz w:val="18"/>
                <w:szCs w:val="18"/>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50,525</w:t>
            </w:r>
          </w:p>
        </w:tc>
        <w:tc>
          <w:tcPr>
            <w:tcW w:w="2180" w:type="dxa"/>
            <w:vAlign w:val="bottom"/>
          </w:tcPr>
          <w:p>
            <w:pPr>
              <w:spacing w:after="0"/>
              <w:rPr>
                <w:sz w:val="18"/>
                <w:szCs w:val="18"/>
                <w:color w:val="auto"/>
              </w:rPr>
            </w:pPr>
          </w:p>
        </w:tc>
      </w:tr>
      <w:tr>
        <w:trPr>
          <w:trHeight w:val="20"/>
        </w:trPr>
        <w:tc>
          <w:tcPr>
            <w:tcW w:w="2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38"/>
        </w:trPr>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gridSpan w:val="2"/>
          </w:tcPr>
          <w:p>
            <w:pPr>
              <w:jc w:val="right"/>
              <w:ind w:right="272"/>
              <w:spacing w:after="0"/>
              <w:rPr>
                <w:sz w:val="20"/>
                <w:szCs w:val="20"/>
                <w:color w:val="auto"/>
              </w:rPr>
            </w:pPr>
            <w:r>
              <w:rPr>
                <w:rFonts w:ascii="Arial" w:cs="Arial" w:eastAsia="Arial" w:hAnsi="Arial"/>
                <w:sz w:val="18"/>
                <w:szCs w:val="18"/>
                <w:color w:val="auto"/>
              </w:rPr>
              <w:t>-9-</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7"/>
        </w:trPr>
        <w:tc>
          <w:tcPr>
            <w:tcW w:w="2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Disclosure</w:t>
      </w:r>
    </w:p>
    <w:p>
      <w:pPr>
        <w:spacing w:after="0" w:line="258" w:lineRule="exact"/>
        <w:rPr>
          <w:sz w:val="20"/>
          <w:szCs w:val="20"/>
          <w:color w:val="auto"/>
        </w:rPr>
      </w:pPr>
    </w:p>
    <w:p>
      <w:pPr>
        <w:jc w:val="both"/>
        <w:ind w:right="2119"/>
        <w:spacing w:after="0" w:line="312" w:lineRule="auto"/>
        <w:rPr>
          <w:sz w:val="20"/>
          <w:szCs w:val="20"/>
          <w:color w:val="auto"/>
        </w:rPr>
      </w:pPr>
      <w:r>
        <w:rPr>
          <w:rFonts w:ascii="Arial" w:cs="Arial" w:eastAsia="Arial" w:hAnsi="Arial"/>
          <w:sz w:val="16"/>
          <w:szCs w:val="16"/>
          <w:color w:val="auto"/>
        </w:rPr>
        <w:t xml:space="preserve">At the beginning of fiscal year 2008, we reorganized our business into five business units and implemented limited discrete financial reporting about these business units to the chief operating decision maker, which required us to change our segment disclosures under SFAS No. 131, </w:t>
      </w:r>
      <w:r>
        <w:rPr>
          <w:rFonts w:ascii="Arial" w:cs="Arial" w:eastAsia="Arial" w:hAnsi="Arial"/>
          <w:sz w:val="16"/>
          <w:szCs w:val="16"/>
          <w:i w:val="1"/>
          <w:iCs w:val="1"/>
          <w:color w:val="auto"/>
        </w:rPr>
        <w:t>Disclosures about Segments of an Enterprise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We have five business units which meet the definition of reportable segments under SFAS No. 131:</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Live Events, Schools and Theatres, Transportation and International.</w:t>
      </w:r>
    </w:p>
    <w:p>
      <w:pPr>
        <w:spacing w:after="0" w:line="182"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Our Commercial business unit consists of primarily sales of our video display technology, Galaxy® and Valo™ product lines, to resellers, primarily sign companies, outdoor advertisers, national retailers and quick-serve restaurants, casinos and petroleum retailers. Our Live Events business unit consists of primarily sales of integrated scoring and video display systems to college and professional sports facilities and mobile video display technology to video rental organizations and other live events type venues. Our Schools and Theatres segment primarily consists of sales of scoring systems, Galaxy® and video display systems to primary and secondary education facilities and sales of our Vortek® automated rigging systems for theatre applications. Our Transportation segment primarily consists of sales of our Vanguard® product line to governmental transportation departments, airlines and other transportation related customers. Finally, our International segment primarily consists of sales of all product lines throughout the world, except the United States and Canada.</w:t>
      </w:r>
    </w:p>
    <w:p>
      <w:pPr>
        <w:spacing w:after="0" w:line="20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Business unit reports present results through operating income, which is comprised of gross profit less selling, general and administrative and product development costs. Segment profit excludes interest income and expense, non-operating income and income tax expense. Assets are not allocated to the segments. Depreciation and amortization are allocated to each segment based on various financial measures. In general, business units follow the same accounting policies as those described in Note 1. General and administrative costs are allocated based on levels of personnel, revenues or on a fixed basis to each business unit. Product development cost is allocated to all business units based on fixed allocations depending on the type of product development. Costs of domestic field sales and services infrastructure, including most field administrative staff, are allocated to the Commercial, Live Events and Schools and Theatres business units based on cost of sales. Beginning in fiscal year 2009, we changed our method of allocating various items, primarily general and administrative and product development expenses. Fiscal year 2008 segment results have been restated to conform to these changes.</w:t>
      </w:r>
    </w:p>
    <w:p>
      <w:pPr>
        <w:spacing w:after="0" w:line="20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Shared manufacturing, building and utilities and procurement costs are allocated based on direct hours, square footage and other various financial measures.</w:t>
      </w:r>
    </w:p>
    <w:p>
      <w:pPr>
        <w:spacing w:after="0" w:line="213" w:lineRule="exact"/>
        <w:rPr>
          <w:sz w:val="20"/>
          <w:szCs w:val="20"/>
          <w:color w:val="auto"/>
        </w:rPr>
      </w:pPr>
    </w:p>
    <w:p>
      <w:pPr>
        <w:jc w:val="center"/>
        <w:ind w:right="2119"/>
        <w:spacing w:after="0"/>
        <w:rPr>
          <w:sz w:val="20"/>
          <w:szCs w:val="20"/>
          <w:color w:val="auto"/>
        </w:rPr>
      </w:pPr>
      <w:r>
        <w:rPr>
          <w:rFonts w:ascii="Arial" w:cs="Arial" w:eastAsia="Arial" w:hAnsi="Arial"/>
          <w:sz w:val="16"/>
          <w:szCs w:val="16"/>
          <w:color w:val="auto"/>
        </w:rPr>
        <w:t>We do not maintain information on sales by products and, therefore, disclosure of such information is not practical.</w:t>
      </w:r>
    </w:p>
    <w:p>
      <w:pPr>
        <w:spacing w:after="0" w:line="27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131" w:right="1440" w:bottom="0" w:gutter="0" w:footer="0" w:header="0"/>
        </w:sectPr>
      </w:pPr>
    </w:p>
    <w:bookmarkStart w:id="9" w:name="page10"/>
    <w:bookmarkEnd w:id="9"/>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17080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0805"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sets forth certain financial information for each of our five functional operating segments:</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44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4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November 1,</w:t>
            </w:r>
          </w:p>
        </w:tc>
        <w:tc>
          <w:tcPr>
            <w:tcW w:w="122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October 27,</w:t>
            </w:r>
          </w:p>
        </w:tc>
        <w:tc>
          <w:tcPr>
            <w:tcW w:w="300" w:type="dxa"/>
            <w:vAlign w:val="bottom"/>
          </w:tcPr>
          <w:p>
            <w:pPr>
              <w:spacing w:after="0"/>
              <w:rPr>
                <w:sz w:val="18"/>
                <w:szCs w:val="18"/>
                <w:color w:val="auto"/>
              </w:rPr>
            </w:pPr>
          </w:p>
        </w:tc>
        <w:tc>
          <w:tcPr>
            <w:tcW w:w="15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November 1,</w:t>
            </w:r>
          </w:p>
        </w:tc>
        <w:tc>
          <w:tcPr>
            <w:tcW w:w="124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October 27,</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47,794</w:t>
            </w:r>
          </w:p>
        </w:tc>
        <w:tc>
          <w:tcPr>
            <w:tcW w:w="280" w:type="dxa"/>
            <w:vAlign w:val="bottom"/>
          </w:tcPr>
          <w:p>
            <w:pPr>
              <w:spacing w:after="0"/>
              <w:rPr>
                <w:sz w:val="19"/>
                <w:szCs w:val="19"/>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40,910</w:t>
            </w:r>
          </w:p>
        </w:tc>
        <w:tc>
          <w:tcPr>
            <w:tcW w:w="30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96,184</w:t>
            </w:r>
          </w:p>
        </w:tc>
        <w:tc>
          <w:tcPr>
            <w:tcW w:w="280" w:type="dxa"/>
            <w:vAlign w:val="bottom"/>
          </w:tcPr>
          <w:p>
            <w:pPr>
              <w:spacing w:after="0"/>
              <w:rPr>
                <w:sz w:val="19"/>
                <w:szCs w:val="19"/>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83,251</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78,403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48,072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141,491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95,376</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Schools &amp; Theatres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22,680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19,211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39,661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36,673</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18,299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18,098</w:t>
            </w:r>
          </w:p>
        </w:tc>
        <w:tc>
          <w:tcPr>
            <w:tcW w:w="0" w:type="dxa"/>
            <w:vAlign w:val="bottom"/>
          </w:tcPr>
          <w:p>
            <w:pPr>
              <w:spacing w:after="0"/>
              <w:rPr>
                <w:sz w:val="1"/>
                <w:szCs w:val="1"/>
                <w:color w:val="auto"/>
              </w:rPr>
            </w:pPr>
          </w:p>
        </w:tc>
      </w:tr>
      <w:tr>
        <w:trPr>
          <w:trHeight w:val="231"/>
        </w:trPr>
        <w:tc>
          <w:tcPr>
            <w:tcW w:w="2980" w:type="dxa"/>
            <w:vAlign w:val="bottom"/>
          </w:tcPr>
          <w:p>
            <w:pPr>
              <w:ind w:left="3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35,291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18,961</w:t>
            </w:r>
          </w:p>
        </w:tc>
        <w:tc>
          <w:tcPr>
            <w:tcW w:w="0" w:type="dxa"/>
            <w:vAlign w:val="bottom"/>
          </w:tcPr>
          <w:p>
            <w:pPr>
              <w:spacing w:after="0"/>
              <w:rPr>
                <w:sz w:val="1"/>
                <w:szCs w:val="1"/>
                <w:color w:val="auto"/>
              </w:rPr>
            </w:pPr>
          </w:p>
        </w:tc>
      </w:tr>
      <w:tr>
        <w:trPr>
          <w:trHeight w:val="238"/>
        </w:trPr>
        <w:tc>
          <w:tcPr>
            <w:tcW w:w="2980" w:type="dxa"/>
            <w:vAlign w:val="bottom"/>
          </w:tcPr>
          <w:p>
            <w:pPr>
              <w:ind w:left="70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169,697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131,436</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330,926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252,359</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4,741</w:t>
            </w:r>
          </w:p>
        </w:tc>
        <w:tc>
          <w:tcPr>
            <w:tcW w:w="280" w:type="dxa"/>
            <w:vAlign w:val="bottom"/>
          </w:tcPr>
          <w:p>
            <w:pPr>
              <w:spacing w:after="0"/>
              <w:rPr>
                <w:sz w:val="19"/>
                <w:szCs w:val="19"/>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5,050</w:t>
            </w:r>
          </w:p>
        </w:tc>
        <w:tc>
          <w:tcPr>
            <w:tcW w:w="30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9,059</w:t>
            </w:r>
          </w:p>
        </w:tc>
        <w:tc>
          <w:tcPr>
            <w:tcW w:w="280" w:type="dxa"/>
            <w:vAlign w:val="bottom"/>
          </w:tcPr>
          <w:p>
            <w:pPr>
              <w:spacing w:after="0"/>
              <w:rPr>
                <w:sz w:val="19"/>
                <w:szCs w:val="19"/>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11,047</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17,136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25,990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Schools &amp; Theatres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(1,022)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2980" w:type="dxa"/>
            <w:vAlign w:val="bottom"/>
          </w:tcPr>
          <w:p>
            <w:pPr>
              <w:ind w:left="3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1"/>
        </w:trPr>
        <w:tc>
          <w:tcPr>
            <w:tcW w:w="2980" w:type="dxa"/>
            <w:vAlign w:val="bottom"/>
          </w:tcPr>
          <w:p>
            <w:pPr>
              <w:ind w:left="70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19,845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12,338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34,600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23,615</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2980" w:type="dxa"/>
            <w:vAlign w:val="bottom"/>
          </w:tcPr>
          <w:p>
            <w:pPr>
              <w:ind w:left="3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18,965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33,804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23,207</w:t>
            </w:r>
          </w:p>
        </w:tc>
        <w:tc>
          <w:tcPr>
            <w:tcW w:w="0" w:type="dxa"/>
            <w:vAlign w:val="bottom"/>
          </w:tcPr>
          <w:p>
            <w:pPr>
              <w:spacing w:after="0"/>
              <w:rPr>
                <w:sz w:val="1"/>
                <w:szCs w:val="1"/>
                <w:color w:val="auto"/>
              </w:rPr>
            </w:pPr>
          </w:p>
        </w:tc>
      </w:tr>
      <w:tr>
        <w:trPr>
          <w:trHeight w:val="231"/>
        </w:trPr>
        <w:tc>
          <w:tcPr>
            <w:tcW w:w="298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11,881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12,197</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8,009</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21,923</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15,121</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Depreciation</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2,065</w:t>
            </w:r>
          </w:p>
        </w:tc>
        <w:tc>
          <w:tcPr>
            <w:tcW w:w="280" w:type="dxa"/>
            <w:vAlign w:val="bottom"/>
          </w:tcPr>
          <w:p>
            <w:pPr>
              <w:spacing w:after="0"/>
              <w:rPr>
                <w:sz w:val="19"/>
                <w:szCs w:val="19"/>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1,693</w:t>
            </w:r>
          </w:p>
        </w:tc>
        <w:tc>
          <w:tcPr>
            <w:tcW w:w="30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4,016</w:t>
            </w:r>
          </w:p>
        </w:tc>
        <w:tc>
          <w:tcPr>
            <w:tcW w:w="280" w:type="dxa"/>
            <w:vAlign w:val="bottom"/>
          </w:tcPr>
          <w:p>
            <w:pPr>
              <w:spacing w:after="0"/>
              <w:rPr>
                <w:sz w:val="19"/>
                <w:szCs w:val="19"/>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4,395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Schools &amp; Theatres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2,313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938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1"/>
        </w:trPr>
        <w:tc>
          <w:tcPr>
            <w:tcW w:w="2980" w:type="dxa"/>
            <w:vAlign w:val="bottom"/>
          </w:tcPr>
          <w:p>
            <w:pPr>
              <w:ind w:left="3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12,029</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10,196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No single geographic area comprises a material amount of net sales or long-lived assets other than the United States. The following table presents information about us in the United States and elsewhere: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b w:val="1"/>
                <w:bCs w:val="1"/>
                <w:color w:val="auto"/>
              </w:rPr>
              <w:t>United States</w:t>
            </w:r>
          </w:p>
        </w:tc>
        <w:tc>
          <w:tcPr>
            <w:tcW w:w="28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Others</w:t>
            </w:r>
          </w:p>
        </w:tc>
        <w:tc>
          <w:tcPr>
            <w:tcW w:w="34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Total</w:t>
            </w:r>
          </w:p>
        </w:tc>
        <w:tc>
          <w:tcPr>
            <w:tcW w:w="580" w:type="dxa"/>
            <w:vAlign w:val="bottom"/>
          </w:tcPr>
          <w:p>
            <w:pPr>
              <w:spacing w:after="0"/>
              <w:rPr>
                <w:sz w:val="19"/>
                <w:szCs w:val="19"/>
                <w:color w:val="auto"/>
              </w:rPr>
            </w:pPr>
          </w:p>
        </w:tc>
      </w:tr>
      <w:tr>
        <w:trPr>
          <w:trHeight w:val="210"/>
        </w:trPr>
        <w:tc>
          <w:tcPr>
            <w:tcW w:w="2880" w:type="dxa"/>
            <w:vAlign w:val="bottom"/>
          </w:tcPr>
          <w:p>
            <w:pPr>
              <w:ind w:left="100"/>
              <w:spacing w:after="0"/>
              <w:rPr>
                <w:sz w:val="20"/>
                <w:szCs w:val="20"/>
                <w:color w:val="auto"/>
              </w:rPr>
            </w:pPr>
            <w:r>
              <w:rPr>
                <w:rFonts w:ascii="Arial" w:cs="Arial" w:eastAsia="Arial" w:hAnsi="Arial"/>
                <w:sz w:val="18"/>
                <w:szCs w:val="18"/>
                <w:color w:val="auto"/>
              </w:rPr>
              <w:t>Net sales for three months ended:</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2880" w:type="dxa"/>
            <w:vAlign w:val="bottom"/>
          </w:tcPr>
          <w:p>
            <w:pPr>
              <w:ind w:left="420"/>
              <w:spacing w:after="0"/>
              <w:rPr>
                <w:sz w:val="20"/>
                <w:szCs w:val="20"/>
                <w:color w:val="auto"/>
              </w:rPr>
            </w:pPr>
            <w:r>
              <w:rPr>
                <w:rFonts w:ascii="Arial" w:cs="Arial" w:eastAsia="Arial" w:hAnsi="Arial"/>
                <w:sz w:val="18"/>
                <w:szCs w:val="18"/>
                <w:color w:val="auto"/>
              </w:rPr>
              <w:t>November 1, 2008</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151,092</w:t>
            </w:r>
          </w:p>
        </w:tc>
        <w:tc>
          <w:tcPr>
            <w:tcW w:w="30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18,605</w:t>
            </w:r>
          </w:p>
        </w:tc>
        <w:tc>
          <w:tcPr>
            <w:tcW w:w="300" w:type="dxa"/>
            <w:vAlign w:val="bottom"/>
          </w:tcPr>
          <w:p>
            <w:pPr>
              <w:spacing w:after="0"/>
              <w:rPr>
                <w:sz w:val="19"/>
                <w:szCs w:val="19"/>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169,697</w:t>
            </w:r>
          </w:p>
        </w:tc>
        <w:tc>
          <w:tcPr>
            <w:tcW w:w="580" w:type="dxa"/>
            <w:vAlign w:val="bottom"/>
          </w:tcPr>
          <w:p>
            <w:pPr>
              <w:spacing w:after="0"/>
              <w:rPr>
                <w:sz w:val="19"/>
                <w:szCs w:val="19"/>
                <w:color w:val="auto"/>
              </w:rPr>
            </w:pPr>
          </w:p>
        </w:tc>
      </w:tr>
      <w:tr>
        <w:trPr>
          <w:trHeight w:val="230"/>
        </w:trPr>
        <w:tc>
          <w:tcPr>
            <w:tcW w:w="2880" w:type="dxa"/>
            <w:vAlign w:val="bottom"/>
          </w:tcPr>
          <w:p>
            <w:pPr>
              <w:ind w:left="420"/>
              <w:spacing w:after="0"/>
              <w:rPr>
                <w:sz w:val="20"/>
                <w:szCs w:val="20"/>
                <w:color w:val="auto"/>
              </w:rPr>
            </w:pPr>
            <w:r>
              <w:rPr>
                <w:rFonts w:ascii="Arial" w:cs="Arial" w:eastAsia="Arial" w:hAnsi="Arial"/>
                <w:sz w:val="18"/>
                <w:szCs w:val="18"/>
                <w:color w:val="auto"/>
              </w:rPr>
              <w:t>October 27, 2007</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114,670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16,766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131,436</w:t>
            </w:r>
          </w:p>
        </w:tc>
        <w:tc>
          <w:tcPr>
            <w:tcW w:w="580" w:type="dxa"/>
            <w:vAlign w:val="bottom"/>
          </w:tcPr>
          <w:p>
            <w:pPr>
              <w:spacing w:after="0"/>
              <w:rPr>
                <w:sz w:val="19"/>
                <w:szCs w:val="19"/>
                <w:color w:val="auto"/>
              </w:rPr>
            </w:pPr>
          </w:p>
        </w:tc>
      </w:tr>
      <w:tr>
        <w:trPr>
          <w:trHeight w:val="459"/>
        </w:trPr>
        <w:tc>
          <w:tcPr>
            <w:tcW w:w="2880" w:type="dxa"/>
            <w:vAlign w:val="bottom"/>
          </w:tcPr>
          <w:p>
            <w:pPr>
              <w:ind w:left="100"/>
              <w:spacing w:after="0"/>
              <w:rPr>
                <w:sz w:val="20"/>
                <w:szCs w:val="20"/>
                <w:color w:val="auto"/>
              </w:rPr>
            </w:pPr>
            <w:r>
              <w:rPr>
                <w:rFonts w:ascii="Arial" w:cs="Arial" w:eastAsia="Arial" w:hAnsi="Arial"/>
                <w:sz w:val="18"/>
                <w:szCs w:val="18"/>
                <w:color w:val="auto"/>
              </w:rPr>
              <w:t>Net sales for six months ended:</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2880" w:type="dxa"/>
            <w:vAlign w:val="bottom"/>
          </w:tcPr>
          <w:p>
            <w:pPr>
              <w:ind w:left="420"/>
              <w:spacing w:after="0"/>
              <w:rPr>
                <w:sz w:val="20"/>
                <w:szCs w:val="20"/>
                <w:color w:val="auto"/>
              </w:rPr>
            </w:pPr>
            <w:r>
              <w:rPr>
                <w:rFonts w:ascii="Arial" w:cs="Arial" w:eastAsia="Arial" w:hAnsi="Arial"/>
                <w:sz w:val="18"/>
                <w:szCs w:val="18"/>
                <w:color w:val="auto"/>
              </w:rPr>
              <w:t>November 1, 2008</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285,922</w:t>
            </w:r>
          </w:p>
        </w:tc>
        <w:tc>
          <w:tcPr>
            <w:tcW w:w="30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45,004</w:t>
            </w:r>
          </w:p>
        </w:tc>
        <w:tc>
          <w:tcPr>
            <w:tcW w:w="300" w:type="dxa"/>
            <w:vAlign w:val="bottom"/>
          </w:tcPr>
          <w:p>
            <w:pPr>
              <w:spacing w:after="0"/>
              <w:rPr>
                <w:sz w:val="19"/>
                <w:szCs w:val="19"/>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330,926</w:t>
            </w:r>
          </w:p>
        </w:tc>
        <w:tc>
          <w:tcPr>
            <w:tcW w:w="580" w:type="dxa"/>
            <w:vAlign w:val="bottom"/>
          </w:tcPr>
          <w:p>
            <w:pPr>
              <w:spacing w:after="0"/>
              <w:rPr>
                <w:sz w:val="19"/>
                <w:szCs w:val="19"/>
                <w:color w:val="auto"/>
              </w:rPr>
            </w:pPr>
          </w:p>
        </w:tc>
      </w:tr>
      <w:tr>
        <w:trPr>
          <w:trHeight w:val="230"/>
        </w:trPr>
        <w:tc>
          <w:tcPr>
            <w:tcW w:w="2880" w:type="dxa"/>
            <w:vAlign w:val="bottom"/>
          </w:tcPr>
          <w:p>
            <w:pPr>
              <w:ind w:left="420"/>
              <w:spacing w:after="0"/>
              <w:rPr>
                <w:sz w:val="20"/>
                <w:szCs w:val="20"/>
                <w:color w:val="auto"/>
              </w:rPr>
            </w:pPr>
            <w:r>
              <w:rPr>
                <w:rFonts w:ascii="Arial" w:cs="Arial" w:eastAsia="Arial" w:hAnsi="Arial"/>
                <w:sz w:val="18"/>
                <w:szCs w:val="18"/>
                <w:color w:val="auto"/>
              </w:rPr>
              <w:t>October 27, 2007</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226,508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25,851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252,359</w:t>
            </w:r>
          </w:p>
        </w:tc>
        <w:tc>
          <w:tcPr>
            <w:tcW w:w="580" w:type="dxa"/>
            <w:vAlign w:val="bottom"/>
          </w:tcPr>
          <w:p>
            <w:pPr>
              <w:spacing w:after="0"/>
              <w:rPr>
                <w:sz w:val="19"/>
                <w:szCs w:val="19"/>
                <w:color w:val="auto"/>
              </w:rPr>
            </w:pPr>
          </w:p>
        </w:tc>
      </w:tr>
      <w:tr>
        <w:trPr>
          <w:trHeight w:val="459"/>
        </w:trPr>
        <w:tc>
          <w:tcPr>
            <w:tcW w:w="2880" w:type="dxa"/>
            <w:vAlign w:val="bottom"/>
          </w:tcPr>
          <w:p>
            <w:pPr>
              <w:ind w:left="100"/>
              <w:spacing w:after="0"/>
              <w:rPr>
                <w:sz w:val="20"/>
                <w:szCs w:val="20"/>
                <w:color w:val="auto"/>
              </w:rPr>
            </w:pPr>
            <w:r>
              <w:rPr>
                <w:rFonts w:ascii="Arial" w:cs="Arial" w:eastAsia="Arial" w:hAnsi="Arial"/>
                <w:sz w:val="18"/>
                <w:szCs w:val="18"/>
                <w:color w:val="auto"/>
              </w:rPr>
              <w:t>Long-lived assets at:</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2880" w:type="dxa"/>
            <w:vAlign w:val="bottom"/>
          </w:tcPr>
          <w:p>
            <w:pPr>
              <w:ind w:left="420"/>
              <w:spacing w:after="0"/>
              <w:rPr>
                <w:sz w:val="20"/>
                <w:szCs w:val="20"/>
                <w:color w:val="auto"/>
              </w:rPr>
            </w:pPr>
            <w:r>
              <w:rPr>
                <w:rFonts w:ascii="Arial" w:cs="Arial" w:eastAsia="Arial" w:hAnsi="Arial"/>
                <w:sz w:val="18"/>
                <w:szCs w:val="18"/>
                <w:color w:val="auto"/>
              </w:rPr>
              <w:t>November 1, 2008</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97,395</w:t>
            </w:r>
          </w:p>
        </w:tc>
        <w:tc>
          <w:tcPr>
            <w:tcW w:w="30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2,077</w:t>
            </w:r>
          </w:p>
        </w:tc>
        <w:tc>
          <w:tcPr>
            <w:tcW w:w="300" w:type="dxa"/>
            <w:vAlign w:val="bottom"/>
          </w:tcPr>
          <w:p>
            <w:pPr>
              <w:spacing w:after="0"/>
              <w:rPr>
                <w:sz w:val="19"/>
                <w:szCs w:val="19"/>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99,472</w:t>
            </w:r>
          </w:p>
        </w:tc>
        <w:tc>
          <w:tcPr>
            <w:tcW w:w="580" w:type="dxa"/>
            <w:vAlign w:val="bottom"/>
          </w:tcPr>
          <w:p>
            <w:pPr>
              <w:spacing w:after="0"/>
              <w:rPr>
                <w:sz w:val="19"/>
                <w:szCs w:val="19"/>
                <w:color w:val="auto"/>
              </w:rPr>
            </w:pPr>
          </w:p>
        </w:tc>
      </w:tr>
      <w:tr>
        <w:trPr>
          <w:trHeight w:val="230"/>
        </w:trPr>
        <w:tc>
          <w:tcPr>
            <w:tcW w:w="2880" w:type="dxa"/>
            <w:vAlign w:val="bottom"/>
          </w:tcPr>
          <w:p>
            <w:pPr>
              <w:ind w:left="420"/>
              <w:spacing w:after="0"/>
              <w:rPr>
                <w:sz w:val="20"/>
                <w:szCs w:val="20"/>
                <w:color w:val="auto"/>
              </w:rPr>
            </w:pPr>
            <w:r>
              <w:rPr>
                <w:rFonts w:ascii="Arial" w:cs="Arial" w:eastAsia="Arial" w:hAnsi="Arial"/>
                <w:sz w:val="18"/>
                <w:szCs w:val="18"/>
                <w:color w:val="auto"/>
              </w:rPr>
              <w:t>April 26, 2008</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95,463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2,060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97,523</w:t>
            </w:r>
          </w:p>
        </w:tc>
        <w:tc>
          <w:tcPr>
            <w:tcW w:w="580" w:type="dxa"/>
            <w:vAlign w:val="bottom"/>
          </w:tcPr>
          <w:p>
            <w:pPr>
              <w:spacing w:after="0"/>
              <w:rPr>
                <w:sz w:val="19"/>
                <w:szCs w:val="19"/>
                <w:color w:val="auto"/>
              </w:rPr>
            </w:pPr>
          </w:p>
        </w:tc>
      </w:tr>
      <w:tr>
        <w:trPr>
          <w:trHeight w:val="689"/>
        </w:trPr>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7"/>
        </w:trPr>
        <w:tc>
          <w:tcPr>
            <w:tcW w:w="2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285"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i w:val="1"/>
          <w:iCs w:val="1"/>
          <w:u w:val="single" w:color="auto"/>
          <w:color w:val="auto"/>
        </w:rPr>
        <w:t>Stock incentive plans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year 2008, we established the 2007 Stock Incentive Plan (“2007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ceased granting options under the 2001 Incentive Stock Option Plan and the 2001 Outside Directors Option Plan (“2001 Plans”), and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2007 Plan, the 2001 Plans and the 1993 Plans (the “Plans”) generally have a ten-year life, an exercise price equal to the fair market value on the grant date and a five-year vesting period. Stock options granted to outside directors under the Plans have a seven-year life, an exercise price equal to the fair market value on the date of grant and a three-year vesting period. The restricted stock granted to the Board of Directors under the 2007 Plan vests in one year, provided that they remain on the board. As with stock options, restricted stock cannot be transferred during the vesting period.</w:t>
      </w:r>
    </w:p>
    <w:p>
      <w:pPr>
        <w:sectPr>
          <w:pgSz w:w="11900" w:h="16897" w:orient="portrait"/>
          <w:cols w:equalWidth="0" w:num="1">
            <w:col w:w="10219"/>
          </w:cols>
          <w:pgMar w:left="240" w:top="752" w:right="1440" w:bottom="0" w:gutter="0" w:footer="0" w:header="0"/>
        </w:sectPr>
      </w:pPr>
    </w:p>
    <w:bookmarkStart w:id="10" w:name="page11"/>
    <w:bookmarkEnd w:id="10"/>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total number of shares of stock reserved and available for distribution under the 2007 Plan is 4,000 shares.</w:t>
      </w:r>
    </w:p>
    <w:p>
      <w:pPr>
        <w:spacing w:after="0" w:line="275"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We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w:t>
      </w:r>
    </w:p>
    <w:p>
      <w:pPr>
        <w:spacing w:after="0" w:line="22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summary of the share-based compensation expense for stock options, restricted stock and our ESPP that we recorded in accordance with SFAS No. 123(R) is as follows: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900" w:type="dxa"/>
            <w:vAlign w:val="bottom"/>
            <w:gridSpan w:val="4"/>
          </w:tcPr>
          <w:p>
            <w:pPr>
              <w:jc w:val="right"/>
              <w:ind w:right="77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8"/>
              </w:rPr>
              <w:t>October 27,</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8"/>
              </w:rPr>
              <w:t>October 27,</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7"/>
        </w:trPr>
        <w:tc>
          <w:tcPr>
            <w:tcW w:w="224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Product development and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design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279</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7"/>
        </w:trPr>
        <w:tc>
          <w:tcPr>
            <w:tcW w:w="2240" w:type="dxa"/>
            <w:vAlign w:val="bottom"/>
          </w:tcPr>
          <w:p>
            <w:pPr>
              <w:ind w:left="180"/>
              <w:spacing w:after="0"/>
              <w:rPr>
                <w:sz w:val="20"/>
                <w:szCs w:val="20"/>
                <w:color w:val="auto"/>
              </w:rPr>
            </w:pPr>
            <w:r>
              <w:rPr>
                <w:rFonts w:ascii="Arial" w:cs="Arial" w:eastAsia="Arial" w:hAnsi="Arial"/>
                <w:sz w:val="18"/>
                <w:szCs w:val="18"/>
                <w:color w:val="auto"/>
              </w:rPr>
              <w:t>Decrease in net income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3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548</w:t>
            </w:r>
          </w:p>
        </w:tc>
        <w:tc>
          <w:tcPr>
            <w:tcW w:w="3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1,594</w:t>
            </w:r>
          </w:p>
        </w:tc>
        <w:tc>
          <w:tcPr>
            <w:tcW w:w="32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before taxes</w:t>
            </w: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Effect on basic and diluted</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240" w:type="dxa"/>
            <w:vAlign w:val="bottom"/>
            <w:vMerge w:val="continue"/>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66" w:lineRule="auto"/>
        <w:rPr>
          <w:sz w:val="20"/>
          <w:szCs w:val="20"/>
          <w:color w:val="auto"/>
        </w:rPr>
      </w:pPr>
      <w:r>
        <w:rPr>
          <w:rFonts w:ascii="Arial" w:cs="Arial" w:eastAsia="Arial" w:hAnsi="Arial"/>
          <w:sz w:val="18"/>
          <w:szCs w:val="18"/>
          <w:color w:val="auto"/>
        </w:rPr>
        <w:t>As of November 1, 2008, there was $6,469 of total unrecognized compensation cost related to non-vested share-based compensation arrangements granted under all of our equity compensation plans. Total unrecognized compensation cost will be adjusted for future changes in estimated forfeitures. We expect to recognize that cost over a weighted average period of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Comprehensive Income</w:t>
      </w:r>
    </w:p>
    <w:p>
      <w:pPr>
        <w:spacing w:after="0" w:line="285"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 xml:space="preserve">We follow the provisions of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as applicable. The foreign currency translation adjustment included in comprehensive income has not been tax affected, as the investments in foreign affiliates are deemed to be permanent. In accordance with SFAS No. 130, we have chosen to disclose comprehensive income in the consolidated statement of shareholders’ equity.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 summary of comprehensive income that we recorded in accordance with SFAS No. 130 is as follows:</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November 1,</w:t>
            </w:r>
          </w:p>
        </w:tc>
        <w:tc>
          <w:tcPr>
            <w:tcW w:w="20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w w:val="88"/>
              </w:rPr>
              <w:t>October 27,</w:t>
            </w:r>
          </w:p>
        </w:tc>
      </w:tr>
      <w:tr>
        <w:trPr>
          <w:trHeight w:val="228"/>
        </w:trPr>
        <w:tc>
          <w:tcPr>
            <w:tcW w:w="3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2007</w:t>
            </w:r>
          </w:p>
        </w:tc>
      </w:tr>
      <w:tr>
        <w:trPr>
          <w:trHeight w:val="217"/>
        </w:trPr>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21,923</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15,121</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w w:val="99"/>
              </w:rPr>
              <w:t>Net foreign currency translation adjustment</w:t>
            </w:r>
          </w:p>
        </w:tc>
        <w:tc>
          <w:tcPr>
            <w:tcW w:w="1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Net gain on derivatives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w:t>
            </w:r>
          </w:p>
        </w:tc>
      </w:tr>
      <w:tr>
        <w:trPr>
          <w:trHeight w:val="212"/>
        </w:trPr>
        <w:tc>
          <w:tcPr>
            <w:tcW w:w="3440" w:type="dxa"/>
            <w:vAlign w:val="bottom"/>
          </w:tcPr>
          <w:p>
            <w:pPr>
              <w:ind w:left="36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21,823</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15,161</w:t>
            </w: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85"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Our company and two of our executive officers are named as defendants in two complaints</w:t>
      </w:r>
      <w:r>
        <w:rPr>
          <w:rFonts w:ascii="Arial" w:cs="Arial" w:eastAsia="Arial" w:hAnsi="Arial"/>
          <w:sz w:val="16"/>
          <w:szCs w:val="16"/>
          <w:i w:val="1"/>
          <w:iCs w:val="1"/>
          <w:color w:val="auto"/>
        </w:rPr>
        <w:t xml:space="preserve"> </w:t>
      </w:r>
      <w:r>
        <w:rPr>
          <w:rFonts w:ascii="Arial" w:cs="Arial" w:eastAsia="Arial" w:hAnsi="Arial"/>
          <w:sz w:val="16"/>
          <w:szCs w:val="16"/>
          <w:color w:val="auto"/>
        </w:rPr>
        <w:t>filed by two investors in the U.S. District Court for the District of South Dakota in November 2008. The complaints purport to be brought on behalf of a class of all persons (except defendants and other officers and directors of the company) who purchased our stock in the open market between November 15, 2006 and April 5, 2007 (the “class period”). The complaints allege that the defendants materially misled the investing public in our press releases, SEC filings and conference calls, thereby inflating the price of our common stock, by issuing false and misleading statements and omitting to disclose material facts necessary to make our statements not false and misleading. The complaints allege claims under Sections 10(b) and 20(a) of the Securities Exchange Act of 1934, as amended. The complaints seek compensatory damages on behalf of the alleged class in an unspecified amount, reasonable fees and costs of litigation, and such other and further relief as the Court may deem just and proper.</w:t>
      </w:r>
    </w:p>
    <w:p>
      <w:pPr>
        <w:spacing w:after="0" w:line="204" w:lineRule="exact"/>
        <w:rPr>
          <w:sz w:val="20"/>
          <w:szCs w:val="20"/>
          <w:color w:val="auto"/>
        </w:rPr>
      </w:pPr>
    </w:p>
    <w:p>
      <w:pPr>
        <w:jc w:val="both"/>
        <w:ind w:right="2119"/>
        <w:spacing w:after="0" w:line="370" w:lineRule="auto"/>
        <w:rPr>
          <w:sz w:val="20"/>
          <w:szCs w:val="20"/>
          <w:color w:val="auto"/>
        </w:rPr>
      </w:pPr>
      <w:r>
        <w:rPr>
          <w:rFonts w:ascii="Arial" w:cs="Arial" w:eastAsia="Arial" w:hAnsi="Arial"/>
          <w:sz w:val="15"/>
          <w:szCs w:val="15"/>
          <w:color w:val="auto"/>
        </w:rPr>
        <w:t>We believe that we, and the other defendants, have meritorious defenses to the claims made in the complaints, and we intend to contest these lawsuits vigorously. We are not able to predict the ultimate outcome of this litigation,</w:t>
      </w:r>
    </w:p>
    <w:p>
      <w:pPr>
        <w:sectPr>
          <w:pgSz w:w="11900" w:h="16867" w:orient="portrait"/>
          <w:cols w:equalWidth="0" w:num="1">
            <w:col w:w="10219"/>
          </w:cols>
          <w:pgMar w:left="240" w:top="374" w:right="1440" w:bottom="0" w:gutter="0" w:footer="0" w:header="0"/>
        </w:sectPr>
      </w:pPr>
    </w:p>
    <w:bookmarkStart w:id="11" w:name="page12"/>
    <w:bookmarkEnd w:id="11"/>
    <w:p>
      <w:pPr>
        <w:spacing w:after="0" w:line="14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but it may be costly and disruptive. The total costs may 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5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Other Litigation: </w:t>
      </w:r>
      <w:r>
        <w:rPr>
          <w:rFonts w:ascii="Arial" w:cs="Arial" w:eastAsia="Arial" w:hAnsi="Arial"/>
          <w:sz w:val="16"/>
          <w:szCs w:val="16"/>
          <w:color w:val="auto"/>
        </w:rPr>
        <w:t>We are involved in various claims and legal actions arising in the ordinary course of business.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opinion of management, based upon consultation with legal counsel, the ultimate disposition of these matters will not have a material adverse effect on our consolidated financial position.</w:t>
      </w:r>
    </w:p>
    <w:p>
      <w:pPr>
        <w:spacing w:after="0" w:line="215"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In connection with the sale of equipment to a financial institution, we entered into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whereby we agreed to repurchase equipment at the end of the lease term at a fixed price of approximately $1,100. We have recognized a guarantee liability in the amount of $200 under the provisions of FIN No. 45, “Guarantor’s Accounting and Disclosure Requirements for Guarantees, Including Indirect Guarantees of Indebtedness of Others,” in the accompanying financial statements.</w:t>
      </w:r>
    </w:p>
    <w:p>
      <w:pPr>
        <w:spacing w:after="0" w:line="197"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In connection with our investment in Outcast Media International, Inc. (“Outcast”), formerly FuelCast Media International, LLC, we have guaranteed outstanding debt of Outcast of approximately $3.6 million. This debt matures at various times through calendar year 2012, at which time our guarantee will expire subject to the debt being repaid by Outcast. We would be obligated to perform under the terms of the guarantee should Outcast default under the leases, generally limited to 50% of the amounts outstanding and we would have recourse back to Outcast under a reimbursement agreement. The guarantee was undertaken to support the rollout of LCD displays in connection with the core business of Outcast. The amounts accrued relating to the guarantee liability under the provisions of FIN No. 45 are insignificant.</w:t>
      </w:r>
    </w:p>
    <w:p>
      <w:pPr>
        <w:spacing w:after="0" w:line="226"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offer a standard parts coverage warranty for periods varying from one to five years for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We also offer additional 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order is received. Factors that affect our warranty liability include historical and anticipated claims costs. We periodically assess the adequacy of our recorded warranty liabilities and adjust the amounts as necessary.</w:t>
      </w:r>
    </w:p>
    <w:p>
      <w:pPr>
        <w:spacing w:after="0" w:line="199"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For the six months ended November, 1, 2008, due to the general performance of a limited number of projects completed by the company in the past, we changed our estimate for warranty obligations. The result of this change in estimate resulted in an increase in our long- and short-term warranty obligations as compared to the amount as of April 30, 2008, of approximately $5.2 million, ($3.3 million, net of tax benefits) for the six months ended November 1, 2008. We believe this additional reserve adequately covers known performance on these limited projects and we will continue to monitor these estimates.</w:t>
      </w:r>
    </w:p>
    <w:p>
      <w:pPr>
        <w:spacing w:after="0" w:line="20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warranties for the six months ended November 1, 2008 consisted of the following:</w:t>
      </w:r>
    </w:p>
    <w:p>
      <w:pPr>
        <w:sectPr>
          <w:pgSz w:w="11900" w:h="16979"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Beginning accrued warranty costs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Warranties issued during the period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Settlements made during the period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Changes in accrued warranty costs for pre-</w:t>
      </w:r>
    </w:p>
    <w:p>
      <w:pPr>
        <w:spacing w:after="0" w:line="57" w:lineRule="exact"/>
        <w:rPr>
          <w:sz w:val="20"/>
          <w:szCs w:val="20"/>
          <w:color w:val="auto"/>
        </w:rPr>
      </w:pPr>
    </w:p>
    <w:p>
      <w:pPr>
        <w:ind w:left="760" w:right="240"/>
        <w:spacing w:after="0" w:line="274" w:lineRule="auto"/>
        <w:rPr>
          <w:sz w:val="20"/>
          <w:szCs w:val="20"/>
          <w:color w:val="auto"/>
        </w:rPr>
      </w:pPr>
      <w:r>
        <w:rPr>
          <w:rFonts w:ascii="Arial" w:cs="Arial" w:eastAsia="Arial" w:hAnsi="Arial"/>
          <w:sz w:val="18"/>
          <w:szCs w:val="18"/>
          <w:color w:val="auto"/>
        </w:rPr>
        <w:t>existing warranties during the period, including expirations</w:t>
      </w:r>
    </w:p>
    <w:p>
      <w:pPr>
        <w:ind w:left="10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14605</wp:posOffset>
            </wp:positionV>
            <wp:extent cx="814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9" w:lineRule="exact"/>
        <w:rPr>
          <w:sz w:val="20"/>
          <w:szCs w:val="20"/>
          <w:color w:val="auto"/>
        </w:rPr>
      </w:pPr>
    </w:p>
    <w:p>
      <w:pPr>
        <w:ind w:left="620" w:hanging="614"/>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13,754</w:t>
      </w:r>
    </w:p>
    <w:p>
      <w:pPr>
        <w:spacing w:after="0" w:line="57"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5"/>
          <w:szCs w:val="15"/>
          <w:color w:val="auto"/>
        </w:rPr>
        <w:t>3,480</w:t>
      </w:r>
    </w:p>
    <w:p>
      <w:pPr>
        <w:spacing w:after="0" w:line="57" w:lineRule="exact"/>
        <w:rPr>
          <w:sz w:val="20"/>
          <w:szCs w:val="20"/>
          <w:color w:val="auto"/>
        </w:rPr>
      </w:pPr>
    </w:p>
    <w:p>
      <w:pPr>
        <w:jc w:val="right"/>
        <w:ind w:right="4779"/>
        <w:spacing w:after="0"/>
        <w:rPr>
          <w:sz w:val="20"/>
          <w:szCs w:val="20"/>
          <w:color w:val="auto"/>
        </w:rPr>
      </w:pPr>
      <w:r>
        <w:rPr>
          <w:rFonts w:ascii="Arial" w:cs="Arial" w:eastAsia="Arial" w:hAnsi="Arial"/>
          <w:sz w:val="18"/>
          <w:szCs w:val="18"/>
          <w:color w:val="auto"/>
        </w:rPr>
        <w:t>(4,550)</w:t>
      </w:r>
    </w:p>
    <w:p>
      <w:pPr>
        <w:spacing w:after="0" w:line="200" w:lineRule="exact"/>
        <w:rPr>
          <w:sz w:val="20"/>
          <w:szCs w:val="20"/>
          <w:color w:val="auto"/>
        </w:rPr>
      </w:pPr>
    </w:p>
    <w:p>
      <w:pPr>
        <w:spacing w:after="0" w:line="282" w:lineRule="exact"/>
        <w:rPr>
          <w:sz w:val="20"/>
          <w:szCs w:val="20"/>
          <w:color w:val="auto"/>
        </w:rPr>
      </w:pPr>
    </w:p>
    <w:p>
      <w:pPr>
        <w:jc w:val="right"/>
        <w:ind w:right="4779"/>
        <w:spacing w:after="0"/>
        <w:rPr>
          <w:sz w:val="20"/>
          <w:szCs w:val="20"/>
          <w:color w:val="auto"/>
        </w:rPr>
      </w:pPr>
      <w:r>
        <w:rPr>
          <w:rFonts w:ascii="Arial" w:cs="Arial" w:eastAsia="Arial" w:hAnsi="Arial"/>
          <w:sz w:val="18"/>
          <w:szCs w:val="18"/>
          <w:color w:val="auto"/>
        </w:rPr>
        <w:t>5,197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10795</wp:posOffset>
            </wp:positionV>
            <wp:extent cx="8147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 w:lineRule="exact"/>
        <w:rPr>
          <w:sz w:val="20"/>
          <w:szCs w:val="20"/>
          <w:color w:val="auto"/>
        </w:rPr>
      </w:pPr>
    </w:p>
    <w:p>
      <w:pPr>
        <w:ind w:left="620" w:hanging="614"/>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17,881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33020</wp:posOffset>
            </wp:positionV>
            <wp:extent cx="814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50165</wp:posOffset>
            </wp:positionV>
            <wp:extent cx="814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48" w:lineRule="exact"/>
        <w:rPr>
          <w:sz w:val="20"/>
          <w:szCs w:val="20"/>
          <w:color w:val="auto"/>
        </w:rPr>
      </w:pPr>
    </w:p>
    <w:p>
      <w:pPr>
        <w:sectPr>
          <w:pgSz w:w="11900" w:h="16979" w:orient="portrait"/>
          <w:cols w:equalWidth="0" w:num="2">
            <w:col w:w="3620" w:space="720"/>
            <w:col w:w="5879"/>
          </w:cols>
          <w:pgMar w:left="240" w:top="131" w:right="1440" w:bottom="0" w:gutter="0" w:footer="0" w:header="0"/>
          <w:type w:val="continuous"/>
        </w:sectPr>
      </w:pPr>
    </w:p>
    <w:p>
      <w:pPr>
        <w:spacing w:after="0" w:line="106"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office space for sales and service locations, vehicles and equipment, primarily office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Rental expense for operating leases was $769 and $1,375 for the six months ended November 1, 2008 and October 27, 2007, respectively. Future minimum payments under noncancelable operating leases, excluding executory costs such as management and maintenance fees, with initial or remaining terms of one year or more consisted of the following at November 1, 2008: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Fiscal years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ending</w:t>
            </w:r>
          </w:p>
        </w:tc>
        <w:tc>
          <w:tcPr>
            <w:tcW w:w="280" w:type="dxa"/>
            <w:vAlign w:val="bottom"/>
          </w:tcPr>
          <w:p>
            <w:pPr>
              <w:spacing w:after="0"/>
              <w:rPr>
                <w:sz w:val="19"/>
                <w:szCs w:val="19"/>
                <w:color w:val="auto"/>
              </w:rPr>
            </w:pPr>
          </w:p>
        </w:tc>
        <w:tc>
          <w:tcPr>
            <w:tcW w:w="1100" w:type="dxa"/>
            <w:vAlign w:val="bottom"/>
          </w:tcPr>
          <w:p>
            <w:pPr>
              <w:jc w:val="right"/>
              <w:ind w:right="292"/>
              <w:spacing w:after="0"/>
              <w:rPr>
                <w:sz w:val="20"/>
                <w:szCs w:val="20"/>
                <w:color w:val="auto"/>
              </w:rPr>
            </w:pPr>
            <w:r>
              <w:rPr>
                <w:rFonts w:ascii="Arial" w:cs="Arial" w:eastAsia="Arial" w:hAnsi="Arial"/>
                <w:sz w:val="18"/>
                <w:szCs w:val="18"/>
                <w:b w:val="1"/>
                <w:bCs w:val="1"/>
                <w:color w:val="auto"/>
              </w:rPr>
              <w:t>Amount</w:t>
            </w:r>
          </w:p>
        </w:tc>
      </w:tr>
      <w:tr>
        <w:trPr>
          <w:trHeight w:val="216"/>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1,248</w:t>
            </w: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2,007</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1,764</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965</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525</w:t>
            </w:r>
          </w:p>
        </w:tc>
      </w:tr>
      <w:tr>
        <w:trPr>
          <w:trHeight w:val="230"/>
        </w:trPr>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Thereafter</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355</w:t>
            </w:r>
          </w:p>
        </w:tc>
      </w:tr>
      <w:tr>
        <w:trPr>
          <w:trHeight w:val="212"/>
        </w:trPr>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6,864</w:t>
            </w: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2119"/>
        <w:spacing w:after="0" w:line="332" w:lineRule="auto"/>
        <w:rPr>
          <w:sz w:val="20"/>
          <w:szCs w:val="20"/>
          <w:color w:val="auto"/>
        </w:rPr>
      </w:pPr>
      <w:r>
        <w:rPr>
          <w:rFonts w:ascii="Arial" w:cs="Arial" w:eastAsia="Arial" w:hAnsi="Arial"/>
          <w:sz w:val="16"/>
          <w:szCs w:val="16"/>
          <w:i w:val="1"/>
          <w:iCs w:val="1"/>
          <w:color w:val="auto"/>
        </w:rPr>
        <w:t xml:space="preserve">Purchase commitments: </w:t>
      </w:r>
      <w:r>
        <w:rPr>
          <w:rFonts w:ascii="Arial" w:cs="Arial" w:eastAsia="Arial" w:hAnsi="Arial"/>
          <w:sz w:val="16"/>
          <w:szCs w:val="16"/>
          <w:color w:val="auto"/>
        </w:rPr>
        <w:t>From time to time, we commit to purchase inventory and advertising rights over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that extend over a year. As of November 1, 2008, we were obligated to purchase inventory and advertising rights</w:t>
      </w:r>
    </w:p>
    <w:p>
      <w:pPr>
        <w:sectPr>
          <w:pgSz w:w="11900" w:h="16979" w:orient="portrait"/>
          <w:cols w:equalWidth="0" w:num="1">
            <w:col w:w="10219"/>
          </w:cols>
          <w:pgMar w:left="240" w:top="131" w:right="1440" w:bottom="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through fiscal 2013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Fiscal years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ending</w:t>
            </w:r>
          </w:p>
        </w:tc>
        <w:tc>
          <w:tcPr>
            <w:tcW w:w="280" w:type="dxa"/>
            <w:vAlign w:val="bottom"/>
          </w:tcPr>
          <w:p>
            <w:pPr>
              <w:spacing w:after="0"/>
              <w:rPr>
                <w:sz w:val="19"/>
                <w:szCs w:val="19"/>
                <w:color w:val="auto"/>
              </w:rPr>
            </w:pPr>
          </w:p>
        </w:tc>
        <w:tc>
          <w:tcPr>
            <w:tcW w:w="1100" w:type="dxa"/>
            <w:vAlign w:val="bottom"/>
          </w:tcPr>
          <w:p>
            <w:pPr>
              <w:jc w:val="right"/>
              <w:ind w:right="292"/>
              <w:spacing w:after="0"/>
              <w:rPr>
                <w:sz w:val="20"/>
                <w:szCs w:val="20"/>
                <w:color w:val="auto"/>
              </w:rPr>
            </w:pPr>
            <w:r>
              <w:rPr>
                <w:rFonts w:ascii="Arial" w:cs="Arial" w:eastAsia="Arial" w:hAnsi="Arial"/>
                <w:sz w:val="18"/>
                <w:szCs w:val="18"/>
                <w:b w:val="1"/>
                <w:bCs w:val="1"/>
                <w:color w:val="auto"/>
              </w:rPr>
              <w:t>Amount</w:t>
            </w:r>
          </w:p>
        </w:tc>
      </w:tr>
      <w:tr>
        <w:trPr>
          <w:trHeight w:val="216"/>
        </w:trPr>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22"/>
        </w:trPr>
        <w:tc>
          <w:tcPr>
            <w:tcW w:w="15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0"/>
        </w:trPr>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In fiscal 2007, we committed to purchase a building in Brookings, South Dakota, on or before September 30, 2008, which was subsequently extended to May 3, 2009, for approximately $3,000. The building would be used for both manufacturing and office expansion and is located adjacent to our existing facilities. We do not expect to require use of the building in fiscal year 2010 and are evaluating alternatives for the building.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8"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As of November 1, 2008, we had approximately $900 of unrecognized tax benefits, which would affect our effective tax rate if recognized. We recognize interest and penalties related to income tax matters in income tax expense. We do not expect our unrecognized tax benefits to change significantly over the next 12 months.</w:t>
      </w:r>
    </w:p>
    <w:p>
      <w:pPr>
        <w:spacing w:after="0" w:line="188"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Our company, along with our subsidiaries, is subject to U.S. Federal income tax as well as income taxes of multiple state jurisdictions. As a result of the completion of exams by the Internal Revenue Service on prior years, fiscal years 2006, 2007 and 2008 are the only years remaining open under statutes of limitations. Certain subsidiaries are also subject to income tax in several foreign jurisdictions which have open tax years varying by jurisdiction back to 2003. We operate under a tax holiday in China that will expire in fiscal year 2012. We are unable to predict how the expiration of the tax holiday will impact us in the future.</w:t>
      </w: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58"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In September 2006, the FASB issued SFAS No. 157 which defines fair value, establishes a framework for measuring fair value in generally accepted accounting principles and establishes a hierarchy that categorizes and prioritizes the sources to be used to estimate fair value. SFAS No. 157 also expands disclosures about fair-value measurements. We adopted SFAS No. 157 effective April 27, 2008 for all financial assets and liabilities and any other assets and liabilities that are recognized or disclosed at fair value on a recurring basis. Although the adoption of SFAS No. 157 did not impact our financial condition, results of operations or cash flows, we are required to provide additional disclosures within our condensed consolidated financial statements.</w:t>
      </w:r>
    </w:p>
    <w:p>
      <w:pPr>
        <w:spacing w:after="0" w:line="199"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SFAS No. 157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SFAS No. 157 distinguishes between three levels of inputs that may be utilized when measuring fair value, including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supported by little or no market activity based on our own assumptions used to measure assets and liabilities). A financial asset or liability’s classification within the above hierarchy is determined based on the lowest level input that is significant to the fair value measurement.</w:t>
      </w:r>
    </w:p>
    <w:p>
      <w:pPr>
        <w:spacing w:after="0" w:line="20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Our financial assets measured at fair value on a recurring basis of $614 as of November 1, 2008 consisted of money market funds. We used level 1 inputs to determine the fair value of our financial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Exit or Disposal Costs</w:t>
      </w:r>
    </w:p>
    <w:p>
      <w:pPr>
        <w:spacing w:after="0" w:line="258"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During the second quarter of fiscal 2009, we made the determination and essentially completed the closing of our Canadian manufacturing facilities. This plant focused primarily on the manufacture of our portable Vanguard displays for roadside traffic management. We have also discontinued these products. We recorded in the second quarter of fiscal 2009 the costs associated with this closure of approximately $1.1 million, on a pre-tax basis. This included approximately $0.7 million related to inventory reserves, approximately $0.2 in severance costs and approximately $0.1 million in lease termination costs, all of which has been included in cost of goods sold within our Transportation business unit. We expect to save costs in the future as a result of this closure.</w:t>
      </w:r>
    </w:p>
    <w:p>
      <w:pPr>
        <w:spacing w:after="0" w:line="193"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ectPr>
          <w:pgSz w:w="11900" w:h="16838" w:orient="portrait"/>
          <w:cols w:equalWidth="0" w:num="1">
            <w:col w:w="10219"/>
          </w:cols>
          <w:pgMar w:left="240" w:top="131" w:right="1440" w:bottom="19" w:gutter="0" w:footer="0" w:header="0"/>
        </w:sectPr>
      </w:pPr>
    </w:p>
    <w:bookmarkStart w:id="13" w:name="page14"/>
    <w:bookmarkEnd w:id="13"/>
    <w:p>
      <w:pPr>
        <w:jc w:val="both"/>
        <w:ind w:right="2099"/>
        <w:spacing w:after="0" w:line="285" w:lineRule="auto"/>
        <w:rPr>
          <w:sz w:val="20"/>
          <w:szCs w:val="20"/>
          <w:color w:val="auto"/>
        </w:rPr>
      </w:pPr>
      <w:r>
        <w:rPr>
          <w:rFonts w:ascii="Arial" w:cs="Arial" w:eastAsia="Arial" w:hAnsi="Arial"/>
          <w:sz w:val="16"/>
          <w:szCs w:val="16"/>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detail in our filings with the Securities and Exchange Commission, including in our Annual Report on Form 10-K for the fiscal year ended April 26, 2008 in the section entitled “Item 1A. Risk Factors”</w:t>
      </w:r>
    </w:p>
    <w:p>
      <w:pPr>
        <w:spacing w:after="0" w:line="205"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We design, manufacture and sell a wide range of display systems to customers in a variety of markets throughout the world. We focus our sales and marketing efforts on business units, geographical regions and products. The primary business units consist of Live Events, Commercial, Schools and Theatres, International and Transportation.</w:t>
      </w:r>
    </w:p>
    <w:p>
      <w:pPr>
        <w:spacing w:after="0" w:line="22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affect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20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Orders are booked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24"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Fiscal year 2009 contains 53 weeks and fiscal year 2008 contained 52 weeks.</w:t>
      </w:r>
    </w:p>
    <w:p>
      <w:pPr>
        <w:spacing w:after="0" w:line="197"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ectPr>
          <w:pgSz w:w="11900" w:h="16838" w:orient="portrait"/>
          <w:cols w:equalWidth="0" w:num="1">
            <w:col w:w="10219"/>
          </w:cols>
          <w:pgMar w:left="240" w:top="131" w:right="1440" w:bottom="0" w:gutter="0" w:footer="0" w:header="0"/>
        </w:sectPr>
      </w:pPr>
    </w:p>
    <w:bookmarkStart w:id="14" w:name="page15"/>
    <w:bookmarkEnd w:id="14"/>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Revenue recognition on construction-type contracts. </w:t>
      </w:r>
      <w:r>
        <w:rPr>
          <w:rFonts w:ascii="Arial" w:cs="Arial" w:eastAsia="Arial" w:hAnsi="Arial"/>
          <w:sz w:val="16"/>
          <w:szCs w:val="16"/>
          <w:color w:val="auto"/>
        </w:rPr>
        <w:t>Earnings on construction-type contracts are recognized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percentage-of-completion method, measured by the percentage of costs incurred to date to estimated total costs for each contract. Provisions for estimated losses on uncompleted contracts are made in the period in which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228"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inability of our customers 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November 1, 2008 and April 26, 2008, we had an allowance for doubtful accounts balance of approximately $1.8 million and $1.7 million, respectively.</w:t>
      </w:r>
    </w:p>
    <w:p>
      <w:pPr>
        <w:spacing w:after="0" w:line="23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recognized a reserve for warranties on our products equal to our estimate of the actual costs</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incurred in connection with our performance under the warranties. Generally, estimates are based on historical experience taking into account known or expected changes. If we would become aware of an increase</w:t>
      </w:r>
    </w:p>
    <w:p>
      <w:pPr>
        <w:spacing w:after="0" w:line="18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in our estimated warranty costs, additional reserves may become necessary, resulting in an increase in costs of goods sold. We do not believe there is a reasonable likelihood that there will be a material change in the future estimates or assumptions we use to determine our reserve for warranties. As of November 1, 2008 and April 26, 2008, we had approximately $17.9 million and $12.4 million reserved for these costs, respectively.</w:t>
      </w:r>
    </w:p>
    <w:p>
      <w:pPr>
        <w:spacing w:after="0" w:line="22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recognize deferred revenue related to separately priced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November 1, 2008 and April 26, 2008, we had $9.2 million and $7.0 million of deferred revenue related to extended warranty and product maintenance, respectively.</w:t>
      </w:r>
    </w:p>
    <w:p>
      <w:pPr>
        <w:spacing w:after="0" w:line="228"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that market may not exceed the net 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expected sales, we may be exposed to unforeseen losses that could be material.</w:t>
      </w:r>
    </w:p>
    <w:p>
      <w:pPr>
        <w:spacing w:after="0" w:line="23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our income taxes in each of the 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ectPr>
          <w:pgSz w:w="11900" w:h="16838" w:orient="portrait"/>
          <w:cols w:equalWidth="0" w:num="1">
            <w:col w:w="10219"/>
          </w:cols>
          <w:pgMar w:left="240" w:top="401" w:right="1440" w:bottom="79" w:gutter="0" w:footer="0" w:header="0"/>
        </w:sectPr>
      </w:pPr>
    </w:p>
    <w:bookmarkStart w:id="15" w:name="page16"/>
    <w:bookmarkEnd w:id="15"/>
    <w:p>
      <w:pPr>
        <w:spacing w:after="0" w:line="18"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 xml:space="preserve">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Financial Accounting Standards Board Interpretation No. 48, </w:t>
      </w:r>
      <w:r>
        <w:rPr>
          <w:rFonts w:ascii="Arial" w:cs="Arial" w:eastAsia="Arial" w:hAnsi="Arial"/>
          <w:sz w:val="16"/>
          <w:szCs w:val="16"/>
          <w:i w:val="1"/>
          <w:iCs w:val="1"/>
          <w:color w:val="auto"/>
        </w:rPr>
        <w:t>Accounting for Uncertainty in Income Taxes, an Interpretation of SFAS No. 109.</w:t>
      </w:r>
      <w:r>
        <w:rPr>
          <w:rFonts w:ascii="Arial" w:cs="Arial" w:eastAsia="Arial" w:hAnsi="Arial"/>
          <w:sz w:val="16"/>
          <w:szCs w:val="16"/>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209"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Some of the countries we are located in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 applicable to us in such jurisdictions are otherwise increased. It is anticipated that tax incentives with respect to certain operations will expire within the next four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pacing w:after="0" w:line="201"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use the Black-Scholes standard option pricing model (“Black-Scholes model”)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fair value of stock options and stock purchase rights. The determination of the fair value of the awards on the date of grant using the Black-Scholes model is affected by our stock price as well as assumptions regarding other variables, including projected employee stock option</w:t>
      </w:r>
    </w:p>
    <w:p>
      <w:pPr>
        <w:spacing w:after="0" w:line="19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exercise behaviors, risk-free interest rate, expected volatility of our stock price in future periods and expected dividend yield.</w:t>
      </w:r>
    </w:p>
    <w:p>
      <w:pPr>
        <w:spacing w:after="0" w:line="213"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We analyze historical employee exercise and termination data to estimate the expected life assumption.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we revise those estimates in subsequent periods if actual forfeitures differ from those estimates.</w:t>
      </w:r>
    </w:p>
    <w:p>
      <w:pPr>
        <w:spacing w:after="0" w:line="205"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income for the periods indicated:</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30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2700" w:type="dxa"/>
            <w:vAlign w:val="bottom"/>
            <w:gridSpan w:val="3"/>
          </w:tcPr>
          <w:p>
            <w:pPr>
              <w:jc w:val="right"/>
              <w:ind w:right="572"/>
              <w:spacing w:after="0"/>
              <w:rPr>
                <w:sz w:val="20"/>
                <w:szCs w:val="20"/>
                <w:color w:val="auto"/>
              </w:rPr>
            </w:pPr>
            <w:r>
              <w:rPr>
                <w:rFonts w:ascii="Arial" w:cs="Arial" w:eastAsia="Arial" w:hAnsi="Arial"/>
                <w:sz w:val="18"/>
                <w:szCs w:val="18"/>
                <w:b w:val="1"/>
                <w:bCs w:val="1"/>
                <w:color w:val="auto"/>
              </w:rPr>
              <w:t>Six Months Ended</w:t>
            </w:r>
          </w:p>
        </w:tc>
      </w:tr>
      <w:tr>
        <w:trPr>
          <w:trHeight w:val="211"/>
        </w:trPr>
        <w:tc>
          <w:tcPr>
            <w:tcW w:w="2160" w:type="dxa"/>
            <w:vAlign w:val="bottom"/>
          </w:tcPr>
          <w:p>
            <w:pPr>
              <w:spacing w:after="0"/>
              <w:rPr>
                <w:sz w:val="18"/>
                <w:szCs w:val="18"/>
                <w:color w:val="auto"/>
              </w:rPr>
            </w:pPr>
          </w:p>
        </w:tc>
        <w:tc>
          <w:tcPr>
            <w:tcW w:w="15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November 1,</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8"/>
              </w:rPr>
              <w:t>October 27,</w:t>
            </w:r>
          </w:p>
        </w:tc>
        <w:tc>
          <w:tcPr>
            <w:tcW w:w="380" w:type="dxa"/>
            <w:vAlign w:val="bottom"/>
          </w:tcPr>
          <w:p>
            <w:pPr>
              <w:spacing w:after="0"/>
              <w:rPr>
                <w:sz w:val="18"/>
                <w:szCs w:val="18"/>
                <w:color w:val="auto"/>
              </w:rPr>
            </w:pPr>
          </w:p>
        </w:tc>
        <w:tc>
          <w:tcPr>
            <w:tcW w:w="15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November 1,</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8"/>
              </w:rPr>
              <w:t>October 27,</w:t>
            </w:r>
          </w:p>
        </w:tc>
      </w:tr>
      <w:tr>
        <w:trPr>
          <w:trHeight w:val="228"/>
        </w:trPr>
        <w:tc>
          <w:tcPr>
            <w:tcW w:w="2160" w:type="dxa"/>
            <w:vAlign w:val="bottom"/>
          </w:tcPr>
          <w:p>
            <w:pPr>
              <w:spacing w:after="0"/>
              <w:rPr>
                <w:sz w:val="19"/>
                <w:szCs w:val="19"/>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Net sales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Cost of goods sold</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71.6%</w:t>
            </w: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71.7%</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r>
      <w:tr>
        <w:trPr>
          <w:trHeight w:val="217"/>
        </w:trPr>
        <w:tc>
          <w:tcPr>
            <w:tcW w:w="21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w:t>
            </w:r>
          </w:p>
        </w:tc>
        <w:tc>
          <w:tcPr>
            <w:tcW w:w="38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17"/>
        </w:trPr>
        <w:tc>
          <w:tcPr>
            <w:tcW w:w="21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Interest income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Income expense</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3"/>
              </w:rPr>
              <w:t>Other income (expense), net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-0.80%</w:t>
            </w: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-0.50%</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190"/>
        </w:trPr>
        <w:tc>
          <w:tcPr>
            <w:tcW w:w="2160" w:type="dxa"/>
            <w:vAlign w:val="bottom"/>
          </w:tcPr>
          <w:p>
            <w:pPr>
              <w:ind w:left="360"/>
              <w:spacing w:after="0" w:line="190" w:lineRule="exact"/>
              <w:rPr>
                <w:sz w:val="20"/>
                <w:szCs w:val="20"/>
                <w:color w:val="auto"/>
              </w:rPr>
            </w:pPr>
            <w:r>
              <w:rPr>
                <w:rFonts w:ascii="Arial" w:cs="Arial" w:eastAsia="Arial" w:hAnsi="Arial"/>
                <w:sz w:val="18"/>
                <w:szCs w:val="18"/>
                <w:color w:val="auto"/>
                <w:w w:val="99"/>
              </w:rPr>
              <w:t>Income before income</w:t>
            </w: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taxes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1"/>
        </w:trPr>
        <w:tc>
          <w:tcPr>
            <w:tcW w:w="2160" w:type="dxa"/>
            <w:vAlign w:val="bottom"/>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bl>
    <w:p>
      <w:pPr>
        <w:sectPr>
          <w:pgSz w:w="11900" w:h="16857" w:orient="portrait"/>
          <w:cols w:equalWidth="0" w:num="1">
            <w:col w:w="10219"/>
          </w:cols>
          <w:pgMar w:left="240" w:top="131" w:right="1440" w:bottom="0" w:gutter="0" w:footer="0" w:header="0"/>
        </w:sectPr>
      </w:pPr>
    </w:p>
    <w:bookmarkStart w:id="16" w:name="page17"/>
    <w:bookmarkEnd w:id="16"/>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8"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Net sales increased 31.1% to $330.9 million for the six months ended November 1, 2008 as compared to $252.4 million for the same period of fiscal 2008. Net sales increased 29.1% to $169.7 million for the three months ended November 1, 2008 as compared to $131.4 million for the same period of fiscal 2008. The first three and six months of fiscal 2009 had one more week than the first three and six months of fiscal 2008.</w:t>
      </w:r>
    </w:p>
    <w:p>
      <w:pPr>
        <w:spacing w:after="0" w:line="221"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 xml:space="preserve">Commercial Business Unit. </w:t>
      </w:r>
      <w:r>
        <w:rPr>
          <w:rFonts w:ascii="Arial" w:cs="Arial" w:eastAsia="Arial" w:hAnsi="Arial"/>
          <w:sz w:val="16"/>
          <w:szCs w:val="16"/>
          <w:color w:val="auto"/>
        </w:rPr>
        <w:t>Net sales in the Commercial business unit grew during the second quarter and first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fiscal year 2009 as compared to the same periods of fiscal year 2008. For the first six months of fiscal year 2009, net sales increased 15.5%, and for the quarter, increased 16.8% as compared to the same periods of last fiscal year. The largest growth in terms of dollars and as a percentage is in our outdoor advertising niche, which increased by more than 34%, followed by an increase in sales to national accounts, primarily in our Galaxy® product line. These increases were offset by a decline of approximately 7% in sales in our reseller niche, which involved a decline in large custom projects. The increase in the outdoor advertising niche was the result of the expanding market for digital billboards, primarily to a limited number of large customers. The decline in sales within our reseller niche was due to the inherent volatility in the timing of large contracts. In addition, the rate of growth of sales of Galaxy products within the reseller niche was lower than expected, which we believe was primarily the result of economic conditions, resulting in customers postponing purchasing electronic displays for retail establishments.</w:t>
      </w:r>
    </w:p>
    <w:p>
      <w:pPr>
        <w:spacing w:after="0" w:line="20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In the early part of the third quarter of fiscal 2009, we were notified that our largest customer in the outdoor advertising niche was decreasing their spending on digital billboards from approximately $100 million annually to approximately $15 million annually, effective for calendar year 2009. We are one of two vendors for this company. This followed a decline in orders overall in the outdoor advertising niche, which started to become evident late in the second quarter of fiscal 2009. It is our belief that the current economic conditions and limited credit availability has resulted in a significant decline in this portion of our business. As a result, we expect to see revenues decline significantly in the and fourth quarter in our outdoor advertising business as compared to the first half of fiscal 2009 and the last half of fiscal year 2008. We believe that once economic conditions improve and credit becomes more available, our sales will start to recover. These conditions seem to be impacting most if not all outdoor advertising companies, and the actual outlook is very difficult to estimate at this time.</w:t>
      </w:r>
    </w:p>
    <w:p>
      <w:pPr>
        <w:spacing w:after="0" w:line="204"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Subject to the foregoing, our Commercial business unit generally benefits from increasing product acceptance, lower cost of displays, our expanding distribution network and a better understanding by our customers of the product as a revenue generation tool. The most significant factor for increasing sales in the past has been the order volume of digital displays for outdoor advertising companies. This occurred primarily due to an increase in our customer base and the increasing number of displays being purchased by existing customers. We believe that the outdoor advertising business has a number of constraints, primarily economic and regulatory. We expect that the Commercial business unit will experience declining sales and orders over the rest of fiscal 2009 and into the first half of fiscal 2010. The outlook thereafter is generally uncertain and depends on the economy and credit.</w:t>
      </w:r>
    </w:p>
    <w:p>
      <w:pPr>
        <w:spacing w:after="0" w:line="199"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In the past, the seasonality of the outdoor advertising niche has been a factor in the fluctuation of our net sales because the deployment of displays slows in the winter months in the colder climate regions of the U.S. Generally speaking, seasonality is not a material factor in the rest of the Commercial business. Our estimates for sales and orders in the Commercial business unit could vary significantly depending on our success in retaining the business of the major billboard companies as well as on their rate of deployment and our ability to capture business in our national account niche if it were to develop materially. Our growth in the Commercial business unit also depends on the state of the economy, which has negatively impacted net sales and is expected to continue to impact it until the economy improves.</w:t>
      </w:r>
    </w:p>
    <w:p>
      <w:pPr>
        <w:spacing w:after="0" w:line="199"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Order bookings in the Commercial business unit were up approximately 4% in the first six months of fiscal 2009 as compared to the same period of fiscal 2008. For the second quarter of fiscal 2009, orders declined in this unit by approximately 17% as compared to the second quarter of fiscal 2008. The major factor in the decline was the decline in orders in the outdoor advertising niche.</w:t>
      </w:r>
    </w:p>
    <w:p>
      <w:pPr>
        <w:spacing w:after="0" w:line="251"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 xml:space="preserve">Live Events Business Unit. </w:t>
      </w:r>
      <w:r>
        <w:rPr>
          <w:rFonts w:ascii="Arial" w:cs="Arial" w:eastAsia="Arial" w:hAnsi="Arial"/>
          <w:sz w:val="16"/>
          <w:szCs w:val="16"/>
          <w:color w:val="auto"/>
        </w:rPr>
        <w:t>Net sales in the Live Events business unit increased by approximately 63%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fiscal 2009 as compared to the same quarter of fiscal 2008. This increase is primarily the result of the impact of large contracts booked in fiscal 2008 and increased orders booked during the first half of fiscal 2009. Orders increased approximately 104% in the second quarter of fiscal 2009 as compared to the same period one year ago. The increase in orders in the Live Events business unit reflects only $13 million of the total expected contract value of over $45 million related to the award of the New Meadowlands Stadium in New Jersey. An additional $27 million related to this contract was booked early in the third quarter of fiscal 2009. We have also been awarded two other large contracts for major league baseball facilities that are pending final contract execution, which should exceed $16 million in total and are expected to be booked in the third quarter of fiscal 2009. Finally, we were awarded and executed a contract for more than $9.5 million for a National Football League facility during the second quarter.</w:t>
      </w:r>
    </w:p>
    <w:p>
      <w:pPr>
        <w:sectPr>
          <w:pgSz w:w="11900" w:h="16838" w:orient="portrait"/>
          <w:cols w:equalWidth="0" w:num="1">
            <w:col w:w="10219"/>
          </w:cols>
          <w:pgMar w:left="240" w:top="131" w:right="1440" w:bottom="131" w:gutter="0" w:footer="0" w:header="0"/>
        </w:sectPr>
      </w:pPr>
    </w:p>
    <w:bookmarkStart w:id="17" w:name="page18"/>
    <w:bookmarkEnd w:id="17"/>
    <w:p>
      <w:pPr>
        <w:jc w:val="both"/>
        <w:ind w:right="2099"/>
        <w:spacing w:after="0" w:line="289" w:lineRule="auto"/>
        <w:rPr>
          <w:sz w:val="20"/>
          <w:szCs w:val="20"/>
          <w:color w:val="auto"/>
        </w:rPr>
      </w:pPr>
      <w:r>
        <w:rPr>
          <w:rFonts w:ascii="Arial" w:cs="Arial" w:eastAsia="Arial" w:hAnsi="Arial"/>
          <w:sz w:val="16"/>
          <w:szCs w:val="16"/>
          <w:color w:val="auto"/>
        </w:rPr>
        <w:t>As we began fiscal year 2009, we had expected to see significant order growth in the Live Events business unit as a result of the number of large projects in our pipeline and taking into account our market share. Through the year, we seem to have executed well to achieve our share of these projects which, along with a growth in the smaller projects have allowed us to achieve higher than expected sales growth and has partially offset the decline in Commercial business unit sales. At this point, it is too early to forecast growth estimates for fiscal year 2010; however, we realize that given the unusually large new construction projects awarded over the past twelve months, achieving a significant growth rate in our Live Events unit may be difficult. However, over the long-term we expect to see growth.</w:t>
      </w:r>
    </w:p>
    <w:p>
      <w:pPr>
        <w:spacing w:after="0" w:line="199"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Our expectations regarding growth over the long-term in the large sports venues is due to a number of factors, including the expanding market, with facilities spending more on larger display systems; our product and services offering, which remains the most integrated and comprehensive offering in the industry; and our network of field sales and service offices, which are important to support our customers. In addition, we benefit from the competitive nature of sports teams who strive to out-perform their competitors with display systems. This impact has and is expected to continue to be a driving force in increasing transaction sizes in new construction and major renovations. Growth in the large sports venues is also driven by the desire for high definition video displays, which typically drive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a recession-resistant business. Net sales in our sports marketing and mobile and modular portion of this business unit were less than 5% of total sales and thus were not significant in the first half of fiscal year 2009 and the first half of fiscal 2008.</w:t>
      </w:r>
    </w:p>
    <w:p>
      <w:pPr>
        <w:spacing w:after="0" w:line="20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As described above, an important factor in orders and sales for the remainder of fiscal 2009 will be our success in winning a limited number of large contracts expected to be awarded in the large sports venue niche primarily in the third quarter. These transactions, exceeding $5 million each, could have a significant impact on both orders and sales.</w:t>
      </w:r>
    </w:p>
    <w:p>
      <w:pPr>
        <w:spacing w:after="0" w:line="251"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i w:val="1"/>
          <w:iCs w:val="1"/>
          <w:color w:val="auto"/>
        </w:rPr>
        <w:t xml:space="preserve">Schools and Theatres Business Unit. </w:t>
      </w:r>
      <w:r>
        <w:rPr>
          <w:rFonts w:ascii="Arial" w:cs="Arial" w:eastAsia="Arial" w:hAnsi="Arial"/>
          <w:sz w:val="16"/>
          <w:szCs w:val="16"/>
          <w:color w:val="auto"/>
        </w:rPr>
        <w:t>Net sales in the Schools and Theatres business unit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18% in the second quarter of fiscal 2009 as compared to the same quarter in fiscal 2008. Year to date sales are up over 9%. The main driver for the increase in sales in the second quarter of fiscal 2009 was the result of the larger backlog going into the quarter resulting from the delays in manufacturing experienced in the first quarter of fiscal year 2009. Orders for the business unit are relatively flat year-to–date, which we attribute to the adverse impact of these delays, although part of the slower rate of growth could be due to economic conditions. We still expect to see modest growth in orders and sales for the business unit for fiscal year 2009.</w:t>
      </w:r>
    </w:p>
    <w:p>
      <w:pPr>
        <w:spacing w:after="0" w:line="199"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i w:val="1"/>
          <w:iCs w:val="1"/>
          <w:color w:val="auto"/>
        </w:rPr>
        <w:t>Transportation Business Unit</w:t>
      </w:r>
      <w:r>
        <w:rPr>
          <w:rFonts w:ascii="Arial" w:cs="Arial" w:eastAsia="Arial" w:hAnsi="Arial"/>
          <w:sz w:val="16"/>
          <w:szCs w:val="16"/>
          <w:color w:val="auto"/>
        </w:rPr>
        <w:t>. Net sales in the Transportation business unit decreased approximately 15%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fiscal 2009 as compared to the same period in fiscal 2008, and year-to-date are up approximately 1%. Orders for the first half of fiscal 2009 are up approximately 18% over the same period in fiscal 2008. We believe that the increase in orders for this business unit is due to legislation passed during calendar year 2005 by the United States Congress that provided for increased spending on transportation projects, including large increases associated with intelligent transportation systems, and to our gaining market share. For fiscal 2009 as a whole, we expect that sales will grow in excess of 15% as compared to fiscal 2008. The lower level of sales growth as compared to orders is the result of timing as driven by our customers.</w:t>
      </w:r>
    </w:p>
    <w:p>
      <w:pPr>
        <w:spacing w:after="0" w:line="226"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 xml:space="preserve">International Business Unit. </w:t>
      </w:r>
      <w:r>
        <w:rPr>
          <w:rFonts w:ascii="Arial" w:cs="Arial" w:eastAsia="Arial" w:hAnsi="Arial"/>
          <w:sz w:val="16"/>
          <w:szCs w:val="16"/>
          <w:color w:val="auto"/>
        </w:rPr>
        <w:t>Net sales in the International business unit in the second quarter of fiscal 2009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second quarter of fiscal 2008 were down approximately 6% and on a year-to-date basis are up approximately 86%. Orders were down approximately 1% for the first half of fiscal 2009 as compared to fiscal 2008. Orders have not lived up to expectations year-to-date, but we remain optimistic that we can achieve sales growth of more that 20% for fiscal 2009 as compared to fiscal 2008. The increase in net sales on a year-to-date basis was attributable to large orders booked in the fourth quarter of fiscal 2008 for a rail station in Beijing and a network of displays in the U.K. that converted to sales in the first quarter of fiscal 2009. Due to the focus on large contracts in this business unit and the small number of contracts actually booked, volatility is not unusual. Overall, we are making considerable investments in growing our business internationally, where we do not have the same market share as we do domestically. We continue to see success with our efforts in Asia and, as a result of our expanding line of products and the relationships we have developed with large repeat customers, we expect that European sales will also increase over the long-term.</w:t>
      </w:r>
    </w:p>
    <w:p>
      <w:pPr>
        <w:spacing w:after="0" w:line="232"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i w:val="1"/>
          <w:iCs w:val="1"/>
          <w:color w:val="auto"/>
        </w:rPr>
        <w:t xml:space="preserve">Advertising Revenues. </w:t>
      </w:r>
      <w:r>
        <w:rPr>
          <w:rFonts w:ascii="Arial" w:cs="Arial" w:eastAsia="Arial" w:hAnsi="Arial"/>
          <w:sz w:val="18"/>
          <w:szCs w:val="18"/>
          <w:color w:val="auto"/>
        </w:rPr>
        <w:t>We occasionally sell products in exchange for the advertising revenues generated from use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These sales represented 2% and 1% of net sales for the first six months of fiscal 2009 and 2008, respectively. The gross profit percent on these transactions have typically been higher than the gross profit percent on other transactions of similar size, although the selling expenses associated with these transactions are typically higher.</w:t>
      </w:r>
    </w:p>
    <w:p>
      <w:pPr>
        <w:spacing w:after="0" w:line="251" w:lineRule="exact"/>
        <w:rPr>
          <w:sz w:val="20"/>
          <w:szCs w:val="20"/>
          <w:color w:val="auto"/>
        </w:rPr>
      </w:pPr>
    </w:p>
    <w:p>
      <w:pPr>
        <w:jc w:val="both"/>
        <w:ind w:right="2099"/>
        <w:spacing w:after="0" w:line="318" w:lineRule="auto"/>
        <w:rPr>
          <w:sz w:val="20"/>
          <w:szCs w:val="20"/>
          <w:color w:val="auto"/>
        </w:rPr>
      </w:pPr>
      <w:r>
        <w:rPr>
          <w:rFonts w:ascii="Arial" w:cs="Arial" w:eastAsia="Arial" w:hAnsi="Arial"/>
          <w:sz w:val="15"/>
          <w:szCs w:val="15"/>
          <w:i w:val="1"/>
          <w:iCs w:val="1"/>
          <w:color w:val="auto"/>
        </w:rPr>
        <w:t xml:space="preserve">Backlog. </w:t>
      </w:r>
      <w:r>
        <w:rPr>
          <w:rFonts w:ascii="Arial" w:cs="Arial" w:eastAsia="Arial" w:hAnsi="Arial"/>
          <w:sz w:val="15"/>
          <w:szCs w:val="15"/>
          <w:color w:val="auto"/>
        </w:rPr>
        <w:t>The order backlog as of November 1, 2008 was approximately $134 million as compared to $119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as of October 27, 2007 and $173 million at the beginning of the second quarter of fiscal 2009. Historically, our backlog varies due to the timing of large orders. The changes in the backlog were the result of the combination of the changes in orders and net sales discussed above. Backlog at the end of the second quarter of fiscal 2009 does not include three contracts, consisting of one for $27 million that was executed early in the third quarter and two</w:t>
      </w:r>
    </w:p>
    <w:p>
      <w:pPr>
        <w:sectPr>
          <w:pgSz w:w="11900" w:h="16838" w:orient="portrait"/>
          <w:cols w:equalWidth="0" w:num="1">
            <w:col w:w="10219"/>
          </w:cols>
          <w:pgMar w:left="240" w:top="131" w:right="1440" w:bottom="0" w:gutter="0" w:footer="0" w:header="0"/>
        </w:sectPr>
      </w:pPr>
    </w:p>
    <w:bookmarkStart w:id="18" w:name="page19"/>
    <w:bookmarkEnd w:id="18"/>
    <w:p>
      <w:pPr>
        <w:jc w:val="both"/>
        <w:ind w:right="2119"/>
        <w:spacing w:after="0" w:line="268" w:lineRule="auto"/>
        <w:rPr>
          <w:sz w:val="20"/>
          <w:szCs w:val="20"/>
          <w:color w:val="auto"/>
        </w:rPr>
      </w:pPr>
      <w:r>
        <w:rPr>
          <w:rFonts w:ascii="Arial" w:cs="Arial" w:eastAsia="Arial" w:hAnsi="Arial"/>
          <w:sz w:val="18"/>
          <w:szCs w:val="18"/>
          <w:color w:val="auto"/>
        </w:rPr>
        <w:t>others totaling more than $16 million that have been awarded and are expected to be executed prior to the end of the fiscal 2008 third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8"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Gross profit increased 23.0% to $48.2 million for the second quarter of fiscal 2009 as compared to $39.2 million for the second quarter of fiscal 2008. For the six months ended November 1, 2008, gross profit increased 23.0% to $93.6 million compared to $76.1 for the six months ended October 27, 2007. As a percent of net sales, gross profit was 28.4% and 28.3% for the three and six months ended November 1, 2008 as compared to 29.8% and 30.1% for the three and six months ended October 27, 2007.</w:t>
      </w:r>
    </w:p>
    <w:p>
      <w:pPr>
        <w:spacing w:after="0" w:line="197"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decline in gross profit percentage is the result of higher costs of manufacturing infrastructure, warranty costs, inventory write-downs, the reorganization of our field services infrastructure and lower product margins in all business units other than Live Events. These increases have been partially offset by a gain of approximately $1 million on the sale of a building in Tampa, Florida in the first quarter of fiscal 2009. Increasing warranty costs have caused gross profit percentages to decline by more than 1 percentage point on a year-to-date basis. This decline is due to issues with new product designs and other factors. We are and have been over the past year investing significant resources into standardizing our display product line, which we believe contained too much custom design, increasing our risk of warranty costs. In addition, we have and will continue to invest in more sophisticated product reliability test equipment and personnel and to implement more sophisticated quality processes in manufacturing to reduce the level of warranty exposure. We believe that we have made progress in gaining control over our warranty costs but cannot be certain that new issues will</w:t>
      </w:r>
    </w:p>
    <w:p>
      <w:pPr>
        <w:spacing w:after="0" w:line="20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not arise. Increased inventory write-downs are resulting from write-downs in Canada related to the plant closure, and write-off of excess inventory bought for projects that had been retained for other projects for which we no longer wanted to hold. We also incurred costs to close down our manufacturing operation in Canada, as described below. The reorganization of our field services department adversely impacted gross profit percentages by approximately 0.5 points as described in previous filings. Finally, the higher costs of manufacturing infrastructure, which approximated a 0.5 point decline in gross profit percent, resulted from a greater proportion of indirect labor. This includes additional personnel in quality, manufacturing engineering and inventory management. These factors, excluding warranty costs, impacted all business units.</w:t>
      </w:r>
    </w:p>
    <w:p>
      <w:pPr>
        <w:spacing w:after="0" w:line="199"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Gross profit in our Commercial business unit declined from approximately 32% in the second quarter of fiscal 2008 to approximately 28% in the same period of fiscal 2009 as a result of a decline in margin in all major niches. The decline resulted from lower margins in our small order business, primarily Galaxy® displays, which is being impacted by the economic conditions, increased competition in the outdoor advertising niche and the factors described above.</w:t>
      </w:r>
    </w:p>
    <w:p>
      <w:pPr>
        <w:spacing w:after="0" w:line="22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Gross profit in our Schools and Theatres business unit declined from approximately 34% in the second quarter of fiscal 2008 to approximately 29% in the second quarter of fiscal 2009. This decline resulted from greater variances in manufacturing, the reclassification of our field services infrastructure to cost of goods sold and lower overall margins on standard products.</w:t>
      </w:r>
    </w:p>
    <w:p>
      <w:pPr>
        <w:spacing w:after="0" w:line="22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Gross profit in our Live Events business unit increased to approximately 33% in the second quarter of fiscal 2009 as compared to approximately 27% in the second quarter of fiscal 2008. The increase was primarily the result of higher margins on product sales and better than expected utilization of the plant due to the high volume of sales.</w:t>
      </w:r>
    </w:p>
    <w:p>
      <w:pPr>
        <w:spacing w:after="0" w:line="18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Gross profit in the International business unit decreased to approximately 6.5% in the second quarter of fiscal 2009 as compared to approximately 24% in the same period one year ago. The decrease was the result of higher warranty costs during the quarter.</w:t>
      </w:r>
    </w:p>
    <w:p>
      <w:pPr>
        <w:spacing w:after="0" w:line="221"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strive toward higher gross margins as a percent of net sales, although depending on the actual mix, the performance of larger projects, and our ability to execute on the business and level of future sales, margin percentages may not increase. We currently believe that we can increase gross profit margins in the second half of fiscal year 2009 as compared to the first half of fiscal year 2009 as a result of lower warranty costs as a percent of sales, better margins on orders in our backlog or to be booked and manufacturing efficiencies. These benefits will, however, be offset by an underutilization of our capacity due to a lower level of sales.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5"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design and development costs, increased by approximately 5.6% from $26.9 million in the second quarter of fiscal 2008 to $28.4 million in the second quarter of fiscal 2009. As a percent of net sales, operating expenses decreased from 20.4% of net sales in the second quarter of fiscal 2008 to 16.7% of net sales for the second quarter of fiscal 2009. Operating expenses increased 12.4% from $52.5 million for the six months October 27, 2007 to $59.0 for the six months ended November 1, 2008. All areas of operating expenses were impacted on a year-to-date basis in fiscal 2009 as a result of the first quarter of fiscal 2009 including 14 weeks as opposed to the more common 13 weeks. The first quarter of fiscal 2008 and the second quarter of fiscal 2008 and fiscal 2009 contained 13 weeks.</w:t>
      </w:r>
    </w:p>
    <w:p>
      <w:pPr>
        <w:sectPr>
          <w:pgSz w:w="11900" w:h="16838" w:orient="portrait"/>
          <w:cols w:equalWidth="0" w:num="1">
            <w:col w:w="10219"/>
          </w:cols>
          <w:pgMar w:left="240" w:top="131" w:right="1440" w:bottom="0" w:gutter="0" w:footer="0" w:header="0"/>
        </w:sectPr>
      </w:pPr>
    </w:p>
    <w:bookmarkStart w:id="19" w:name="page20"/>
    <w:bookmarkEnd w:id="19"/>
    <w:p>
      <w:pPr>
        <w:spacing w:after="0" w:line="52"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 facilities-related costs for sales and service offices, and expenditures for marketing efforts, including collateral materials, conventions and trade shows, product demos and supplies.</w:t>
      </w:r>
    </w:p>
    <w:p>
      <w:pPr>
        <w:spacing w:after="0" w:line="18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Selling expenses increased 2.4% to $15.5 million for the three months ended November 1, 2008 as compared to $15.2 million for the second quarter of fiscal 2008. Selling expenses increased 6.3% to $31.9 million for the six months ended November 1, 2008 from $30.0 million for the same period in fiscal year 2008. Selling expenses decreased to 9.1% of net sales for the second quarter of fiscal 2009 from 11.5% of net sales for the second quarter of fiscal 2008.</w:t>
      </w:r>
    </w:p>
    <w:p>
      <w:pPr>
        <w:spacing w:after="0" w:line="224"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As described in previous filings, we reorganized our field services organization and, as a result, approximately $0.8 million of expenses incurred in the second quarter of fiscal 2009 that would have previously been in selling expense were classified in cost of goods sold. Had this change not been made, selling expense as a percentage of sales would have still declined. Selling expenses for the second quarter of fiscal 2009 were higher than selling expenses in the second quarter of fiscal 2008 as a result of an increase in personnel costs, which increased over $0.5 million, including payroll taxes and benefits and marketing and sales literature, which increased by approximately $0.2 million and credit card fees. These increases were offset by decreases in various costs, including communications, travel and entertainment. The increase in personnel, payroll taxes and benefits was across all business units. The increase in the number of employees was planned to cover growth expectations across all markets and included the impact of hiring additional personnel to support various other investments made in growing areas, such as our services business and commercial sales.</w:t>
      </w:r>
    </w:p>
    <w:p>
      <w:pPr>
        <w:spacing w:after="0" w:line="20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We expect to continue to invest in organic growth, and therefore the dollar amount of selling expenses will increase in fiscal 2009 as compared to fiscal 2008. However, as a percentage of net sales, we believe that selling expenses should decrease. We typically evaluate selling expenses as a percentage of orders rather than sales. Throughout the rest of fiscal 2009, we anticipate selling costs to be flat to declining from the current level. This estimate is subject to containing costs, such as bad debt expense, and achieving desired levels in employee attrition during the third quarter.</w:t>
      </w:r>
    </w:p>
    <w:p>
      <w:pPr>
        <w:spacing w:after="0" w:line="252"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other employee-related costs, professional fees, shareholder relations fees, facilities and equipment-related costs for administration departments, amortization of intangibles and supplies.</w:t>
      </w:r>
    </w:p>
    <w:p>
      <w:pPr>
        <w:spacing w:after="0" w:line="22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General and administrative expenses increased 17.4% to $7.6 million for the second quarter of fiscal 2009 as compared to $6.4 million for the second quarter of fiscal 2008. General and administrative expenses increased 22.5% to $15.2 million for the six months ended November 1, 2008 as compared to $12.4 million for the six months ended October 27, 2007.</w:t>
      </w:r>
    </w:p>
    <w:p>
      <w:pPr>
        <w:spacing w:after="0" w:line="224"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General and administrative expenses decreased to 4.5% as a percent of net sales for the second quarter of fiscal 2009 from 4.9% of net sales for the second quarter of fiscal 2008. For the six months ended November 1, 2008, general and administrative expenses decreased to 4.6% of net sales as compared to 4.9% of net sales for the six months ended October 27, 2007.</w:t>
      </w:r>
    </w:p>
    <w:p>
      <w:pPr>
        <w:spacing w:after="0" w:line="224"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General and administrative expenses increased in the second quarter of fiscal year 2009 over the same period in fiscal year 2008 due to increases in personnel and related payroll and benefits, which comprised approximately $0.7 million of the increase; software and hardware costs, which comprised approximately $0.4 of the increase; higher professional and consulting fees, which comprised approximately $0.3 million of the increase; and various other items such as amortization, depreciation, and facilities costs. These increases were offset by reductions in bank fees, training and tuition, recruiting costs, corporate insurance and other items. We expect that for the rest of fiscal 2009, general and administrative expenses should remain flat sequentially although this is subject to the level of employee attrition and other costs such as professional fees remain stable.</w:t>
      </w:r>
    </w:p>
    <w:p>
      <w:pPr>
        <w:spacing w:after="0" w:line="226"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costs, facilities and equipment-related costs and costs of supplies.</w:t>
      </w:r>
    </w:p>
    <w:p>
      <w:pPr>
        <w:spacing w:after="0" w:line="213"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Product design and development expenses increased 0.4% to $5.3 million for the second quarter of fiscal 2009 as compared to $5.3 million for the second quarter of fiscal 2008. Product design and development expenses increased 18.1% to $11.8 million for the six months ended November 1, 2008 as compared to $10.0 million for the six months ended October 27, 2007.</w:t>
      </w:r>
    </w:p>
    <w:p>
      <w:pPr>
        <w:spacing w:after="0" w:line="224"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Product design and development expenses decreased to 3.1% as a percent of net sales for the second quarter of fiscal 2009 from 4.0% of net sales for the second quarter of fiscal 2008. For the six months ended November 1, 2008, product design and development expenses decreased to 3.6% of net sales as compared to 4.0% of net sales for the six months ended October 27, 2007.</w:t>
      </w:r>
    </w:p>
    <w:p>
      <w:pPr>
        <w:spacing w:after="0" w:line="22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Our focus on product development for fiscal 2009 will be on developing common module platforms and various other initiatives to standardize display components; enhancing our display technology and control systems for both single-site and networked displays spread over a geographical area; and driving decreases in product costs and</w:t>
      </w:r>
    </w:p>
    <w:p>
      <w:pPr>
        <w:sectPr>
          <w:pgSz w:w="11900" w:h="16890" w:orient="portrait"/>
          <w:cols w:equalWidth="0" w:num="1">
            <w:col w:w="10219"/>
          </w:cols>
          <w:pgMar w:left="240" w:top="401" w:right="1440" w:bottom="0" w:gutter="0" w:footer="0" w:header="0"/>
        </w:sectPr>
      </w:pPr>
    </w:p>
    <w:bookmarkStart w:id="20" w:name="page21"/>
    <w:bookmarkEnd w:id="20"/>
    <w:p>
      <w:pPr>
        <w:jc w:val="both"/>
        <w:ind w:right="2119"/>
        <w:spacing w:after="0" w:line="268" w:lineRule="auto"/>
        <w:rPr>
          <w:sz w:val="20"/>
          <w:szCs w:val="20"/>
          <w:color w:val="auto"/>
        </w:rPr>
      </w:pPr>
      <w:r>
        <w:rPr>
          <w:rFonts w:ascii="Arial" w:cs="Arial" w:eastAsia="Arial" w:hAnsi="Arial"/>
          <w:sz w:val="18"/>
          <w:szCs w:val="18"/>
          <w:color w:val="auto"/>
        </w:rPr>
        <w:t>improving the manufacturing of products. We expect that product design and development expenses will approximate 4% of net sales for fiscal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 by Segment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operating income (loss) by segment: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b w:val="1"/>
                <w:bCs w:val="1"/>
                <w:color w:val="auto"/>
              </w:rPr>
              <w:t>Three Months Ended</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b w:val="1"/>
                <w:bCs w:val="1"/>
                <w:color w:val="auto"/>
              </w:rPr>
              <w:t>November 1,</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October 27,</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0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4,741</w:t>
            </w:r>
          </w:p>
        </w:tc>
        <w:tc>
          <w:tcPr>
            <w:tcW w:w="300" w:type="dxa"/>
            <w:vAlign w:val="bottom"/>
          </w:tcPr>
          <w:p>
            <w:pPr>
              <w:spacing w:after="0"/>
              <w:rPr>
                <w:sz w:val="19"/>
                <w:szCs w:val="19"/>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5,050</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80"/>
              <w:spacing w:after="0"/>
              <w:rPr>
                <w:sz w:val="20"/>
                <w:szCs w:val="20"/>
                <w:color w:val="auto"/>
              </w:rPr>
            </w:pPr>
            <w:r>
              <w:rPr>
                <w:rFonts w:ascii="Arial" w:cs="Arial" w:eastAsia="Arial" w:hAnsi="Arial"/>
                <w:sz w:val="18"/>
                <w:szCs w:val="18"/>
                <w:color w:val="auto"/>
              </w:rPr>
              <w:t>Live Events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17,136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3,699</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80"/>
              <w:spacing w:after="0"/>
              <w:rPr>
                <w:sz w:val="20"/>
                <w:szCs w:val="20"/>
                <w:color w:val="auto"/>
              </w:rPr>
            </w:pPr>
            <w:r>
              <w:rPr>
                <w:rFonts w:ascii="Arial" w:cs="Arial" w:eastAsia="Arial" w:hAnsi="Arial"/>
                <w:sz w:val="18"/>
                <w:szCs w:val="18"/>
                <w:color w:val="auto"/>
              </w:rPr>
              <w:t>Schools &amp; Theatres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80"/>
              <w:spacing w:after="0"/>
              <w:rPr>
                <w:sz w:val="20"/>
                <w:szCs w:val="20"/>
                <w:color w:val="auto"/>
              </w:rPr>
            </w:pPr>
            <w:r>
              <w:rPr>
                <w:rFonts w:ascii="Arial" w:cs="Arial" w:eastAsia="Arial" w:hAnsi="Arial"/>
                <w:sz w:val="18"/>
                <w:szCs w:val="18"/>
                <w:color w:val="auto"/>
              </w:rPr>
              <w:t>Transportation</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8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920"/>
              <w:spacing w:after="0"/>
              <w:rPr>
                <w:sz w:val="20"/>
                <w:szCs w:val="20"/>
                <w:color w:val="auto"/>
              </w:rPr>
            </w:pPr>
            <w:r>
              <w:rPr>
                <w:rFonts w:ascii="Arial" w:cs="Arial" w:eastAsia="Arial" w:hAnsi="Arial"/>
                <w:sz w:val="18"/>
                <w:szCs w:val="18"/>
                <w:color w:val="auto"/>
              </w:rPr>
              <w:t>Segment Operating</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19,845</w:t>
            </w:r>
          </w:p>
        </w:tc>
        <w:tc>
          <w:tcPr>
            <w:tcW w:w="300" w:type="dxa"/>
            <w:vAlign w:val="bottom"/>
          </w:tcPr>
          <w:p>
            <w:pPr>
              <w:spacing w:after="0"/>
              <w:rPr>
                <w:sz w:val="18"/>
                <w:szCs w:val="18"/>
                <w:color w:val="auto"/>
              </w:rPr>
            </w:pP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12,338</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920"/>
              <w:spacing w:after="0"/>
              <w:rPr>
                <w:sz w:val="20"/>
                <w:szCs w:val="20"/>
                <w:color w:val="auto"/>
              </w:rPr>
            </w:pPr>
            <w:r>
              <w:rPr>
                <w:rFonts w:ascii="Arial" w:cs="Arial" w:eastAsia="Arial" w:hAnsi="Arial"/>
                <w:sz w:val="18"/>
                <w:szCs w:val="18"/>
                <w:color w:val="auto"/>
              </w:rPr>
              <w:t>Income</w:t>
            </w:r>
          </w:p>
        </w:tc>
        <w:tc>
          <w:tcPr>
            <w:tcW w:w="3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Operating income (loss) by segment is based on the direct costs associated with each segment plus allocations of various expenses on a discretionary basis that are not necessarily indicative of the segment’s operating income on a stand-alone basis. Certain items are allocated based on management’s judgment as to the best methods to achieve company-wide goals. Therefore, we caution making conclusions as to performance based on these disclosures, which are required under generally accepted accounting principles.</w:t>
      </w:r>
    </w:p>
    <w:p>
      <w:pPr>
        <w:spacing w:after="0" w:line="197"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All business units were adversely impacted by increases in general and administrative expenses and product development, which are allocated to the various business units. The following describes the changes in those areas that are directly related to the business unit.</w:t>
      </w:r>
    </w:p>
    <w:p>
      <w:pPr>
        <w:spacing w:after="0" w:line="22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Within the Commercial business unit, operating income decreased as a result of the decline in gross profit as described above and the increase in selling expense, general and administrative allocations and product development allocations.</w:t>
      </w:r>
    </w:p>
    <w:p>
      <w:pPr>
        <w:spacing w:after="0" w:line="22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Operating income increased in the Live Events business unit as a result of an increase in sales and improvement in gross margin percents, which were partially offset by an increase in selling expense, product development allocations and general and administrative allocations.</w:t>
      </w:r>
    </w:p>
    <w:p>
      <w:pPr>
        <w:spacing w:after="0" w:line="22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operating income in the Schools and Theatres business unit decreased in the second quarter of fiscal 2009 as compared to the second quarter of fiscal 2008 as a result of lower sales and gross profit percents as described above.</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Within the Transportation business unit, operating income decreased as a result of a growth in sales being offset by a decline in gross profit percentage.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in the International business unit as a result of increase warranty costs.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our notes payable and long-term debt.</w:t>
      </w:r>
    </w:p>
    <w:p>
      <w:pPr>
        <w:spacing w:after="0" w:line="224" w:lineRule="exact"/>
        <w:rPr>
          <w:sz w:val="20"/>
          <w:szCs w:val="20"/>
          <w:color w:val="auto"/>
        </w:rPr>
      </w:pPr>
    </w:p>
    <w:p>
      <w:pPr>
        <w:jc w:val="both"/>
        <w:ind w:right="2119"/>
        <w:spacing w:after="0" w:line="318" w:lineRule="auto"/>
        <w:rPr>
          <w:sz w:val="20"/>
          <w:szCs w:val="20"/>
          <w:color w:val="auto"/>
        </w:rPr>
      </w:pPr>
      <w:r>
        <w:rPr>
          <w:rFonts w:ascii="Arial" w:cs="Arial" w:eastAsia="Arial" w:hAnsi="Arial"/>
          <w:sz w:val="15"/>
          <w:szCs w:val="15"/>
          <w:color w:val="auto"/>
        </w:rPr>
        <w:t>Interest income increased 10.4% to $0.51 million for the second quarter of fiscal 2009 compared to $0.46 million for the second quarter of fiscal 2008. For the six months ended November 1, 2008, interest income increased 23.6% to $1.0 million from $0.8 million for the six months ended October 27, 2007. The increase was the result of higher levels of temporary cash investments and higher levels of interest-bearing long-term receivables. We expect that the amount of interest income will increase in fiscal 2009 over fiscal 2008 due to higher levels of these items.</w:t>
      </w:r>
    </w:p>
    <w:p>
      <w:pPr>
        <w:spacing w:after="0" w:line="18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Interest expense decreased to $0.1 million for the second quarter of fiscal 2009 as compared to $0.3 million for the second quarter of fiscal 2008. For the six months ended November 1, 2008, interest expense decreased 78.1% to $0.2 million from $0.8 million for the six months ended October 27, 2007. The decrease is due to lower average borrowings outstanding during the first quarter of fiscal 2009. Due to the reduction in debt during the third quarter of fiscal 2008, we expect that interest expense will decline in fiscal 2009 as compared to fiscal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ectPr>
          <w:pgSz w:w="11900" w:h="16838" w:orient="portrait"/>
          <w:cols w:equalWidth="0" w:num="1">
            <w:col w:w="10219"/>
          </w:cols>
          <w:pgMar w:left="240" w:top="131" w:right="1440" w:bottom="0" w:gutter="0" w:footer="0" w:header="0"/>
        </w:sectPr>
      </w:pPr>
    </w:p>
    <w:bookmarkStart w:id="21" w:name="page22"/>
    <w:bookmarkEnd w:id="21"/>
    <w:p>
      <w:pPr>
        <w:jc w:val="both"/>
        <w:ind w:right="2099"/>
        <w:spacing w:after="0" w:line="286" w:lineRule="auto"/>
        <w:rPr>
          <w:sz w:val="20"/>
          <w:szCs w:val="20"/>
          <w:color w:val="auto"/>
        </w:rPr>
      </w:pPr>
      <w:r>
        <w:rPr>
          <w:rFonts w:ascii="Arial" w:cs="Arial" w:eastAsia="Arial" w:hAnsi="Arial"/>
          <w:sz w:val="16"/>
          <w:szCs w:val="16"/>
          <w:color w:val="auto"/>
        </w:rPr>
        <w:t>Other income (expense) decreased for the first six months of fiscal 2009 to a loss of $1.7 million as compared to a loss of $0.5 million for the same period one year ago. For the second quarter of fiscal year 2009, it decreased to a loss of $1.3 million as compared to a loss of $0.2 million for the second quarter of fiscal year 2008. The amount of other income (expense) results from the effects of earnings attributable to unconsolidated affiliates and currency gains and losses. As a result of the loss in value of the U.S. Dollar, we experienced higher levels of currency losses on U.S. Dollar advances to foreign subsidiaries. We also continue to have losses resulting from our equity investment in OutCast Media International, Inc., formerly known as FuelCast Media Networks. We expect that other income (expense) will decline for fiscal 2009 as compared to fiscal 2008 primarily due to the inclusion of a large gain in the third quarter of fiscal 2008 related to the sale of an investment in an affiliate and that will be partially offset by a decreased ownership position in OutCast that occurred during the second quarter of fiscal 2009.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8"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Income taxes were approximately $6.8 million in the second quarter of fiscal 2009 and $4.3 million for the second quarter of fiscal 2008. For the first six months of fiscal year 2009, income taxes increased to $11.9 million as compared to $8.1 million for the first six months of fiscal year 2008. The effective tax rate for the six months ended November 1, 2008 was 35.1% as compared to 34.8% for</w:t>
      </w:r>
    </w:p>
    <w:p>
      <w:pPr>
        <w:spacing w:after="0" w:line="22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the first six months of fiscal year 2008. We expect that the effective tax rate for fiscal 2009 will approximate 36% but could vary depending on the mix of income in foreign jurisdictions. During the second quarter of fiscal 2009, Congress passed and the President signed into law a bill that reinstated the research and development tax credit, which had expired as of December 31, 2007. The reinstatement caused a decline in our domestic effective tax rate of more than 2%. On a quarterly basis, our effective rate is impacted by the mix of business in each foreign jurisdiction.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OF MANUFACTURING OPERATIONS IN CANADA</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During the second quarter of fiscal 2009, we decided to cease sales and manufacturing of our portable display trailer for the Transportation business unit. The closing of the manufacturing operation in Montreal, Quebec, where these displays were made, adversely impacted cost of goods sold in the second quarter of fiscal year 2009. Costs incurred, included severance costs, were approximately $0.2 million, and lease termination, inventory disposition and equipment disposition costs and other costs were approximately $0.9 million. There will be an insignificant amount of additional losses that will occur in the third quarter of fiscal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Working capital was $81.7 million at November 1, 2008 and $62.5 million at April 26, 2008. We have historically financed working capital needs through a combination of cash flow from operations and borrowings under bank credit agreements.</w:t>
      </w:r>
    </w:p>
    <w:p>
      <w:pPr>
        <w:spacing w:after="0" w:line="22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Cash provided by operations for the first six months of fiscal 2009 was $15.7 million. Net income of $21.9 million plus depreciation and amortization of $12.0 million, the add-back of equity in net losses of equity investments, and stock-based compensation, less $20.0 million in changes in net operating assets, and gain on sale of property and equipment, generated the cash provided by operations.</w:t>
      </w:r>
    </w:p>
    <w:p>
      <w:pPr>
        <w:spacing w:after="0" w:line="224"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The most significant drivers of the change in net operating assets for the first six months of fiscal 2009 were the increases in accounts receivable and inventories as of November 1, 2008 as compared to their levels at April 26, 2008. These increases were partially offset by increases in customer deposits, accounts payable and various other items. The increase in accounts receivables was the result of higher billings during the second quarter of fiscal 2009 resulting from the higher level of net sales and an increase in days sales outstanding of approximately four days. When determining days sales outstanding, costs and estimated earnings in excess of profits, which is our key indicator, it increased by five days as of November 1, 2008 as compared to April 26, 2008. Days inventory outstanding was relatively flat as compared to the end of fiscal year 2008. The increase in accounts payable corresponds to the increase in inventory. Other changes in net operating assets were not significant and generally related to the change in overall business during the quarter. Overall,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sales and costs of goods.</w:t>
      </w:r>
    </w:p>
    <w:p>
      <w:pPr>
        <w:spacing w:after="0" w:line="210"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Cash used by investing activities of $14.1 million for the first six months of fiscal 2009 included $16.6 million for purchases of property and equipment, which was offset by $2.9 million of proceeds from the sale of property and equipment. During the first six months of fiscal 2009, we invested approximately $4.6 million in manufacturing equipment, $1.3 million in product demonstration equipment, $6.3 million in information systems infrastructure, including software, $2.2 million in facilities, $1.7 million in rental equipment and $0.3 million in office equipment and various other items. These investments were made to support our continued growth and to replace obsolete equipment. As of the end of the second quarter of fiscal 2009, capital expenditures were 5.0% of net sales.</w:t>
      </w:r>
    </w:p>
    <w:p>
      <w:pPr>
        <w:sectPr>
          <w:pgSz w:w="11900" w:h="16838" w:orient="portrait"/>
          <w:cols w:equalWidth="0" w:num="1">
            <w:col w:w="10219"/>
          </w:cols>
          <w:pgMar w:left="240" w:top="374" w:right="1440" w:bottom="0" w:gutter="0" w:footer="0" w:header="0"/>
        </w:sectPr>
      </w:pPr>
    </w:p>
    <w:bookmarkStart w:id="22" w:name="page23"/>
    <w:bookmarkEnd w:id="22"/>
    <w:p>
      <w:pPr>
        <w:jc w:val="both"/>
        <w:ind w:right="2119"/>
        <w:spacing w:after="0" w:line="259" w:lineRule="auto"/>
        <w:rPr>
          <w:sz w:val="20"/>
          <w:szCs w:val="20"/>
          <w:color w:val="auto"/>
        </w:rPr>
      </w:pPr>
      <w:r>
        <w:rPr>
          <w:rFonts w:ascii="Arial" w:cs="Arial" w:eastAsia="Arial" w:hAnsi="Arial"/>
          <w:sz w:val="18"/>
          <w:szCs w:val="18"/>
          <w:color w:val="auto"/>
        </w:rPr>
        <w:t>Cash used by financing activities of $3.4 million for the first six months of fiscal 2009 consisted of the dividend paid to shareholders of $3.6 million on June 24, 2008, which was offset by option exercises and excess tax benefits from equity-based compensation.</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Included in receivables as of November 1, 2008 was approximately $3.0 million of retainage on long-term contracts, all of which is expected to be collected in one year.</w:t>
      </w:r>
    </w:p>
    <w:p>
      <w:pPr>
        <w:spacing w:after="0" w:line="213"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We have used and expect to continue to use cash reserves and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and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Our product development activities include the enhancement of existing products and the development of new products from existing technologies. Product design and development expenses were $5.3 million for each of the second quarter of fiscal 2009 and for the second quarter of fiscal 2008. We intend to continue to incur expenditures to develop new display products using various display technologies to offer higher resolution and more cost effective and energy efficient displays at a rate of 4.0% of net sales. We also intend to continue developing software applications for our display systems to enable these products to continue to meet the needs and expectations of the marketplace.</w:t>
      </w:r>
    </w:p>
    <w:p>
      <w:pPr>
        <w:spacing w:after="0" w:line="199"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We have a credit agreement with a bank which provides for a $45.0 million line of credit and includes up to $15.0 million for standby letters of credit. The line of credit is due on November 15, 2009. The interest rate ranges from LIBOR plus 75 basis points to LIBOR plus 125 basis points depending on certain ratios. The effective interest rate was 3.2% at November 1, 2008. We are assessed a loan fee equal to 0.1% per annum of any non-used portion of the loan. As of November 1, 2008, there were no advances under the line of credit. The credit agreement is unsecured and requires us to comply with certain covenants, including the maintenance of tangible net worth of at least $75 million, a minimum liquidity ratio, a limit on dividends and distributions and a minimum adjusted fixed charge coverage ratio. Daktronics Canada, Inc. has a credit agreement with a bank which provides for a $0.3 million line of credit. The line of credit is due on February 1, 2009. The interest rate on the line of credit is equal to 1.5% above the prime rate of interest and was 4.8% on November 1, 2008. As of November 1, 2008, no advances under the line of credit were outstanding. The line of credit is secured primarily by accounts receivable, inventory and other assets of the subsidiary. Daktronics Shanghai, Ltd., has established a line of credit for $7.2 million to facilitate the issuance of bank guarantees in connection with orders it receives. The fees on the line are equal to 3% of the outstanding bank guarantees, and the line of credit is secured by a letter of credit issue by us. The line expires on February 28, 2010.</w:t>
      </w:r>
    </w:p>
    <w:p>
      <w:pPr>
        <w:spacing w:after="0" w:line="207"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On May 29, 2008, our Board declared an annual dividend payment of $0.09 per share on our common stock for the fiscal year ended April 26, 2008. Although we intend to pay regular annual dividends for the foreseeable future, all subsequent dividends will be reviewed annually and declared by our Board of Directors at its discretion.</w:t>
      </w:r>
    </w:p>
    <w:p>
      <w:pPr>
        <w:spacing w:after="0" w:line="18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that provides for an aggregate of $100 million in bonded work outstanding. At November 1, 2008, we had approximately $25.5 million of bonded work outstanding against this line.</w:t>
      </w:r>
    </w:p>
    <w:p>
      <w:pPr>
        <w:spacing w:after="0" w:line="188"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We believe that based on our current growth estimates over the next 12 months, we have sufficient capacity under our lines of credit. Beyond that time, we may need to increase the amount of our credit facilities depending on various factors. We anticipate that we will be able to obtain any needed funds under commercially reasonable terms from our current lender. We believe that cash from operations, our existing or increased credit facility and our current working capital will be adequate to meet the cash requirements of our operations in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Through November 1, 2008, most of our net sales were denominated in United States dollars, and our exposure to foreign currency exchange rate changes has not been significant. Net sales originating outside the United States for the second quarter of fiscal 2009 were approximately 11.0% of total net sales, of which a portion was denominated in Canadian dollars, euros, Chinese renminbi or British pounds. If we believed that currency risk in any foreign location was significant, we would utilize foreign exchange hedging contracts to manage our exposure to the currency fluctuations. Over the long-term, net sales to international markets are expected to increase as a percentage of net sales and, consequently, a greater portion of this business could be denominated in foreign currencies. In addition, we fund operating cash to foreign subsidiaries in the form of loans denominated in U.S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w:t>
      </w:r>
    </w:p>
    <w:p>
      <w:pPr>
        <w:sectPr>
          <w:pgSz w:w="11900" w:h="16838" w:orient="portrait"/>
          <w:cols w:equalWidth="0" w:num="1">
            <w:col w:w="10219"/>
          </w:cols>
          <w:pgMar w:left="240" w:top="374" w:right="1440" w:bottom="0" w:gutter="0" w:footer="0" w:header="0"/>
        </w:sectPr>
      </w:pPr>
    </w:p>
    <w:bookmarkStart w:id="23" w:name="page24"/>
    <w:bookmarkEnd w:id="23"/>
    <w:p>
      <w:pPr>
        <w:jc w:val="both"/>
        <w:ind w:right="2119"/>
        <w:spacing w:after="0" w:line="291" w:lineRule="auto"/>
        <w:rPr>
          <w:sz w:val="20"/>
          <w:szCs w:val="20"/>
          <w:color w:val="auto"/>
        </w:rPr>
      </w:pPr>
      <w:r>
        <w:rPr>
          <w:rFonts w:ascii="Arial" w:cs="Arial" w:eastAsia="Arial" w:hAnsi="Arial"/>
          <w:sz w:val="16"/>
          <w:szCs w:val="16"/>
          <w:color w:val="auto"/>
        </w:rPr>
        <w:t>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8"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November 1, 2008, our</w:t>
      </w:r>
    </w:p>
    <w:p>
      <w:pPr>
        <w:spacing w:after="0" w:line="16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outstanding debt approximated $1.1 million, substantially all of which was in variable rate obligations. Each 100 basis point increase or decrease in interest rates would have an insignificant annual effect on variable rate debt interest based on the balances of such debt as of November 1, 2008. For fixed-rate debt, interest rate changes affect its fair market value but do not affect earnings or cash flows.</w:t>
      </w:r>
    </w:p>
    <w:p>
      <w:pPr>
        <w:spacing w:after="0" w:line="22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November 1, 2008, our outstanding long-term receivables were approximately $26.7 million. Each 25 basis point increase in interest rates would have an associated annual opportunity cost to us of approximately $0.1 million.</w:t>
      </w:r>
    </w:p>
    <w:p>
      <w:pPr>
        <w:spacing w:after="0" w:line="22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The following table provides information about our financial instruments that are sensitive to changes in interest rates, including debt obligations, for the two quarters ended May 2, 2009 and subsequent fiscal years.</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Fiscal Years (dollars in thousands)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2"/>
        </w:trPr>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2013</w:t>
            </w:r>
          </w:p>
        </w:tc>
        <w:tc>
          <w:tcPr>
            <w:tcW w:w="220" w:type="dxa"/>
            <w:vAlign w:val="bottom"/>
          </w:tcPr>
          <w:p>
            <w:pPr>
              <w:spacing w:after="0"/>
              <w:rPr>
                <w:sz w:val="18"/>
                <w:szCs w:val="18"/>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Thereafter</w:t>
            </w:r>
          </w:p>
        </w:tc>
      </w:tr>
      <w:tr>
        <w:trPr>
          <w:trHeight w:val="208"/>
        </w:trPr>
        <w:tc>
          <w:tcPr>
            <w:tcW w:w="2480" w:type="dxa"/>
            <w:vAlign w:val="bottom"/>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w w:val="94"/>
              </w:rPr>
              <w:t>Long-term receivables, including</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current maturities: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5,568</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5,020</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3,455</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3,248</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6,549</w:t>
            </w: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w w:val="93"/>
              </w:rPr>
              <w:t>Long-term marketing obligations,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including current portion</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114</w:t>
            </w: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8.0%</w:t>
            </w:r>
          </w:p>
        </w:tc>
      </w:tr>
    </w:tbl>
    <w:p>
      <w:pPr>
        <w:spacing w:after="0" w:line="23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1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Approximately $5.9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November 1, 2008, which is the end of the period covered by this report. Based upon that evaluation, the Chief Executive Officer and Chief Financial Officer concluded that as of November 1, 2008, our disclosure controls and procedures were effective.</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November 1, 2008, there was no change in our internal control over financial reporting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ectPr>
          <w:pgSz w:w="11900" w:h="16838" w:orient="portrait"/>
          <w:cols w:equalWidth="0" w:num="1">
            <w:col w:w="10219"/>
          </w:cols>
          <w:pgMar w:left="240" w:top="131" w:right="1440" w:bottom="154" w:gutter="0" w:footer="0" w:header="0"/>
        </w:sectPr>
      </w:pPr>
    </w:p>
    <w:bookmarkStart w:id="24" w:name="page25"/>
    <w:bookmarkEnd w:id="24"/>
    <w:p>
      <w:pPr>
        <w:jc w:val="both"/>
        <w:ind w:right="2099"/>
        <w:spacing w:after="0" w:line="289" w:lineRule="auto"/>
        <w:rPr>
          <w:sz w:val="20"/>
          <w:szCs w:val="20"/>
          <w:color w:val="auto"/>
        </w:rPr>
      </w:pPr>
      <w:r>
        <w:rPr>
          <w:rFonts w:ascii="Arial" w:cs="Arial" w:eastAsia="Arial" w:hAnsi="Arial"/>
          <w:sz w:val="16"/>
          <w:szCs w:val="16"/>
          <w:color w:val="auto"/>
        </w:rPr>
        <w:t>Our company and two of our executive officers are named as defendants in two complaints filed by two investors in the U.S. District Court for the District of South Dakota in November 2008. The complaints purport to be brought on behalf of a class of all persons (except defendants and other officers and directors of the company) who purchased our stock in the open market between November 15, 2006 and April 5, 2007 (the “class period”). The complaints allege that the defendants materially misled the investing public in our press releases, SEC filings and conference calls, thereby inflating the price of our common stock, by issuing false and misleading statements and omitting to disclose material facts necessary to make our statements not false and misleading. The complaints allege claims under Sections 10(b) and 20(a) of the Securities Exchange Act of 1934,</w:t>
      </w:r>
    </w:p>
    <w:p>
      <w:pPr>
        <w:spacing w:after="0" w:line="19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370" w:lineRule="auto"/>
        <w:rPr>
          <w:sz w:val="20"/>
          <w:szCs w:val="20"/>
          <w:color w:val="auto"/>
        </w:rPr>
      </w:pPr>
      <w:r>
        <w:rPr>
          <w:rFonts w:ascii="Arial" w:cs="Arial" w:eastAsia="Arial" w:hAnsi="Arial"/>
          <w:sz w:val="15"/>
          <w:szCs w:val="15"/>
          <w:color w:val="auto"/>
        </w:rPr>
        <w:t>as amended. The complaints seek compensatory damages on behalf of the alleged class in an unspecified amount, reasonable fees and costs of litigation, and such other and further relief as the Court may deem just and proper.</w:t>
      </w:r>
    </w:p>
    <w:p>
      <w:pPr>
        <w:spacing w:after="0" w:line="143"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We believe that we, and the other defendants, have meritorious defenses to the claims made in the complaints, and we intend to contest these lawsuits vigorously. We are not able to predict the ultimate outcome of this litigation, but it may be costly and disruptive. The total costs may 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The discussion of our business and operations included in this Quarterly Report on Form 10-Q should be read together with the risk factors described in Item 1A of our Annual Report on Form 10-K for the year ended April 26, 2008. It describes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199" w:lineRule="exact"/>
        <w:rPr>
          <w:sz w:val="20"/>
          <w:szCs w:val="20"/>
          <w:color w:val="auto"/>
        </w:rPr>
      </w:pPr>
    </w:p>
    <w:p>
      <w:pPr>
        <w:ind w:right="2459"/>
        <w:spacing w:after="0" w:line="268" w:lineRule="auto"/>
        <w:rPr>
          <w:sz w:val="20"/>
          <w:szCs w:val="20"/>
          <w:color w:val="auto"/>
        </w:rPr>
      </w:pPr>
      <w:r>
        <w:rPr>
          <w:rFonts w:ascii="Arial" w:cs="Arial" w:eastAsia="Arial" w:hAnsi="Arial"/>
          <w:sz w:val="18"/>
          <w:szCs w:val="18"/>
          <w:color w:val="auto"/>
        </w:rPr>
        <w:t>The following updates the section entitled “Item 1A.Risk Factors” in our Annual Report on Form 10-K for the fiscal year ended April 28, 2008.</w:t>
      </w:r>
    </w:p>
    <w:p>
      <w:pPr>
        <w:spacing w:after="0" w:line="240"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 xml:space="preserve">Unfavorable results of legal proceedings could have a material adverse effect on us. </w:t>
      </w:r>
      <w:r>
        <w:rPr>
          <w:rFonts w:ascii="Arial" w:cs="Arial" w:eastAsia="Arial" w:hAnsi="Arial"/>
          <w:sz w:val="16"/>
          <w:szCs w:val="16"/>
          <w:color w:val="auto"/>
        </w:rPr>
        <w:t>As described above,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been named as a defendant in two complaints filed by investors in November 2008 in the U.S. District Court for the District of South Dakota. The complaints purport to be brought on behalf of the classes described in the complaints; allege that the defendants, including the company, materially misled the investing public as described in the complaints; and allege claims under the Exchange Act. Related additional claims may arise in the future. Results of legal proceedings cannot be predicted with certainty. Regardless of the merit of any litigation, it may be both time-consuming and disruptive to our operations and cause significant expense and diversion of management attention and resources, which may have a material adverse effect on our business, financial conditions and results of operations, including our cash flow. Should we fail to prevail in these matters, or should any of these matters be resolved against us, we may be faced with significant monetary damages, which also could materially adversely affect our business, financial condition and results of operations, including our cash flow.</w:t>
      </w:r>
    </w:p>
    <w:p>
      <w:pPr>
        <w:spacing w:after="0" w:line="205" w:lineRule="exact"/>
        <w:rPr>
          <w:sz w:val="20"/>
          <w:szCs w:val="20"/>
          <w:color w:val="auto"/>
        </w:rPr>
      </w:pPr>
    </w:p>
    <w:p>
      <w:pPr>
        <w:jc w:val="both"/>
        <w:ind w:right="2099"/>
        <w:spacing w:after="0" w:line="299" w:lineRule="auto"/>
        <w:rPr>
          <w:sz w:val="20"/>
          <w:szCs w:val="20"/>
          <w:color w:val="auto"/>
        </w:rPr>
      </w:pPr>
      <w:r>
        <w:rPr>
          <w:rFonts w:ascii="Arial" w:cs="Arial" w:eastAsia="Arial" w:hAnsi="Arial"/>
          <w:sz w:val="16"/>
          <w:szCs w:val="16"/>
          <w:i w:val="1"/>
          <w:iCs w:val="1"/>
          <w:color w:val="auto"/>
        </w:rPr>
        <w:t>Difficult and volatile conditions in the capital, credit and commodities markets and in the overall economy could materially adversely affect our financial position, results of operations and cash flow, and we do not know if these</w:t>
      </w:r>
    </w:p>
    <w:p>
      <w:pPr>
        <w:spacing w:after="0" w:line="1" w:lineRule="exact"/>
        <w:rPr>
          <w:sz w:val="20"/>
          <w:szCs w:val="20"/>
          <w:color w:val="auto"/>
        </w:rPr>
      </w:pPr>
    </w:p>
    <w:p>
      <w:pPr>
        <w:jc w:val="both"/>
        <w:ind w:right="2099"/>
        <w:spacing w:after="0" w:line="282" w:lineRule="auto"/>
        <w:rPr>
          <w:sz w:val="20"/>
          <w:szCs w:val="20"/>
          <w:color w:val="auto"/>
        </w:rPr>
      </w:pPr>
      <w:r>
        <w:rPr>
          <w:rFonts w:ascii="Arial" w:cs="Arial" w:eastAsia="Arial" w:hAnsi="Arial"/>
          <w:sz w:val="16"/>
          <w:szCs w:val="16"/>
          <w:i w:val="1"/>
          <w:iCs w:val="1"/>
          <w:color w:val="auto"/>
        </w:rPr>
        <w:t xml:space="preserve">conditions will improve in the near future. </w:t>
      </w:r>
      <w:r>
        <w:rPr>
          <w:rFonts w:ascii="Arial" w:cs="Arial" w:eastAsia="Arial" w:hAnsi="Arial"/>
          <w:sz w:val="16"/>
          <w:szCs w:val="16"/>
          <w:color w:val="auto"/>
        </w:rPr>
        <w:t>Our financial position, results of operations and cash flow could be</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adversely affected by difficult conditions and significant volatility in the capital, credit and commodities markets and in the overall worldwide economy. These factors, combined with declining business and consumer confidence and increased unemployment, have precipitated a worldwide economic slowdown and fears of a possible recession. The impact, if any, that these factors might have on us and our business is uncertain and cannot be estimated at this time. Item 1A of our Annual Report on Form 10-K for the fiscal year ended April 26, 2008 discusses some of the principal risks inherent in our business. Current economic conditions have accentuated each of these risks and magnified their potential effect on us and our business. The difficult conditions in these markets and the overall economy affect our business in a number of ways. For example:</w:t>
      </w:r>
    </w:p>
    <w:p>
      <w:pPr>
        <w:spacing w:after="0" w:line="242" w:lineRule="exact"/>
        <w:rPr>
          <w:sz w:val="20"/>
          <w:szCs w:val="20"/>
          <w:color w:val="auto"/>
        </w:rPr>
      </w:pPr>
    </w:p>
    <w:p>
      <w:pPr>
        <w:jc w:val="both"/>
        <w:ind w:left="900" w:right="2099" w:hanging="244"/>
        <w:spacing w:after="0" w:line="183" w:lineRule="auto"/>
        <w:tabs>
          <w:tab w:leader="none" w:pos="900" w:val="left"/>
        </w:tabs>
        <w:numPr>
          <w:ilvl w:val="0"/>
          <w:numId w:val="4"/>
        </w:numPr>
        <w:rPr>
          <w:rFonts w:ascii="Arial" w:cs="Arial" w:eastAsia="Arial" w:hAnsi="Arial"/>
          <w:sz w:val="48"/>
          <w:szCs w:val="48"/>
          <w:b w:val="1"/>
          <w:bCs w:val="1"/>
          <w:color w:val="auto"/>
          <w:vertAlign w:val="subscript"/>
        </w:rPr>
      </w:pPr>
      <w:r>
        <w:rPr>
          <w:rFonts w:ascii="Arial" w:cs="Arial" w:eastAsia="Arial" w:hAnsi="Arial"/>
          <w:sz w:val="17"/>
          <w:szCs w:val="17"/>
          <w:color w:val="auto"/>
        </w:rPr>
        <w:t>Although we believe we have sufficient liquidity under our credit agreement with a bank to run our business, under extreme market conditions, there can be no assurance that such funds would be available or sufficient and, in such a case, we may not be able to successfully obtain additional financing on favorable terms, or at all.</w:t>
      </w:r>
    </w:p>
    <w:p>
      <w:pPr>
        <w:sectPr>
          <w:pgSz w:w="11900" w:h="16838" w:orient="portrait"/>
          <w:cols w:equalWidth="0" w:num="1">
            <w:col w:w="10219"/>
          </w:cols>
          <w:pgMar w:left="240" w:top="131" w:right="1440" w:bottom="0" w:gutter="0" w:footer="0" w:header="0"/>
        </w:sect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Recent market volatility has exerted downward pressure on our stock price, which may make it more difficult for us to raise additional capital in the future.</w:t>
      </w:r>
    </w:p>
    <w:p>
      <w:pPr>
        <w:spacing w:after="0" w:line="213"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Economic conditions could result in our customers experiencing financial difficulties or electing to limit spending because of the declining economy, which may result in decreased sales and earnings for us.</w:t>
      </w:r>
    </w:p>
    <w:p>
      <w:pPr>
        <w:sectPr>
          <w:pgSz w:w="11900" w:h="16838" w:orient="portrait"/>
          <w:cols w:equalWidth="0" w:num="2">
            <w:col w:w="740" w:space="160"/>
            <w:col w:w="9319"/>
          </w:cols>
          <w:pgMar w:left="240" w:top="131" w:right="1440" w:bottom="0" w:gutter="0" w:footer="0" w:header="0"/>
          <w:type w:val="continuous"/>
        </w:sectPr>
      </w:pPr>
    </w:p>
    <w:bookmarkStart w:id="25" w:name="page26"/>
    <w:bookmarkEnd w:id="25"/>
    <w:p>
      <w:pPr>
        <w:ind w:right="2119"/>
        <w:spacing w:after="0" w:line="268" w:lineRule="auto"/>
        <w:rPr>
          <w:sz w:val="20"/>
          <w:szCs w:val="20"/>
          <w:color w:val="auto"/>
        </w:rPr>
      </w:pPr>
      <w:r>
        <w:rPr>
          <w:rFonts w:ascii="Arial" w:cs="Arial" w:eastAsia="Arial" w:hAnsi="Arial"/>
          <w:sz w:val="18"/>
          <w:szCs w:val="18"/>
          <w:color w:val="auto"/>
        </w:rPr>
        <w:t>We do not know if market conditions or the state of the overall economy will improve in the near future or when improvement will occur.</w:t>
      </w:r>
    </w:p>
    <w:p>
      <w:pPr>
        <w:spacing w:after="0" w:line="21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meeting of shareholders was held on August 16, 2008 (the “Annual Meeting”).</w:t>
      </w:r>
    </w:p>
    <w:p>
      <w:pPr>
        <w:spacing w:after="0" w:line="252" w:lineRule="exact"/>
        <w:rPr>
          <w:rFonts w:ascii="Arial" w:cs="Arial" w:eastAsia="Arial" w:hAnsi="Arial"/>
          <w:sz w:val="18"/>
          <w:szCs w:val="18"/>
          <w:color w:val="auto"/>
        </w:rPr>
      </w:pPr>
    </w:p>
    <w:p>
      <w:pPr>
        <w:jc w:val="both"/>
        <w:ind w:right="2099" w:firstLine="8"/>
        <w:spacing w:after="0" w:line="256" w:lineRule="auto"/>
        <w:tabs>
          <w:tab w:leader="none" w:pos="569"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Annual Meeting, Dr. Aelred J. Kurtenbach, Robert G. Dutcher and Nancy D. Frame were re-elected to our Board of Directors. The terms of the following Directors continued after the Annual Meeting: James B. Morgan, John L. Mulligan, Duane E. Sander, Ph.D., Byron J. Anderson, Frank J. Kurtenbach and James A. Vellenga.</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Annual Meeting, the following proposals were adopted by the votes indicated:</w:t>
      </w:r>
    </w:p>
    <w:p>
      <w:pPr>
        <w:spacing w:after="0" w:line="252" w:lineRule="exact"/>
        <w:rPr>
          <w:sz w:val="20"/>
          <w:szCs w:val="20"/>
          <w:color w:val="auto"/>
        </w:rPr>
      </w:pPr>
    </w:p>
    <w:p>
      <w:pPr>
        <w:ind w:right="2299"/>
        <w:spacing w:after="0" w:line="268" w:lineRule="auto"/>
        <w:rPr>
          <w:sz w:val="20"/>
          <w:szCs w:val="20"/>
          <w:color w:val="auto"/>
        </w:rPr>
      </w:pPr>
      <w:r>
        <w:rPr>
          <w:rFonts w:ascii="Arial" w:cs="Arial" w:eastAsia="Arial" w:hAnsi="Arial"/>
          <w:sz w:val="18"/>
          <w:szCs w:val="18"/>
          <w:i w:val="1"/>
          <w:iCs w:val="1"/>
          <w:color w:val="auto"/>
        </w:rPr>
        <w:t>Election of the following three nominees as Directors of the Company</w:t>
      </w:r>
      <w:r>
        <w:rPr>
          <w:rFonts w:ascii="Arial" w:cs="Arial" w:eastAsia="Arial" w:hAnsi="Arial"/>
          <w:sz w:val="18"/>
          <w:szCs w:val="18"/>
          <w:color w:val="auto"/>
        </w:rPr>
        <w:t>, until their successors are duly elected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w:t>
      </w:r>
    </w:p>
    <w:p>
      <w:pPr>
        <w:spacing w:after="0" w:line="213" w:lineRule="exact"/>
        <w:rPr>
          <w:sz w:val="20"/>
          <w:szCs w:val="20"/>
          <w:color w:val="auto"/>
        </w:rPr>
      </w:pPr>
    </w:p>
    <w:tbl>
      <w:tblPr>
        <w:tblLayout w:type="fixed"/>
        <w:tblInd w:w="1500" w:type="dxa"/>
        <w:tblCellMar>
          <w:top w:w="0" w:type="dxa"/>
          <w:left w:w="0" w:type="dxa"/>
          <w:bottom w:w="0" w:type="dxa"/>
          <w:right w:w="0" w:type="dxa"/>
        </w:tblCellMar>
      </w:tblPr>
      <w:tr>
        <w:trPr>
          <w:trHeight w:val="222"/>
        </w:trPr>
        <w:tc>
          <w:tcPr>
            <w:tcW w:w="2140" w:type="dxa"/>
            <w:vAlign w:val="bottom"/>
          </w:tcPr>
          <w:p>
            <w:pPr>
              <w:spacing w:after="0"/>
              <w:rPr>
                <w:sz w:val="19"/>
                <w:szCs w:val="19"/>
                <w:color w:val="auto"/>
              </w:rPr>
            </w:pPr>
          </w:p>
        </w:tc>
        <w:tc>
          <w:tcPr>
            <w:tcW w:w="3840" w:type="dxa"/>
            <w:vAlign w:val="bottom"/>
            <w:gridSpan w:val="3"/>
          </w:tcPr>
          <w:p>
            <w:pPr>
              <w:ind w:left="1060"/>
              <w:spacing w:after="0"/>
              <w:rPr>
                <w:sz w:val="20"/>
                <w:szCs w:val="20"/>
                <w:color w:val="auto"/>
              </w:rPr>
            </w:pPr>
            <w:r>
              <w:rPr>
                <w:rFonts w:ascii="Arial" w:cs="Arial" w:eastAsia="Arial" w:hAnsi="Arial"/>
                <w:sz w:val="18"/>
                <w:szCs w:val="18"/>
                <w:color w:val="auto"/>
              </w:rPr>
              <w:t>Number of Shares Voted</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For</w:t>
            </w:r>
          </w:p>
        </w:tc>
        <w:tc>
          <w:tcPr>
            <w:tcW w:w="1860" w:type="dxa"/>
            <w:vAlign w:val="bottom"/>
          </w:tcPr>
          <w:p>
            <w:pPr>
              <w:ind w:left="600"/>
              <w:spacing w:after="0"/>
              <w:rPr>
                <w:sz w:val="20"/>
                <w:szCs w:val="20"/>
                <w:color w:val="auto"/>
              </w:rPr>
            </w:pPr>
            <w:r>
              <w:rPr>
                <w:rFonts w:ascii="Arial" w:cs="Arial" w:eastAsia="Arial" w:hAnsi="Arial"/>
                <w:sz w:val="18"/>
                <w:szCs w:val="18"/>
                <w:color w:val="auto"/>
              </w:rPr>
              <w:t>Withheld</w:t>
            </w:r>
          </w:p>
        </w:tc>
        <w:tc>
          <w:tcPr>
            <w:tcW w:w="0" w:type="dxa"/>
            <w:vAlign w:val="bottom"/>
          </w:tcPr>
          <w:p>
            <w:pPr>
              <w:spacing w:after="0"/>
              <w:rPr>
                <w:sz w:val="1"/>
                <w:szCs w:val="1"/>
                <w:color w:val="auto"/>
              </w:rPr>
            </w:pPr>
          </w:p>
        </w:tc>
      </w:tr>
      <w:tr>
        <w:trPr>
          <w:trHeight w:val="34"/>
        </w:trPr>
        <w:tc>
          <w:tcPr>
            <w:tcW w:w="2140" w:type="dxa"/>
            <w:vAlign w:val="bottom"/>
            <w:vMerge w:val="restart"/>
          </w:tcPr>
          <w:p>
            <w:pPr>
              <w:spacing w:after="0"/>
              <w:rPr>
                <w:sz w:val="20"/>
                <w:szCs w:val="20"/>
                <w:color w:val="auto"/>
              </w:rPr>
            </w:pPr>
            <w:r>
              <w:rPr>
                <w:rFonts w:ascii="Arial" w:cs="Arial" w:eastAsia="Arial" w:hAnsi="Arial"/>
                <w:sz w:val="18"/>
                <w:szCs w:val="18"/>
                <w:color w:val="auto"/>
              </w:rPr>
              <w:t>Dr. Aelred J. Kurtenbach</w:t>
            </w:r>
          </w:p>
        </w:tc>
        <w:tc>
          <w:tcPr>
            <w:tcW w:w="16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140" w:type="dxa"/>
            <w:vAlign w:val="bottom"/>
            <w:vMerge w:val="continue"/>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33,045,431</w:t>
            </w:r>
          </w:p>
        </w:tc>
        <w:tc>
          <w:tcPr>
            <w:tcW w:w="3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1,117,857</w:t>
            </w: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Robert G. Dutcher</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32,815,447</w:t>
            </w:r>
          </w:p>
        </w:tc>
        <w:tc>
          <w:tcPr>
            <w:tcW w:w="3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1,347,842</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18"/>
                <w:szCs w:val="18"/>
                <w:color w:val="auto"/>
              </w:rPr>
              <w:t>Nancy D. Frame</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33,530,200</w:t>
            </w:r>
          </w:p>
        </w:tc>
        <w:tc>
          <w:tcPr>
            <w:tcW w:w="3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633,088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2379"/>
        <w:spacing w:after="0" w:line="268" w:lineRule="auto"/>
        <w:rPr>
          <w:sz w:val="20"/>
          <w:szCs w:val="20"/>
          <w:color w:val="auto"/>
        </w:rPr>
      </w:pPr>
      <w:r>
        <w:rPr>
          <w:rFonts w:ascii="Arial" w:cs="Arial" w:eastAsia="Arial" w:hAnsi="Arial"/>
          <w:sz w:val="18"/>
          <w:szCs w:val="18"/>
          <w:i w:val="1"/>
          <w:iCs w:val="1"/>
          <w:color w:val="auto"/>
        </w:rPr>
        <w:t xml:space="preserve">Ratification of the appointment of Ernst &amp; Young LLP, </w:t>
      </w:r>
      <w:r>
        <w:rPr>
          <w:rFonts w:ascii="Arial" w:cs="Arial" w:eastAsia="Arial" w:hAnsi="Arial"/>
          <w:sz w:val="18"/>
          <w:szCs w:val="18"/>
          <w:color w:val="auto"/>
        </w:rPr>
        <w:t>as our independent registered public accounting firm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2009:</w:t>
      </w:r>
    </w:p>
    <w:p>
      <w:pPr>
        <w:spacing w:after="0" w:line="21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Number of Shares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36830</wp:posOffset>
            </wp:positionV>
            <wp:extent cx="2152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43" w:lineRule="exact"/>
        <w:rPr>
          <w:sz w:val="20"/>
          <w:szCs w:val="20"/>
          <w:color w:val="auto"/>
        </w:rPr>
      </w:pPr>
    </w:p>
    <w:p>
      <w:pPr>
        <w:ind w:left="1800"/>
        <w:spacing w:after="0"/>
        <w:tabs>
          <w:tab w:leader="none" w:pos="2880" w:val="left"/>
          <w:tab w:leader="none" w:pos="40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36830</wp:posOffset>
            </wp:positionV>
            <wp:extent cx="2152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43" w:lineRule="exact"/>
        <w:rPr>
          <w:sz w:val="20"/>
          <w:szCs w:val="20"/>
          <w:color w:val="auto"/>
        </w:rPr>
      </w:pPr>
    </w:p>
    <w:p>
      <w:pPr>
        <w:ind w:left="1540"/>
        <w:spacing w:after="0"/>
        <w:tabs>
          <w:tab w:leader="none" w:pos="2920" w:val="left"/>
          <w:tab w:leader="none" w:pos="4040" w:val="left"/>
        </w:tabs>
        <w:rPr>
          <w:sz w:val="20"/>
          <w:szCs w:val="20"/>
          <w:color w:val="auto"/>
        </w:rPr>
      </w:pPr>
      <w:r>
        <w:rPr>
          <w:rFonts w:ascii="Arial" w:cs="Arial" w:eastAsia="Arial" w:hAnsi="Arial"/>
          <w:sz w:val="18"/>
          <w:szCs w:val="18"/>
          <w:color w:val="auto"/>
        </w:rPr>
        <w:t>32,508,865</w:t>
      </w:r>
      <w:r>
        <w:rPr>
          <w:sz w:val="20"/>
          <w:szCs w:val="20"/>
          <w:color w:val="auto"/>
        </w:rPr>
        <w:tab/>
      </w:r>
      <w:r>
        <w:rPr>
          <w:rFonts w:ascii="Arial" w:cs="Arial" w:eastAsia="Arial" w:hAnsi="Arial"/>
          <w:sz w:val="18"/>
          <w:szCs w:val="18"/>
          <w:color w:val="auto"/>
        </w:rPr>
        <w:t>37,157</w:t>
      </w:r>
      <w:r>
        <w:rPr>
          <w:sz w:val="20"/>
          <w:szCs w:val="20"/>
          <w:color w:val="auto"/>
        </w:rPr>
        <w:tab/>
      </w:r>
      <w:r>
        <w:rPr>
          <w:rFonts w:ascii="Arial" w:cs="Arial" w:eastAsia="Arial" w:hAnsi="Arial"/>
          <w:sz w:val="16"/>
          <w:szCs w:val="16"/>
          <w:color w:val="auto"/>
        </w:rPr>
        <w:t>103,939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Quarterly Report on Form 10-Q:</w:t>
      </w:r>
    </w:p>
    <w:p>
      <w:pPr>
        <w:spacing w:after="0" w:line="252" w:lineRule="exact"/>
        <w:rPr>
          <w:sz w:val="20"/>
          <w:szCs w:val="20"/>
          <w:color w:val="auto"/>
        </w:rPr>
      </w:pPr>
    </w:p>
    <w:p>
      <w:pPr>
        <w:jc w:val="right"/>
        <w:ind w:right="2119"/>
        <w:spacing w:after="0" w:line="286" w:lineRule="auto"/>
        <w:rPr>
          <w:sz w:val="20"/>
          <w:szCs w:val="20"/>
          <w:color w:val="auto"/>
        </w:rPr>
      </w:pPr>
      <w:r>
        <w:rPr>
          <w:rFonts w:ascii="Arial" w:cs="Arial" w:eastAsia="Arial" w:hAnsi="Arial"/>
          <w:sz w:val="16"/>
          <w:szCs w:val="16"/>
          <w:color w:val="auto"/>
        </w:rPr>
        <w:t>31.1    Certification of the Chief Executive Officer required by Rule 13a-14(a) or Rule 15d-14(a) under the Securities Exchange Act of 1934, as adopted pursuant to Section 302 of the Sarbanes-Oxley Act of 2002.</w:t>
      </w:r>
    </w:p>
    <w:p>
      <w:pPr>
        <w:ind w:left="660" w:right="2099" w:hanging="647"/>
        <w:spacing w:after="0" w:line="300"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of the Chief Financial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(18 U.S.C. Section 1350).</w:t>
      </w:r>
    </w:p>
    <w:p>
      <w:pPr>
        <w:spacing w:after="0" w:line="27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131" w:right="1440" w:bottom="41" w:gutter="0" w:footer="0" w:header="0"/>
        </w:sectPr>
      </w:pPr>
    </w:p>
    <w:bookmarkStart w:id="26" w:name="page27"/>
    <w:bookmarkEnd w:id="26"/>
    <w:p>
      <w:pPr>
        <w:ind w:left="3980"/>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(Principal Financial Officer</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and Principal Accounting</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2008</w:t>
      </w:r>
    </w:p>
    <w:p>
      <w:pPr>
        <w:spacing w:after="0" w:line="200" w:lineRule="exact"/>
        <w:rPr>
          <w:sz w:val="20"/>
          <w:szCs w:val="20"/>
          <w:color w:val="auto"/>
        </w:rPr>
      </w:pPr>
    </w:p>
    <w:p>
      <w:pPr>
        <w:spacing w:after="0" w:line="29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58" w:right="1440" w:bottom="1440" w:gutter="0" w:footer="0" w:header="0"/>
        </w:sectPr>
      </w:pPr>
    </w:p>
    <w:bookmarkStart w:id="27" w:name="page28"/>
    <w:bookmarkEnd w:id="27"/>
    <w:p>
      <w:pPr>
        <w:jc w:val="right"/>
        <w:ind w:right="2099"/>
        <w:spacing w:after="0"/>
        <w:rPr>
          <w:sz w:val="20"/>
          <w:szCs w:val="20"/>
          <w:color w:val="auto"/>
        </w:rPr>
      </w:pPr>
      <w:r>
        <w:rPr>
          <w:rFonts w:ascii="Arial" w:cs="Arial" w:eastAsia="Arial" w:hAnsi="Arial"/>
          <w:sz w:val="18"/>
          <w:szCs w:val="18"/>
          <w:color w:val="auto"/>
        </w:rPr>
        <w:t>EXHIBIT 31.1</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November 1, 2008 of Daktronics,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w:t>
      </w:r>
    </w:p>
    <w:p>
      <w:pPr>
        <w:spacing w:after="0" w:line="245"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700" w:hanging="199"/>
        <w:spacing w:after="0"/>
        <w:tabs>
          <w:tab w:leader="none" w:pos="7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24"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28" w:name="page29"/>
    <w:bookmarkEnd w:id="28"/>
    <w:p>
      <w:pPr>
        <w:jc w:val="right"/>
        <w:ind w:right="2099"/>
        <w:spacing w:after="0"/>
        <w:rPr>
          <w:sz w:val="20"/>
          <w:szCs w:val="20"/>
          <w:color w:val="auto"/>
        </w:rPr>
      </w:pPr>
      <w:r>
        <w:rPr>
          <w:rFonts w:ascii="Arial" w:cs="Arial" w:eastAsia="Arial" w:hAnsi="Arial"/>
          <w:sz w:val="18"/>
          <w:szCs w:val="18"/>
          <w:color w:val="auto"/>
        </w:rPr>
        <w:t>EXHIBIT 31.2</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November 1, 2008 of Daktronics,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w:t>
      </w:r>
    </w:p>
    <w:p>
      <w:pPr>
        <w:spacing w:after="0" w:line="245"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700" w:hanging="199"/>
        <w:spacing w:after="0"/>
        <w:tabs>
          <w:tab w:leader="none" w:pos="7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24"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29" w:name="page30"/>
    <w:bookmarkEnd w:id="29"/>
    <w:p>
      <w:pPr>
        <w:jc w:val="right"/>
        <w:ind w:right="2099"/>
        <w:spacing w:after="0"/>
        <w:rPr>
          <w:sz w:val="20"/>
          <w:szCs w:val="20"/>
          <w:color w:val="auto"/>
        </w:rPr>
      </w:pPr>
      <w:r>
        <w:rPr>
          <w:rFonts w:ascii="Arial" w:cs="Arial" w:eastAsia="Arial" w:hAnsi="Arial"/>
          <w:sz w:val="18"/>
          <w:szCs w:val="18"/>
          <w:color w:val="auto"/>
        </w:rPr>
        <w:t>EXHIBIT 32.1</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2439"/>
        <w:spacing w:after="0" w:line="323" w:lineRule="auto"/>
        <w:rPr>
          <w:sz w:val="20"/>
          <w:szCs w:val="20"/>
          <w:color w:val="auto"/>
        </w:rPr>
      </w:pPr>
      <w:r>
        <w:rPr>
          <w:rFonts w:ascii="Arial" w:cs="Arial" w:eastAsia="Arial" w:hAnsi="Arial"/>
          <w:sz w:val="15"/>
          <w:szCs w:val="15"/>
          <w:color w:val="auto"/>
        </w:rPr>
        <w:t>In connection with the Quarterly Report on Form 10-Q of Daktronics, Inc. (the “Company”) for the quarterly period ended November 1, 2008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79" w:lineRule="exact"/>
        <w:rPr>
          <w:sz w:val="20"/>
          <w:szCs w:val="20"/>
          <w:color w:val="auto"/>
        </w:rPr>
      </w:pPr>
    </w:p>
    <w:p>
      <w:pPr>
        <w:ind w:left="980" w:right="2139" w:hanging="648"/>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719" w:hanging="648"/>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26, 2008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30" w:name="page31"/>
    <w:bookmarkEnd w:id="30"/>
    <w:p>
      <w:pPr>
        <w:jc w:val="right"/>
        <w:ind w:right="2099"/>
        <w:spacing w:after="0"/>
        <w:rPr>
          <w:sz w:val="20"/>
          <w:szCs w:val="20"/>
          <w:color w:val="auto"/>
        </w:rPr>
      </w:pPr>
      <w:r>
        <w:rPr>
          <w:rFonts w:ascii="Arial" w:cs="Arial" w:eastAsia="Arial" w:hAnsi="Arial"/>
          <w:sz w:val="18"/>
          <w:szCs w:val="18"/>
          <w:color w:val="auto"/>
        </w:rPr>
        <w:t>EXHIBIT 32.2</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2279"/>
        <w:spacing w:after="0" w:line="298"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November 1, 2008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94" w:lineRule="exact"/>
        <w:rPr>
          <w:sz w:val="20"/>
          <w:szCs w:val="20"/>
          <w:color w:val="auto"/>
        </w:rPr>
      </w:pPr>
    </w:p>
    <w:p>
      <w:pPr>
        <w:ind w:left="980" w:right="2139" w:hanging="648"/>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719" w:hanging="648"/>
        <w:spacing w:after="0" w:line="26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26, 2008</w:t>
      </w:r>
    </w:p>
    <w:p>
      <w:pPr>
        <w:spacing w:after="0" w:line="200" w:lineRule="exact"/>
        <w:rPr>
          <w:sz w:val="20"/>
          <w:szCs w:val="20"/>
          <w:color w:val="auto"/>
        </w:rPr>
      </w:pPr>
    </w:p>
    <w:p>
      <w:pPr>
        <w:spacing w:after="0" w:line="28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endash "/>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2019-12-14T02:12:42Z</dcterms:created>
  <dcterms:modified xsi:type="dcterms:W3CDTF">2019-12-14T02:12:42Z</dcterms:modified>
</cp:coreProperties>
</file>