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290830</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179695"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179695" cy="77470"/>
                    </a:xfrm>
                    <a:prstGeom prst="rect">
                      <a:avLst/>
                    </a:prstGeom>
                    <a:noFill/>
                  </pic:spPr>
                </pic:pic>
              </a:graphicData>
            </a:graphic>
          </wp:anchor>
        </w:drawing>
        <w:t>UNITED STATES</w:t>
      </w:r>
    </w:p>
    <w:p>
      <w:pPr>
        <w:spacing w:after="0" w:line="25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 10-Q</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17"/>
          <w:szCs w:val="17"/>
          <w:b w:val="1"/>
          <w:bCs w:val="1"/>
          <w:color w:val="auto"/>
        </w:rPr>
        <w:t>QUARTERLY REPORT PURSUANT TO SECTION 13 OR 15(d) OF THE SECURITIES</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Quarterly Period Ended August 2, 2008</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oTRANSITION REPORT PURSUANT TO SECTION 13 OR 15(d) OF THE SECURITIES</w:t>
      </w:r>
    </w:p>
    <w:p>
      <w:pPr>
        <w:spacing w:after="0" w:line="4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30" w:lineRule="exact"/>
        <w:rPr>
          <w:sz w:val="24"/>
          <w:szCs w:val="24"/>
          <w:color w:val="auto"/>
        </w:rPr>
      </w:pPr>
    </w:p>
    <w:p>
      <w:pPr>
        <w:ind w:left="2460"/>
        <w:spacing w:after="0"/>
        <w:rPr>
          <w:sz w:val="20"/>
          <w:szCs w:val="20"/>
          <w:color w:val="auto"/>
        </w:rPr>
      </w:pPr>
      <w:r>
        <w:rPr>
          <w:rFonts w:ascii="Arial" w:cs="Arial" w:eastAsia="Arial" w:hAnsi="Arial"/>
          <w:sz w:val="18"/>
          <w:szCs w:val="18"/>
          <w:b w:val="1"/>
          <w:bCs w:val="1"/>
          <w:i w:val="1"/>
          <w:iCs w:val="1"/>
          <w:color w:val="auto"/>
        </w:rPr>
        <w:t>For the Transition Period From ___ to 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327" w:right="1440" w:bottom="0" w:gutter="0" w:footer="0" w:header="0"/>
        </w:sectPr>
      </w:pPr>
    </w:p>
    <w:p>
      <w:pPr>
        <w:spacing w:after="0" w:line="24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315595</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spacing w:after="0"/>
        <w:tabs>
          <w:tab w:leader="none" w:pos="1160" w:val="left"/>
        </w:tabs>
        <w:rPr>
          <w:sz w:val="20"/>
          <w:szCs w:val="20"/>
          <w:color w:val="auto"/>
        </w:rPr>
      </w:pPr>
      <w:r>
        <w:rPr>
          <w:rFonts w:ascii="Arial" w:cs="Arial" w:eastAsia="Arial" w:hAnsi="Arial"/>
          <w:sz w:val="16"/>
          <w:szCs w:val="16"/>
          <w:color w:val="auto"/>
        </w:rPr>
        <w:t>(I.R.S.</w:t>
      </w:r>
      <w:r>
        <w:rPr>
          <w:sz w:val="20"/>
          <w:szCs w:val="20"/>
          <w:color w:val="auto"/>
        </w:rPr>
        <w:tab/>
      </w:r>
      <w:r>
        <w:rPr>
          <w:rFonts w:ascii="Arial" w:cs="Arial" w:eastAsia="Arial" w:hAnsi="Arial"/>
          <w:sz w:val="16"/>
          <w:szCs w:val="16"/>
          <w:color w:val="auto"/>
        </w:rPr>
        <w:t>Employer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00" w:lineRule="exact"/>
        <w:rPr>
          <w:sz w:val="24"/>
          <w:szCs w:val="24"/>
          <w:color w:val="auto"/>
        </w:rPr>
      </w:pPr>
    </w:p>
    <w:p>
      <w:pPr>
        <w:sectPr>
          <w:pgSz w:w="11900" w:h="16838" w:orient="portrait"/>
          <w:cols w:equalWidth="0" w:num="2">
            <w:col w:w="4020" w:space="580"/>
            <w:col w:w="5619"/>
          </w:cols>
          <w:pgMar w:left="240" w:top="132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310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201 Daktronics Drive</w:t>
            </w:r>
          </w:p>
        </w:tc>
        <w:tc>
          <w:tcPr>
            <w:tcW w:w="10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57006</w:t>
            </w:r>
          </w:p>
        </w:tc>
        <w:tc>
          <w:tcPr>
            <w:tcW w:w="0" w:type="dxa"/>
            <w:vAlign w:val="bottom"/>
          </w:tcPr>
          <w:p>
            <w:pPr>
              <w:spacing w:after="0"/>
              <w:rPr>
                <w:sz w:val="1"/>
                <w:szCs w:val="1"/>
                <w:color w:val="auto"/>
              </w:rPr>
            </w:pPr>
          </w:p>
        </w:tc>
      </w:tr>
      <w:tr>
        <w:trPr>
          <w:trHeight w:val="216"/>
        </w:trPr>
        <w:tc>
          <w:tcPr>
            <w:tcW w:w="310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87"/>
              </w:rPr>
              <w:t>Brookings, SD</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w w:val="99"/>
              </w:rPr>
              <w:t>(Address of principal executive offices)</w:t>
            </w:r>
          </w:p>
        </w:tc>
        <w:tc>
          <w:tcPr>
            <w:tcW w:w="1080" w:type="dxa"/>
            <w:vAlign w:val="bottom"/>
          </w:tcPr>
          <w:p>
            <w:pPr>
              <w:jc w:val="right"/>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ind w:right="1679"/>
        <w:spacing w:after="0"/>
        <w:rPr>
          <w:sz w:val="20"/>
          <w:szCs w:val="20"/>
          <w:color w:val="auto"/>
        </w:rPr>
      </w:pPr>
      <w:r>
        <w:rPr>
          <w:rFonts w:ascii="Arial" w:cs="Arial" w:eastAsia="Arial" w:hAnsi="Arial"/>
          <w:sz w:val="18"/>
          <w:szCs w:val="18"/>
          <w:b w:val="1"/>
          <w:bCs w:val="1"/>
          <w:color w:val="auto"/>
        </w:rPr>
        <w:t>(605) 692-0200</w:t>
      </w:r>
    </w:p>
    <w:p>
      <w:pPr>
        <w:spacing w:after="0" w:line="21" w:lineRule="exact"/>
        <w:rPr>
          <w:sz w:val="24"/>
          <w:szCs w:val="24"/>
          <w:color w:val="auto"/>
        </w:rPr>
      </w:pPr>
    </w:p>
    <w:p>
      <w:pPr>
        <w:jc w:val="center"/>
        <w:ind w:right="167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right="229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2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248" w:lineRule="exact"/>
        <w:rPr>
          <w:sz w:val="24"/>
          <w:szCs w:val="24"/>
          <w:color w:val="auto"/>
        </w:rPr>
      </w:pPr>
    </w:p>
    <w:p>
      <w:pPr>
        <w:ind w:right="3079"/>
        <w:spacing w:after="0" w:line="299" w:lineRule="auto"/>
        <w:rPr>
          <w:sz w:val="20"/>
          <w:szCs w:val="20"/>
          <w:color w:val="auto"/>
        </w:rPr>
      </w:pPr>
      <w:r>
        <w:rPr>
          <w:rFonts w:ascii="Arial" w:cs="Arial" w:eastAsia="Arial" w:hAnsi="Arial"/>
          <w:sz w:val="18"/>
          <w:szCs w:val="18"/>
          <w:color w:val="auto"/>
        </w:rPr>
        <w:t>Large accelerated filer [ X ] Accelerated filer o Non-accelerated filer o (Do not check if a smaller reporting company) Smaller reporting company o</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Yes [ ] No [ X ]</w:t>
      </w: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of the registrant’s common stock outstanding as of August 25, 2008 was 40,436,607.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51708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27" w:right="1440" w:bottom="0" w:gutter="0" w:footer="0" w:header="0"/>
          <w:type w:val="continuous"/>
        </w:sectPr>
      </w:pPr>
    </w:p>
    <w:bookmarkStart w:id="1" w:name="page2"/>
    <w:bookmarkEnd w:id="1"/>
    <w:p>
      <w:pPr>
        <w:spacing w:after="0" w:line="9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 the Quarter Ended August 2, 2008</w:t>
      </w:r>
    </w:p>
    <w:p>
      <w:pPr>
        <w:spacing w:after="0" w:line="24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300"/>
              <w:spacing w:after="0"/>
              <w:rPr>
                <w:sz w:val="20"/>
                <w:szCs w:val="20"/>
                <w:color w:val="auto"/>
              </w:rPr>
            </w:pPr>
            <w:r>
              <w:rPr>
                <w:rFonts w:ascii="Arial" w:cs="Arial" w:eastAsia="Arial" w:hAnsi="Arial"/>
                <w:sz w:val="18"/>
                <w:szCs w:val="18"/>
                <w:b w:val="1"/>
                <w:bCs w:val="1"/>
                <w:color w:val="auto"/>
              </w:rPr>
              <w:t>Page</w:t>
            </w:r>
          </w:p>
        </w:tc>
      </w:tr>
      <w:tr>
        <w:trPr>
          <w:trHeight w:val="184"/>
        </w:trPr>
        <w:tc>
          <w:tcPr>
            <w:tcW w:w="5220" w:type="dxa"/>
            <w:vAlign w:val="bottom"/>
            <w:tcBorders>
              <w:bottom w:val="single" w:sz="8" w:color="0000EE"/>
            </w:tcBorders>
            <w:gridSpan w:val="25"/>
          </w:tcPr>
          <w:p>
            <w:pPr>
              <w:spacing w:after="0" w:line="184"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SPECIAL NOTE REGARDING FORWARD-LOOKING STATEMENTS</w:t>
              </w:r>
            </w:hyperlink>
          </w:p>
        </w:tc>
        <w:tc>
          <w:tcPr>
            <w:tcW w:w="2100" w:type="dxa"/>
            <w:vAlign w:val="bottom"/>
            <w:gridSpan w:val="10"/>
          </w:tcPr>
          <w:p>
            <w:pPr>
              <w:spacing w:after="0"/>
              <w:rPr>
                <w:sz w:val="15"/>
                <w:szCs w:val="15"/>
                <w:color w:val="auto"/>
              </w:rPr>
            </w:pPr>
          </w:p>
        </w:tc>
        <w:tc>
          <w:tcPr>
            <w:tcW w:w="800" w:type="dxa"/>
            <w:vAlign w:val="bottom"/>
          </w:tcPr>
          <w:p>
            <w:pPr>
              <w:ind w:left="300"/>
              <w:spacing w:after="0" w:line="184" w:lineRule="exact"/>
              <w:rPr>
                <w:sz w:val="20"/>
                <w:szCs w:val="20"/>
                <w:color w:val="auto"/>
              </w:rPr>
            </w:pPr>
            <w:r>
              <w:rPr>
                <w:rFonts w:ascii="Arial" w:cs="Arial" w:eastAsia="Arial" w:hAnsi="Arial"/>
                <w:sz w:val="18"/>
                <w:szCs w:val="18"/>
                <w:color w:val="auto"/>
              </w:rPr>
              <w:t>2</w:t>
            </w:r>
          </w:p>
        </w:tc>
      </w:tr>
      <w:tr>
        <w:trPr>
          <w:trHeight w:val="466"/>
        </w:trPr>
        <w:tc>
          <w:tcPr>
            <w:tcW w:w="3000" w:type="dxa"/>
            <w:vAlign w:val="bottom"/>
            <w:tcBorders>
              <w:bottom w:val="single" w:sz="8" w:color="0000EE"/>
            </w:tcBorders>
            <w:gridSpan w:val="21"/>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32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276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w:t>
              </w:r>
            </w:hyperlink>
          </w:p>
        </w:tc>
        <w:tc>
          <w:tcPr>
            <w:tcW w:w="4560" w:type="dxa"/>
            <w:vAlign w:val="bottom"/>
            <w:gridSpan w:val="16"/>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SHEETS AS OF AUGUST 2, 2008 AND APRIL 26, 2008</w:t>
              </w:r>
            </w:hyperlink>
          </w:p>
        </w:tc>
        <w:tc>
          <w:tcPr>
            <w:tcW w:w="140" w:type="dxa"/>
            <w:vAlign w:val="bottom"/>
            <w:gridSpan w:val="2"/>
          </w:tcPr>
          <w:p>
            <w:pPr>
              <w:spacing w:after="0"/>
              <w:rPr>
                <w:sz w:val="19"/>
                <w:szCs w:val="19"/>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3</w:t>
            </w: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INCOME FOR THE THREE MONTHS</w:t>
              </w:r>
            </w:hyperlink>
          </w:p>
        </w:tc>
        <w:tc>
          <w:tcPr>
            <w:tcW w:w="880" w:type="dxa"/>
            <w:vAlign w:val="bottom"/>
            <w:gridSpan w:val="7"/>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ENDED AUGUST 2, 2008 AND JULY 28, 2007</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8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CASH FLOWS FOR THE THREE MONTHS</w:t>
              </w:r>
            </w:hyperlink>
          </w:p>
        </w:tc>
        <w:tc>
          <w:tcPr>
            <w:tcW w:w="460" w:type="dxa"/>
            <w:vAlign w:val="bottom"/>
            <w:gridSpan w:val="3"/>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ENDED AUGUST 2, 2008 AND JULY 28, 2007</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CONSOLIDATED FINANCIAL STATEMENTS</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71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ITEM 2. MANAGEMENT’S DISCUSSION AND ANALYSIS OF FINANCIAL CONDITION AND</w:t>
              </w:r>
            </w:hyperlink>
          </w:p>
        </w:tc>
        <w:tc>
          <w:tcPr>
            <w:tcW w:w="1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gridSpan w:val="3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RESULTS OF OPERATIONS</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320" w:type="dxa"/>
            <w:vAlign w:val="bottom"/>
            <w:gridSpan w:val="3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32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4. CONTROLS AND PROCEDURES</w:t>
              </w:r>
            </w:hyperlink>
          </w:p>
        </w:tc>
        <w:tc>
          <w:tcPr>
            <w:tcW w:w="3440" w:type="dxa"/>
            <w:vAlign w:val="bottom"/>
            <w:tcBorders>
              <w:top w:val="single" w:sz="8" w:color="0000EE"/>
            </w:tcBorders>
            <w:gridSpan w:val="8"/>
          </w:tcPr>
          <w:p>
            <w:pPr>
              <w:spacing w:after="0"/>
              <w:rPr>
                <w:sz w:val="17"/>
                <w:szCs w:val="17"/>
                <w:color w:val="auto"/>
              </w:rPr>
            </w:pPr>
          </w:p>
        </w:tc>
        <w:tc>
          <w:tcPr>
            <w:tcW w:w="680" w:type="dxa"/>
            <w:vAlign w:val="bottom"/>
            <w:gridSpan w:val="5"/>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466"/>
        </w:trPr>
        <w:tc>
          <w:tcPr>
            <w:tcW w:w="7320" w:type="dxa"/>
            <w:vAlign w:val="bottom"/>
            <w:gridSpan w:val="3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II.OTHER INFORMATION</w:t>
              </w:r>
            </w:hyperlink>
          </w:p>
        </w:tc>
        <w:tc>
          <w:tcPr>
            <w:tcW w:w="800" w:type="dxa"/>
            <w:vAlign w:val="bottom"/>
          </w:tcPr>
          <w:p>
            <w:pPr>
              <w:spacing w:after="0"/>
              <w:rPr>
                <w:sz w:val="24"/>
                <w:szCs w:val="24"/>
                <w:color w:val="auto"/>
              </w:rPr>
            </w:pPr>
          </w:p>
        </w:tc>
      </w:tr>
      <w:tr>
        <w:trPr>
          <w:trHeight w:val="196"/>
        </w:trPr>
        <w:tc>
          <w:tcPr>
            <w:tcW w:w="266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ITEM 1. LEGAL PROCEEDINGS</w:t>
              </w:r>
            </w:hyperlink>
          </w:p>
        </w:tc>
        <w:tc>
          <w:tcPr>
            <w:tcW w:w="4660" w:type="dxa"/>
            <w:vAlign w:val="bottom"/>
            <w:gridSpan w:val="17"/>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4840" w:type="dxa"/>
            <w:vAlign w:val="bottom"/>
            <w:gridSpan w:val="19"/>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2. UNREGISTERED SALES OF EQUITY SECURITIES AND USE OF PROCEEDS</w:t>
              </w:r>
            </w:hyperlink>
          </w:p>
        </w:tc>
        <w:tc>
          <w:tcPr>
            <w:tcW w:w="740" w:type="dxa"/>
            <w:vAlign w:val="bottom"/>
            <w:gridSpan w:val="6"/>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7320" w:type="dxa"/>
            <w:vAlign w:val="bottom"/>
            <w:gridSpan w:val="3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 DEFAULTS UPON SENIOR SECURITIES</w:t>
              </w:r>
            </w:hyperlink>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ITEM 4. SUBMISSION OF MATTERS TO A VOTE OF SECURITY HOLDERS</w:t>
              </w:r>
            </w:hyperlink>
          </w:p>
        </w:tc>
        <w:tc>
          <w:tcPr>
            <w:tcW w:w="1500" w:type="dxa"/>
            <w:vAlign w:val="bottom"/>
            <w:gridSpan w:val="8"/>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25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5. OTHER INFORMATION</w:t>
              </w:r>
            </w:hyperlink>
          </w:p>
        </w:tc>
        <w:tc>
          <w:tcPr>
            <w:tcW w:w="4820" w:type="dxa"/>
            <w:vAlign w:val="bottom"/>
            <w:gridSpan w:val="18"/>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ITEM 6. EXHIBITS</w:t>
              </w:r>
            </w:hyperlink>
          </w:p>
        </w:tc>
        <w:tc>
          <w:tcPr>
            <w:tcW w:w="5860" w:type="dxa"/>
            <w:vAlign w:val="bottom"/>
            <w:gridSpan w:val="23"/>
          </w:tcPr>
          <w:p>
            <w:pPr>
              <w:spacing w:after="0"/>
              <w:rPr>
                <w:sz w:val="17"/>
                <w:szCs w:val="17"/>
                <w:color w:val="auto"/>
              </w:rPr>
            </w:pPr>
          </w:p>
        </w:tc>
        <w:tc>
          <w:tcPr>
            <w:tcW w:w="800" w:type="dxa"/>
            <w:vAlign w:val="bottom"/>
          </w:tcPr>
          <w:p>
            <w:pPr>
              <w:ind w:left="300"/>
              <w:spacing w:after="0" w:line="196" w:lineRule="exact"/>
              <w:rPr>
                <w:sz w:val="20"/>
                <w:szCs w:val="20"/>
                <w:color w:val="auto"/>
              </w:rPr>
            </w:pPr>
            <w:r>
              <w:rPr>
                <w:rFonts w:ascii="Arial" w:cs="Arial" w:eastAsia="Arial" w:hAnsi="Arial"/>
                <w:sz w:val="18"/>
                <w:szCs w:val="18"/>
                <w:color w:val="auto"/>
              </w:rPr>
              <w:t>24</w:t>
            </w:r>
          </w:p>
        </w:tc>
      </w:tr>
      <w:tr>
        <w:trPr>
          <w:trHeight w:val="439"/>
        </w:trPr>
        <w:tc>
          <w:tcPr>
            <w:tcW w:w="104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SIGNATURE</w:t>
              </w:r>
            </w:hyperlink>
          </w:p>
        </w:tc>
        <w:tc>
          <w:tcPr>
            <w:tcW w:w="6280" w:type="dxa"/>
            <w:vAlign w:val="bottom"/>
            <w:gridSpan w:val="27"/>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25</w:t>
            </w:r>
          </w:p>
        </w:tc>
      </w:tr>
      <w:tr>
        <w:trPr>
          <w:trHeight w:val="466"/>
        </w:trPr>
        <w:tc>
          <w:tcPr>
            <w:tcW w:w="7320" w:type="dxa"/>
            <w:vAlign w:val="bottom"/>
            <w:gridSpan w:val="35"/>
          </w:tcPr>
          <w:p>
            <w:pPr>
              <w:spacing w:after="0"/>
              <w:rPr>
                <w:sz w:val="20"/>
                <w:szCs w:val="20"/>
                <w:color w:val="auto"/>
              </w:rPr>
            </w:pPr>
            <w:r>
              <w:rPr>
                <w:rFonts w:ascii="Arial" w:cs="Arial" w:eastAsia="Arial" w:hAnsi="Arial"/>
                <w:sz w:val="18"/>
                <w:szCs w:val="18"/>
                <w:b w:val="1"/>
                <w:bCs w:val="1"/>
                <w:color w:val="auto"/>
              </w:rPr>
              <w:t>EXHIBIT INDEX:</w:t>
            </w:r>
          </w:p>
        </w:tc>
        <w:tc>
          <w:tcPr>
            <w:tcW w:w="800" w:type="dxa"/>
            <w:vAlign w:val="bottom"/>
          </w:tcPr>
          <w:p>
            <w:pPr>
              <w:spacing w:after="0"/>
              <w:rPr>
                <w:sz w:val="24"/>
                <w:szCs w:val="24"/>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0000EE"/>
              </w:rPr>
              <w:t>Ex.</w:t>
            </w:r>
          </w:p>
        </w:tc>
        <w:tc>
          <w:tcPr>
            <w:tcW w:w="6740" w:type="dxa"/>
            <w:vAlign w:val="bottom"/>
            <w:gridSpan w:val="32"/>
          </w:tcPr>
          <w:p>
            <w:pPr>
              <w:ind w:left="120"/>
              <w:spacing w:after="0"/>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r>
              <w:rPr>
                <w:rFonts w:ascii="Arial" w:cs="Arial" w:eastAsia="Arial" w:hAnsi="Arial"/>
                <w:sz w:val="18"/>
                <w:szCs w:val="18"/>
                <w:color w:val="0000EE"/>
                <w:w w:val="95"/>
              </w:rPr>
              <w:t xml:space="preserve">   CERTIFICATION OF THE CHIEF EXECUTIVE OFFICER REQUIRED BY RULE</w:t>
            </w:r>
          </w:p>
        </w:tc>
        <w:tc>
          <w:tcPr>
            <w:tcW w:w="8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80" w:type="dxa"/>
            <w:vAlign w:val="bottom"/>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gridSpan w:val="26"/>
          </w:tcPr>
          <w:p>
            <w:pPr>
              <w:spacing w:after="0"/>
              <w:rPr>
                <w:sz w:val="20"/>
                <w:szCs w:val="20"/>
                <w:color w:val="auto"/>
              </w:rPr>
            </w:pPr>
            <w:r>
              <w:rPr>
                <w:rFonts w:ascii="Arial" w:cs="Arial" w:eastAsia="Arial" w:hAnsi="Arial"/>
                <w:sz w:val="18"/>
                <w:szCs w:val="18"/>
                <w:color w:val="0000EE"/>
                <w:w w:val="92"/>
              </w:rPr>
              <w:t>13a-14(a) OR RULE 15d-14(a) OF THE SECURITIES EXCHANGE ACT OF 1934,</w:t>
            </w: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80" w:type="dxa"/>
            <w:vAlign w:val="bottom"/>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3"/>
              </w:rPr>
              <w:t>AS ADOPTED PURSUANT TO SECTION 302 OF THE SARBANES-OXLEY ACT</w:t>
            </w: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5"/>
              </w:rPr>
              <w:t>OF 2002</w:t>
            </w:r>
          </w:p>
        </w:tc>
        <w:tc>
          <w:tcPr>
            <w:tcW w:w="5460" w:type="dxa"/>
            <w:vAlign w:val="bottom"/>
            <w:gridSpan w:val="21"/>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0000EE"/>
              </w:rPr>
              <w:t>Ex.</w:t>
            </w:r>
          </w:p>
        </w:tc>
        <w:tc>
          <w:tcPr>
            <w:tcW w:w="6740" w:type="dxa"/>
            <w:vAlign w:val="bottom"/>
            <w:gridSpan w:val="32"/>
          </w:tcPr>
          <w:p>
            <w:pPr>
              <w:ind w:left="120"/>
              <w:spacing w:after="0"/>
              <w:rPr>
                <w:sz w:val="20"/>
                <w:szCs w:val="20"/>
                <w:color w:val="auto"/>
              </w:rPr>
            </w:pPr>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2</w:t>
            </w:r>
            <w:r>
              <w:rPr>
                <w:rFonts w:ascii="Arial" w:cs="Arial" w:eastAsia="Arial" w:hAnsi="Arial"/>
                <w:sz w:val="18"/>
                <w:szCs w:val="18"/>
                <w:color w:val="0000EE"/>
                <w:w w:val="96"/>
              </w:rPr>
              <w:t xml:space="preserve">   CERTIFICATION OF THE CHIEF FINANCIAL OFFICER REQUIRED BY RULE</w:t>
            </w: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10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gridSpan w:val="26"/>
          </w:tcPr>
          <w:p>
            <w:pPr>
              <w:spacing w:after="0"/>
              <w:rPr>
                <w:sz w:val="20"/>
                <w:szCs w:val="20"/>
                <w:color w:val="auto"/>
              </w:rPr>
            </w:pPr>
            <w:r>
              <w:rPr>
                <w:rFonts w:ascii="Arial" w:cs="Arial" w:eastAsia="Arial" w:hAnsi="Arial"/>
                <w:sz w:val="18"/>
                <w:szCs w:val="18"/>
                <w:color w:val="0000EE"/>
                <w:w w:val="92"/>
              </w:rPr>
              <w:t>13a-14(a) OR RULE 15d-14(a) OF THE SECURITIES EXCHANGE ACT OF 1934,</w:t>
            </w: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10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3"/>
              </w:rPr>
              <w:t>AS ADOPTED PURSUANT TO SECTION 302 OF THE SARBANES-OXLEY ACT</w:t>
            </w: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5"/>
              </w:rPr>
              <w:t>OF 2002</w:t>
            </w:r>
          </w:p>
        </w:tc>
        <w:tc>
          <w:tcPr>
            <w:tcW w:w="5460" w:type="dxa"/>
            <w:vAlign w:val="bottom"/>
            <w:gridSpan w:val="21"/>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0000EE"/>
              </w:rPr>
              <w:t>Ex.</w:t>
            </w:r>
          </w:p>
        </w:tc>
        <w:tc>
          <w:tcPr>
            <w:tcW w:w="6740" w:type="dxa"/>
            <w:vAlign w:val="bottom"/>
            <w:gridSpan w:val="32"/>
          </w:tcPr>
          <w:p>
            <w:pPr>
              <w:ind w:left="12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CERTIFICATION OF THE CHIEF EXECUTIVE OFFICER PURSUANT TO</w:t>
            </w: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10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2"/>
              </w:rPr>
              <w:t>SECTION 906 OF THE SARBANES-OXLEY ACT OF 2002 (18 U.S.C. SECTION</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10"/>
          </w:tcPr>
          <w:p>
            <w:pPr>
              <w:ind w:left="660"/>
              <w:spacing w:after="0"/>
              <w:rPr>
                <w:sz w:val="20"/>
                <w:szCs w:val="20"/>
                <w:color w:val="auto"/>
              </w:rPr>
            </w:pPr>
            <w:r>
              <w:rPr>
                <w:rFonts w:ascii="Arial" w:cs="Arial" w:eastAsia="Arial" w:hAnsi="Arial"/>
                <w:sz w:val="18"/>
                <w:szCs w:val="18"/>
                <w:color w:val="0000EE"/>
                <w:w w:val="82"/>
              </w:rPr>
              <w:t>1350)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100" w:type="dxa"/>
            <w:vAlign w:val="bottom"/>
            <w:gridSpan w:val="1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0000EE"/>
              </w:rPr>
              <w:t>Ex.</w:t>
            </w:r>
          </w:p>
        </w:tc>
        <w:tc>
          <w:tcPr>
            <w:tcW w:w="6740" w:type="dxa"/>
            <w:vAlign w:val="bottom"/>
            <w:gridSpan w:val="32"/>
          </w:tcPr>
          <w:p>
            <w:pPr>
              <w:ind w:left="12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CERTIFICATION OF THE CHIEF FINANCIAL OFFICER PURSUANT TO</w:t>
            </w:r>
          </w:p>
        </w:tc>
        <w:tc>
          <w:tcPr>
            <w:tcW w:w="8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80" w:type="dxa"/>
            <w:vAlign w:val="bottom"/>
            <w:gridSpan w:val="21"/>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2"/>
              </w:rPr>
              <w:t>SECTION 906 OF THE SARBANES-OXLEY ACT OF 2002 (18 U.S.C. SECTION</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10"/>
          </w:tcPr>
          <w:p>
            <w:pPr>
              <w:ind w:left="660"/>
              <w:spacing w:after="0"/>
              <w:rPr>
                <w:sz w:val="20"/>
                <w:szCs w:val="20"/>
                <w:color w:val="auto"/>
              </w:rPr>
            </w:pPr>
            <w:r>
              <w:rPr>
                <w:rFonts w:ascii="Arial" w:cs="Arial" w:eastAsia="Arial" w:hAnsi="Arial"/>
                <w:sz w:val="18"/>
                <w:szCs w:val="18"/>
                <w:color w:val="0000EE"/>
                <w:w w:val="82"/>
              </w:rPr>
              <w:t>1350)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96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7"/>
          </w:tcPr>
          <w:p>
            <w:pPr>
              <w:spacing w:after="0"/>
              <w:rPr>
                <w:sz w:val="24"/>
                <w:szCs w:val="24"/>
                <w:color w:val="auto"/>
              </w:rPr>
            </w:pPr>
          </w:p>
        </w:tc>
        <w:tc>
          <w:tcPr>
            <w:tcW w:w="380" w:type="dxa"/>
            <w:vAlign w:val="bottom"/>
            <w:tcBorders>
              <w:top w:val="single" w:sz="8" w:color="0000EE"/>
            </w:tcBorders>
            <w:gridSpan w:val="3"/>
          </w:tcPr>
          <w:p>
            <w:pPr>
              <w:spacing w:after="0"/>
              <w:rPr>
                <w:sz w:val="24"/>
                <w:szCs w:val="24"/>
                <w:color w:val="auto"/>
              </w:rPr>
            </w:pPr>
          </w:p>
        </w:tc>
        <w:tc>
          <w:tcPr>
            <w:tcW w:w="2740" w:type="dxa"/>
            <w:vAlign w:val="bottom"/>
            <w:gridSpan w:val="11"/>
          </w:tcPr>
          <w:p>
            <w:pPr>
              <w:jc w:val="right"/>
              <w:ind w:right="180"/>
              <w:spacing w:after="0"/>
              <w:rPr>
                <w:sz w:val="20"/>
                <w:szCs w:val="20"/>
                <w:color w:val="auto"/>
              </w:rPr>
            </w:pPr>
            <w:r>
              <w:rPr>
                <w:rFonts w:ascii="Arial" w:cs="Arial" w:eastAsia="Arial" w:hAnsi="Arial"/>
                <w:sz w:val="18"/>
                <w:szCs w:val="18"/>
                <w:color w:val="auto"/>
              </w:rPr>
              <w:t>- 1 -</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7"/>
        </w:trPr>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w:t>
      </w:r>
    </w:p>
    <w:p>
      <w:pPr>
        <w:sectPr>
          <w:pgSz w:w="11900" w:h="16931" w:orient="portrait"/>
          <w:cols w:equalWidth="0" w:num="1">
            <w:col w:w="10219"/>
          </w:cols>
          <w:pgMar w:left="240" w:top="611" w:right="1440" w:bottom="0" w:gutter="0" w:footer="0" w:header="0"/>
        </w:sectPr>
      </w:pPr>
    </w:p>
    <w:bookmarkStart w:id="2" w:name="page3"/>
    <w:bookmarkEnd w:id="2"/>
    <w:p>
      <w:pPr>
        <w:jc w:val="both"/>
        <w:ind w:right="2099"/>
        <w:spacing w:after="0" w:line="290" w:lineRule="auto"/>
        <w:rPr>
          <w:sz w:val="20"/>
          <w:szCs w:val="20"/>
          <w:color w:val="auto"/>
        </w:rPr>
      </w:pPr>
      <w:r>
        <w:rPr>
          <w:rFonts w:ascii="Arial" w:cs="Arial" w:eastAsia="Arial" w:hAnsi="Arial"/>
          <w:sz w:val="16"/>
          <w:szCs w:val="16"/>
          <w:i w:val="1"/>
          <w:iCs w:val="1"/>
          <w:color w:val="auto"/>
        </w:rPr>
        <w:t>“could,”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April 26, 2008 in the section entitled “Item 1A. Risk Factors”</w:t>
      </w:r>
    </w:p>
    <w:p>
      <w:pPr>
        <w:spacing w:after="0" w:line="19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August 2,</w:t>
            </w:r>
          </w:p>
        </w:tc>
        <w:tc>
          <w:tcPr>
            <w:tcW w:w="340" w:type="dxa"/>
            <w:vAlign w:val="bottom"/>
          </w:tcPr>
          <w:p>
            <w:pPr>
              <w:spacing w:after="0"/>
              <w:rPr>
                <w:sz w:val="19"/>
                <w:szCs w:val="19"/>
                <w:color w:val="auto"/>
              </w:rPr>
            </w:pPr>
          </w:p>
        </w:tc>
        <w:tc>
          <w:tcPr>
            <w:tcW w:w="110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April 26,</w:t>
            </w:r>
          </w:p>
        </w:tc>
      </w:tr>
      <w:tr>
        <w:trPr>
          <w:trHeight w:val="230"/>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2008</w:t>
            </w:r>
          </w:p>
        </w:tc>
      </w:tr>
      <w:tr>
        <w:trPr>
          <w:trHeight w:val="230"/>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(unaudited)</w:t>
            </w:r>
          </w:p>
        </w:tc>
        <w:tc>
          <w:tcPr>
            <w:tcW w:w="340" w:type="dxa"/>
            <w:vAlign w:val="bottom"/>
          </w:tcPr>
          <w:p>
            <w:pPr>
              <w:spacing w:after="0"/>
              <w:rPr>
                <w:sz w:val="19"/>
                <w:szCs w:val="19"/>
                <w:color w:val="auto"/>
              </w:rPr>
            </w:pPr>
          </w:p>
        </w:tc>
        <w:tc>
          <w:tcPr>
            <w:tcW w:w="1100" w:type="dxa"/>
            <w:vAlign w:val="bottom"/>
          </w:tcPr>
          <w:p>
            <w:pPr>
              <w:jc w:val="center"/>
              <w:ind w:right="252"/>
              <w:spacing w:after="0"/>
              <w:rPr>
                <w:sz w:val="20"/>
                <w:szCs w:val="20"/>
                <w:color w:val="auto"/>
              </w:rPr>
            </w:pPr>
            <w:r>
              <w:rPr>
                <w:rFonts w:ascii="Arial" w:cs="Arial" w:eastAsia="Arial" w:hAnsi="Arial"/>
                <w:sz w:val="18"/>
                <w:szCs w:val="18"/>
                <w:b w:val="1"/>
                <w:bCs w:val="1"/>
                <w:color w:val="auto"/>
                <w:w w:val="86"/>
              </w:rPr>
              <w:t>(note 1)</w:t>
            </w:r>
          </w:p>
        </w:tc>
      </w:tr>
      <w:tr>
        <w:trPr>
          <w:trHeight w:val="439"/>
        </w:trPr>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460"/>
        </w:trPr>
        <w:tc>
          <w:tcPr>
            <w:tcW w:w="506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4,802</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9,325</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1,467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Accounts receivable, less allowance for doubtful accounts</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75,545</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56,516</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62,132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50,525</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Costs and estimated earnings in excess of billings</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29,875</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27,126</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Current maturities of long-term receivables</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8,162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7,435</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6,806</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4,796</w:t>
            </w:r>
          </w:p>
        </w:tc>
      </w:tr>
      <w:tr>
        <w:trPr>
          <w:trHeight w:val="229"/>
        </w:trPr>
        <w:tc>
          <w:tcPr>
            <w:tcW w:w="5060" w:type="dxa"/>
            <w:vAlign w:val="bottom"/>
            <w:tcBorders>
              <w:bottom w:val="single" w:sz="8" w:color="C2F3F2"/>
            </w:tcBorders>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9,616</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9,517</w:t>
            </w:r>
          </w:p>
        </w:tc>
      </w:tr>
      <w:tr>
        <w:trPr>
          <w:trHeight w:val="237"/>
        </w:trPr>
        <w:tc>
          <w:tcPr>
            <w:tcW w:w="5060" w:type="dxa"/>
            <w:vAlign w:val="bottom"/>
            <w:shd w:val="clear" w:color="auto" w:fill="C2F3F2"/>
          </w:tcPr>
          <w:p>
            <w:pPr>
              <w:ind w:left="7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2F3F2"/>
          </w:tcPr>
          <w:p>
            <w:pPr>
              <w:spacing w:after="0"/>
              <w:rPr>
                <w:sz w:val="20"/>
                <w:szCs w:val="20"/>
                <w:color w:val="auto"/>
              </w:rPr>
            </w:pPr>
          </w:p>
        </w:tc>
        <w:tc>
          <w:tcPr>
            <w:tcW w:w="11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198,405</w:t>
            </w:r>
          </w:p>
        </w:tc>
        <w:tc>
          <w:tcPr>
            <w:tcW w:w="280" w:type="dxa"/>
            <w:vAlign w:val="bottom"/>
            <w:shd w:val="clear" w:color="auto" w:fill="C2F3F2"/>
          </w:tcPr>
          <w:p>
            <w:pPr>
              <w:spacing w:after="0"/>
              <w:rPr>
                <w:sz w:val="20"/>
                <w:szCs w:val="20"/>
                <w:color w:val="auto"/>
              </w:rPr>
            </w:pPr>
          </w:p>
        </w:tc>
        <w:tc>
          <w:tcPr>
            <w:tcW w:w="340" w:type="dxa"/>
            <w:vAlign w:val="bottom"/>
            <w:tcBorders>
              <w:bottom w:val="single" w:sz="8" w:color="auto"/>
            </w:tcBorders>
            <w:shd w:val="clear" w:color="auto" w:fill="C2F3F2"/>
          </w:tcPr>
          <w:p>
            <w:pPr>
              <w:spacing w:after="0"/>
              <w:rPr>
                <w:sz w:val="20"/>
                <w:szCs w:val="20"/>
                <w:color w:val="auto"/>
              </w:rPr>
            </w:pP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165,697</w:t>
            </w:r>
          </w:p>
        </w:tc>
      </w:tr>
      <w:tr>
        <w:trPr>
          <w:trHeight w:val="211"/>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Advertising rights, net</w:t>
            </w:r>
          </w:p>
        </w:tc>
        <w:tc>
          <w:tcPr>
            <w:tcW w:w="280" w:type="dxa"/>
            <w:vAlign w:val="bottom"/>
            <w:shd w:val="clear" w:color="auto" w:fill="C2F3F2"/>
          </w:tcPr>
          <w:p>
            <w:pPr>
              <w:spacing w:after="0"/>
              <w:rPr>
                <w:sz w:val="19"/>
                <w:szCs w:val="19"/>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3,277</w:t>
            </w:r>
          </w:p>
        </w:tc>
        <w:tc>
          <w:tcPr>
            <w:tcW w:w="280" w:type="dxa"/>
            <w:vAlign w:val="bottom"/>
            <w:shd w:val="clear" w:color="auto" w:fill="C2F3F2"/>
          </w:tcPr>
          <w:p>
            <w:pPr>
              <w:spacing w:after="0"/>
              <w:rPr>
                <w:sz w:val="19"/>
                <w:szCs w:val="19"/>
                <w:color w:val="auto"/>
              </w:rPr>
            </w:pPr>
          </w:p>
        </w:tc>
        <w:tc>
          <w:tcPr>
            <w:tcW w:w="340" w:type="dxa"/>
            <w:vAlign w:val="bottom"/>
            <w:shd w:val="clear" w:color="auto" w:fill="C2F3F2"/>
          </w:tcPr>
          <w:p>
            <w:pPr>
              <w:spacing w:after="0"/>
              <w:rPr>
                <w:sz w:val="19"/>
                <w:szCs w:val="19"/>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3,457</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Long-term receivables, less current maturities</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17,052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16,837</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Investments in affiliates</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2,307</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2,998</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4,709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4,722</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Intangible and other assets</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3,031</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3,102</w:t>
            </w:r>
          </w:p>
        </w:tc>
      </w:tr>
      <w:tr>
        <w:trPr>
          <w:trHeight w:val="229"/>
        </w:trPr>
        <w:tc>
          <w:tcPr>
            <w:tcW w:w="5060" w:type="dxa"/>
            <w:vAlign w:val="bottom"/>
            <w:tcBorders>
              <w:bottom w:val="single" w:sz="8" w:color="C2F3F2"/>
            </w:tcBorders>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r>
      <w:tr>
        <w:trPr>
          <w:trHeight w:val="237"/>
        </w:trPr>
        <w:tc>
          <w:tcPr>
            <w:tcW w:w="5060" w:type="dxa"/>
            <w:vAlign w:val="bottom"/>
            <w:shd w:val="clear" w:color="auto" w:fill="C2F3F2"/>
          </w:tcPr>
          <w:p>
            <w:pPr>
              <w:spacing w:after="0"/>
              <w:rPr>
                <w:sz w:val="20"/>
                <w:szCs w:val="20"/>
                <w:color w:val="auto"/>
              </w:rPr>
            </w:pPr>
          </w:p>
        </w:tc>
        <w:tc>
          <w:tcPr>
            <w:tcW w:w="280" w:type="dxa"/>
            <w:vAlign w:val="bottom"/>
            <w:tcBorders>
              <w:bottom w:val="single" w:sz="8" w:color="auto"/>
            </w:tcBorders>
            <w:shd w:val="clear" w:color="auto" w:fill="C2F3F2"/>
          </w:tcPr>
          <w:p>
            <w:pPr>
              <w:spacing w:after="0"/>
              <w:rPr>
                <w:sz w:val="20"/>
                <w:szCs w:val="20"/>
                <w:color w:val="auto"/>
              </w:rPr>
            </w:pPr>
          </w:p>
        </w:tc>
        <w:tc>
          <w:tcPr>
            <w:tcW w:w="11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30,519</w:t>
            </w:r>
          </w:p>
        </w:tc>
        <w:tc>
          <w:tcPr>
            <w:tcW w:w="280" w:type="dxa"/>
            <w:vAlign w:val="bottom"/>
            <w:shd w:val="clear" w:color="auto" w:fill="C2F3F2"/>
          </w:tcPr>
          <w:p>
            <w:pPr>
              <w:spacing w:after="0"/>
              <w:rPr>
                <w:sz w:val="20"/>
                <w:szCs w:val="20"/>
                <w:color w:val="auto"/>
              </w:rPr>
            </w:pPr>
          </w:p>
        </w:tc>
        <w:tc>
          <w:tcPr>
            <w:tcW w:w="340" w:type="dxa"/>
            <w:vAlign w:val="bottom"/>
            <w:tcBorders>
              <w:bottom w:val="single" w:sz="8" w:color="auto"/>
            </w:tcBorders>
            <w:shd w:val="clear" w:color="auto" w:fill="C2F3F2"/>
          </w:tcPr>
          <w:p>
            <w:pPr>
              <w:spacing w:after="0"/>
              <w:rPr>
                <w:sz w:val="20"/>
                <w:szCs w:val="20"/>
                <w:color w:val="auto"/>
              </w:rPr>
            </w:pP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31,259</w:t>
            </w:r>
          </w:p>
        </w:tc>
      </w:tr>
      <w:tr>
        <w:trPr>
          <w:trHeight w:val="211"/>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060" w:type="dxa"/>
            <w:vAlign w:val="bottom"/>
            <w:shd w:val="clear" w:color="auto" w:fill="C2F3F2"/>
          </w:tcPr>
          <w:p>
            <w:pPr>
              <w:ind w:left="10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2F3F2"/>
          </w:tcPr>
          <w:p>
            <w:pPr>
              <w:spacing w:after="0"/>
              <w:rPr>
                <w:sz w:val="19"/>
                <w:szCs w:val="19"/>
                <w:color w:val="auto"/>
              </w:rPr>
            </w:pPr>
          </w:p>
        </w:tc>
        <w:tc>
          <w:tcPr>
            <w:tcW w:w="1160" w:type="dxa"/>
            <w:vAlign w:val="bottom"/>
            <w:shd w:val="clear" w:color="auto" w:fill="C2F3F2"/>
          </w:tcPr>
          <w:p>
            <w:pPr>
              <w:spacing w:after="0"/>
              <w:rPr>
                <w:sz w:val="19"/>
                <w:szCs w:val="19"/>
                <w:color w:val="auto"/>
              </w:rPr>
            </w:pPr>
          </w:p>
        </w:tc>
        <w:tc>
          <w:tcPr>
            <w:tcW w:w="280" w:type="dxa"/>
            <w:vAlign w:val="bottom"/>
            <w:shd w:val="clear" w:color="auto" w:fill="C2F3F2"/>
          </w:tcPr>
          <w:p>
            <w:pPr>
              <w:spacing w:after="0"/>
              <w:rPr>
                <w:sz w:val="19"/>
                <w:szCs w:val="19"/>
                <w:color w:val="auto"/>
              </w:rPr>
            </w:pPr>
          </w:p>
        </w:tc>
        <w:tc>
          <w:tcPr>
            <w:tcW w:w="340" w:type="dxa"/>
            <w:vAlign w:val="bottom"/>
            <w:shd w:val="clear" w:color="auto" w:fill="C2F3F2"/>
          </w:tcPr>
          <w:p>
            <w:pPr>
              <w:spacing w:after="0"/>
              <w:rPr>
                <w:sz w:val="19"/>
                <w:szCs w:val="19"/>
                <w:color w:val="auto"/>
              </w:rPr>
            </w:pPr>
          </w:p>
        </w:tc>
        <w:tc>
          <w:tcPr>
            <w:tcW w:w="1100" w:type="dxa"/>
            <w:vAlign w:val="bottom"/>
            <w:shd w:val="clear" w:color="auto" w:fill="C2F3F2"/>
          </w:tcPr>
          <w:p>
            <w:pPr>
              <w:spacing w:after="0"/>
              <w:rPr>
                <w:sz w:val="19"/>
                <w:szCs w:val="19"/>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3,190</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Buildings</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48,784</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49,464</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47,060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44,743</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48,038</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45,482</w:t>
            </w: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Equipment held for rental</w:t>
            </w:r>
          </w:p>
        </w:tc>
        <w:tc>
          <w:tcPr>
            <w:tcW w:w="2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2,329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2,658</w:t>
            </w:r>
          </w:p>
        </w:tc>
      </w:tr>
      <w:tr>
        <w:trPr>
          <w:trHeight w:val="231"/>
        </w:trPr>
        <w:tc>
          <w:tcPr>
            <w:tcW w:w="5060" w:type="dxa"/>
            <w:vAlign w:val="bottom"/>
            <w:shd w:val="clear" w:color="auto" w:fill="C2F3F2"/>
          </w:tcPr>
          <w:p>
            <w:pPr>
              <w:ind w:left="380"/>
              <w:spacing w:after="0"/>
              <w:rPr>
                <w:sz w:val="20"/>
                <w:szCs w:val="20"/>
                <w:color w:val="auto"/>
              </w:rPr>
            </w:pPr>
            <w:r>
              <w:rPr>
                <w:rFonts w:ascii="Arial" w:cs="Arial" w:eastAsia="Arial" w:hAnsi="Arial"/>
                <w:sz w:val="18"/>
                <w:szCs w:val="18"/>
                <w:color w:val="auto"/>
              </w:rPr>
              <w:t>Demonstration equipment</w:t>
            </w: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7,704</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7,516</w:t>
            </w:r>
          </w:p>
        </w:tc>
      </w:tr>
      <w:tr>
        <w:trPr>
          <w:trHeight w:val="229"/>
        </w:trPr>
        <w:tc>
          <w:tcPr>
            <w:tcW w:w="5060" w:type="dxa"/>
            <w:vAlign w:val="bottom"/>
            <w:tcBorders>
              <w:bottom w:val="single" w:sz="8" w:color="C2F3F2"/>
            </w:tcBorders>
          </w:tcPr>
          <w:p>
            <w:pPr>
              <w:ind w:left="380"/>
              <w:spacing w:after="0"/>
              <w:rPr>
                <w:sz w:val="20"/>
                <w:szCs w:val="20"/>
                <w:color w:val="auto"/>
              </w:rPr>
            </w:pPr>
            <w:r>
              <w:rPr>
                <w:rFonts w:ascii="Arial" w:cs="Arial" w:eastAsia="Arial" w:hAnsi="Arial"/>
                <w:sz w:val="18"/>
                <w:szCs w:val="18"/>
                <w:color w:val="auto"/>
              </w:rPr>
              <w:t>Transportation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5,989</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6,106</w:t>
            </w:r>
          </w:p>
        </w:tc>
      </w:tr>
      <w:tr>
        <w:trPr>
          <w:trHeight w:val="238"/>
        </w:trPr>
        <w:tc>
          <w:tcPr>
            <w:tcW w:w="506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11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162,661</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159,159</w:t>
            </w:r>
          </w:p>
        </w:tc>
      </w:tr>
      <w:tr>
        <w:trPr>
          <w:trHeight w:val="229"/>
        </w:trPr>
        <w:tc>
          <w:tcPr>
            <w:tcW w:w="5060" w:type="dxa"/>
            <w:vAlign w:val="bottom"/>
            <w:tcBorders>
              <w:bottom w:val="single" w:sz="8" w:color="C2F3F2"/>
            </w:tcBorders>
          </w:tcPr>
          <w:p>
            <w:pPr>
              <w:ind w:left="3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66,046</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61,636</w:t>
            </w:r>
          </w:p>
        </w:tc>
      </w:tr>
      <w:tr>
        <w:trPr>
          <w:trHeight w:val="238"/>
        </w:trPr>
        <w:tc>
          <w:tcPr>
            <w:tcW w:w="5060" w:type="dxa"/>
            <w:vAlign w:val="bottom"/>
            <w:shd w:val="clear" w:color="auto" w:fill="C2F3F2"/>
          </w:tcPr>
          <w:p>
            <w:pPr>
              <w:spacing w:after="0"/>
              <w:rPr>
                <w:sz w:val="20"/>
                <w:szCs w:val="20"/>
                <w:color w:val="auto"/>
              </w:rPr>
            </w:pPr>
          </w:p>
        </w:tc>
        <w:tc>
          <w:tcPr>
            <w:tcW w:w="280" w:type="dxa"/>
            <w:vAlign w:val="bottom"/>
            <w:tcBorders>
              <w:bottom w:val="single" w:sz="8" w:color="auto"/>
            </w:tcBorders>
            <w:shd w:val="clear" w:color="auto" w:fill="C2F3F2"/>
          </w:tcPr>
          <w:p>
            <w:pPr>
              <w:spacing w:after="0"/>
              <w:rPr>
                <w:sz w:val="20"/>
                <w:szCs w:val="20"/>
                <w:color w:val="auto"/>
              </w:rPr>
            </w:pPr>
          </w:p>
        </w:tc>
        <w:tc>
          <w:tcPr>
            <w:tcW w:w="11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96,615</w:t>
            </w:r>
          </w:p>
        </w:tc>
        <w:tc>
          <w:tcPr>
            <w:tcW w:w="280" w:type="dxa"/>
            <w:vAlign w:val="bottom"/>
            <w:shd w:val="clear" w:color="auto" w:fill="C2F3F2"/>
          </w:tcPr>
          <w:p>
            <w:pPr>
              <w:spacing w:after="0"/>
              <w:rPr>
                <w:sz w:val="20"/>
                <w:szCs w:val="20"/>
                <w:color w:val="auto"/>
              </w:rPr>
            </w:pPr>
          </w:p>
        </w:tc>
        <w:tc>
          <w:tcPr>
            <w:tcW w:w="340" w:type="dxa"/>
            <w:vAlign w:val="bottom"/>
            <w:tcBorders>
              <w:bottom w:val="single" w:sz="8" w:color="auto"/>
            </w:tcBorders>
            <w:shd w:val="clear" w:color="auto" w:fill="C2F3F2"/>
          </w:tcPr>
          <w:p>
            <w:pPr>
              <w:spacing w:after="0"/>
              <w:rPr>
                <w:sz w:val="20"/>
                <w:szCs w:val="20"/>
                <w:color w:val="auto"/>
              </w:rPr>
            </w:pP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97,523</w:t>
            </w:r>
          </w:p>
        </w:tc>
      </w:tr>
      <w:tr>
        <w:trPr>
          <w:trHeight w:val="210"/>
        </w:trPr>
        <w:tc>
          <w:tcPr>
            <w:tcW w:w="506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325,539</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DAKTRONICS, INC. AND SUBSIDIARIES</w:t>
      </w:r>
    </w:p>
    <w:p>
      <w:pPr>
        <w:spacing w:after="0" w:line="3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(continued)</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0219"/>
          </w:cols>
          <w:pgMar w:left="240" w:top="131" w:right="1440"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5"/>
              </w:rPr>
              <w:t>August 2,</w:t>
            </w:r>
          </w:p>
        </w:tc>
        <w:tc>
          <w:tcPr>
            <w:tcW w:w="320" w:type="dxa"/>
            <w:vAlign w:val="bottom"/>
          </w:tcPr>
          <w:p>
            <w:pPr>
              <w:spacing w:after="0"/>
              <w:rPr>
                <w:sz w:val="19"/>
                <w:szCs w:val="19"/>
                <w:color w:val="auto"/>
              </w:rPr>
            </w:pPr>
          </w:p>
        </w:tc>
        <w:tc>
          <w:tcPr>
            <w:tcW w:w="108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April 26,</w:t>
            </w:r>
          </w:p>
        </w:tc>
      </w:tr>
      <w:tr>
        <w:trPr>
          <w:trHeight w:val="230"/>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52"/>
              <w:spacing w:after="0"/>
              <w:rPr>
                <w:sz w:val="20"/>
                <w:szCs w:val="20"/>
                <w:color w:val="auto"/>
              </w:rPr>
            </w:pPr>
            <w:r>
              <w:rPr>
                <w:rFonts w:ascii="Arial" w:cs="Arial" w:eastAsia="Arial" w:hAnsi="Arial"/>
                <w:sz w:val="18"/>
                <w:szCs w:val="18"/>
                <w:b w:val="1"/>
                <w:bCs w:val="1"/>
                <w:color w:val="auto"/>
                <w:w w:val="84"/>
              </w:rPr>
              <w:t>2008</w:t>
            </w:r>
          </w:p>
        </w:tc>
      </w:tr>
      <w:tr>
        <w:trPr>
          <w:trHeight w:val="230"/>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(unaudited)</w:t>
            </w:r>
          </w:p>
        </w:tc>
        <w:tc>
          <w:tcPr>
            <w:tcW w:w="320" w:type="dxa"/>
            <w:vAlign w:val="bottom"/>
          </w:tcPr>
          <w:p>
            <w:pPr>
              <w:spacing w:after="0"/>
              <w:rPr>
                <w:sz w:val="19"/>
                <w:szCs w:val="19"/>
                <w:color w:val="auto"/>
              </w:rPr>
            </w:pPr>
          </w:p>
        </w:tc>
        <w:tc>
          <w:tcPr>
            <w:tcW w:w="108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(note 1)</w:t>
            </w:r>
          </w:p>
        </w:tc>
      </w:tr>
      <w:tr>
        <w:trPr>
          <w:trHeight w:val="439"/>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60"/>
        </w:trPr>
        <w:tc>
          <w:tcPr>
            <w:tcW w:w="54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1"/>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42,143</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31,540</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Accrued expenses and warranty obligations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26,100</w:t>
            </w:r>
          </w:p>
        </w:tc>
      </w:tr>
      <w:tr>
        <w:trPr>
          <w:trHeight w:val="231"/>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Current maturities of long-term debt and marketing obligations</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910</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25,586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24,560</w:t>
            </w:r>
          </w:p>
        </w:tc>
      </w:tr>
      <w:tr>
        <w:trPr>
          <w:trHeight w:val="231"/>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Customer deposits</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15,898</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12,113</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6,980</w:t>
            </w:r>
          </w:p>
        </w:tc>
      </w:tr>
      <w:tr>
        <w:trPr>
          <w:trHeight w:val="230"/>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2F3F2"/>
          </w:tcPr>
          <w:p>
            <w:pPr>
              <w:spacing w:after="0"/>
              <w:rPr>
                <w:sz w:val="19"/>
                <w:szCs w:val="19"/>
                <w:color w:val="auto"/>
              </w:rPr>
            </w:pPr>
          </w:p>
        </w:tc>
        <w:tc>
          <w:tcPr>
            <w:tcW w:w="11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4,412</w:t>
            </w:r>
          </w:p>
        </w:tc>
        <w:tc>
          <w:tcPr>
            <w:tcW w:w="300" w:type="dxa"/>
            <w:vAlign w:val="bottom"/>
            <w:shd w:val="clear" w:color="auto" w:fill="C2F3F2"/>
          </w:tcPr>
          <w:p>
            <w:pPr>
              <w:spacing w:after="0"/>
              <w:rPr>
                <w:sz w:val="19"/>
                <w:szCs w:val="19"/>
                <w:color w:val="auto"/>
              </w:rPr>
            </w:pPr>
          </w:p>
        </w:tc>
        <w:tc>
          <w:tcPr>
            <w:tcW w:w="320" w:type="dxa"/>
            <w:vAlign w:val="bottom"/>
            <w:tcBorders>
              <w:bottom w:val="single" w:sz="8" w:color="auto"/>
            </w:tcBorders>
            <w:shd w:val="clear" w:color="auto" w:fill="C2F3F2"/>
          </w:tcPr>
          <w:p>
            <w:pPr>
              <w:spacing w:after="0"/>
              <w:rPr>
                <w:sz w:val="19"/>
                <w:szCs w:val="19"/>
                <w:color w:val="auto"/>
              </w:rPr>
            </w:pPr>
          </w:p>
        </w:tc>
        <w:tc>
          <w:tcPr>
            <w:tcW w:w="10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949</w:t>
            </w:r>
          </w:p>
        </w:tc>
      </w:tr>
      <w:tr>
        <w:trPr>
          <w:trHeight w:val="237"/>
        </w:trPr>
        <w:tc>
          <w:tcPr>
            <w:tcW w:w="5400" w:type="dxa"/>
            <w:vAlign w:val="bottom"/>
            <w:tcBorders>
              <w:bottom w:val="single" w:sz="8" w:color="C2F3F2"/>
            </w:tcBorders>
          </w:tcPr>
          <w:p>
            <w:pPr>
              <w:ind w:left="5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126,379</w:t>
            </w:r>
          </w:p>
        </w:tc>
        <w:tc>
          <w:tcPr>
            <w:tcW w:w="30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103,152</w:t>
            </w:r>
          </w:p>
        </w:tc>
      </w:tr>
      <w:tr>
        <w:trPr>
          <w:trHeight w:val="211"/>
        </w:trPr>
        <w:tc>
          <w:tcPr>
            <w:tcW w:w="5400" w:type="dxa"/>
            <w:vAlign w:val="bottom"/>
            <w:shd w:val="clear" w:color="auto" w:fill="C2F3F2"/>
          </w:tcPr>
          <w:p>
            <w:pPr>
              <w:spacing w:after="0"/>
              <w:rPr>
                <w:sz w:val="18"/>
                <w:szCs w:val="18"/>
                <w:color w:val="auto"/>
              </w:rPr>
            </w:pPr>
          </w:p>
        </w:tc>
        <w:tc>
          <w:tcPr>
            <w:tcW w:w="260" w:type="dxa"/>
            <w:vAlign w:val="bottom"/>
            <w:shd w:val="clear" w:color="auto" w:fill="C2F3F2"/>
          </w:tcPr>
          <w:p>
            <w:pPr>
              <w:spacing w:after="0"/>
              <w:rPr>
                <w:sz w:val="18"/>
                <w:szCs w:val="18"/>
                <w:color w:val="auto"/>
              </w:rPr>
            </w:pPr>
          </w:p>
        </w:tc>
        <w:tc>
          <w:tcPr>
            <w:tcW w:w="1120" w:type="dxa"/>
            <w:vAlign w:val="bottom"/>
            <w:shd w:val="clear" w:color="auto" w:fill="C2F3F2"/>
          </w:tcPr>
          <w:p>
            <w:pPr>
              <w:spacing w:after="0"/>
              <w:rPr>
                <w:sz w:val="18"/>
                <w:szCs w:val="18"/>
                <w:color w:val="auto"/>
              </w:rPr>
            </w:pPr>
          </w:p>
        </w:tc>
        <w:tc>
          <w:tcPr>
            <w:tcW w:w="30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080" w:type="dxa"/>
            <w:vAlign w:val="bottom"/>
            <w:shd w:val="clear" w:color="auto" w:fill="C2F3F2"/>
          </w:tcPr>
          <w:p>
            <w:pPr>
              <w:spacing w:after="0"/>
              <w:rPr>
                <w:sz w:val="18"/>
                <w:szCs w:val="18"/>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color w:val="auto"/>
              </w:rPr>
              <w:t>Long-term debt, less current maturities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31"/>
        </w:trPr>
        <w:tc>
          <w:tcPr>
            <w:tcW w:w="54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Long-term marketing obligations, less current maturities</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646</w:t>
            </w: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color w:val="auto"/>
              </w:rPr>
              <w:t>Long-term warranty obligations and other payables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3,766</w:t>
            </w:r>
          </w:p>
        </w:tc>
      </w:tr>
      <w:tr>
        <w:trPr>
          <w:trHeight w:val="230"/>
        </w:trPr>
        <w:tc>
          <w:tcPr>
            <w:tcW w:w="54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shd w:val="clear" w:color="auto" w:fill="C2F3F2"/>
          </w:tcPr>
          <w:p>
            <w:pPr>
              <w:spacing w:after="0"/>
              <w:rPr>
                <w:sz w:val="19"/>
                <w:szCs w:val="19"/>
                <w:color w:val="auto"/>
              </w:rPr>
            </w:pPr>
          </w:p>
        </w:tc>
        <w:tc>
          <w:tcPr>
            <w:tcW w:w="11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3,607</w:t>
            </w:r>
          </w:p>
        </w:tc>
        <w:tc>
          <w:tcPr>
            <w:tcW w:w="300" w:type="dxa"/>
            <w:vAlign w:val="bottom"/>
            <w:shd w:val="clear" w:color="auto" w:fill="C2F3F2"/>
          </w:tcPr>
          <w:p>
            <w:pPr>
              <w:spacing w:after="0"/>
              <w:rPr>
                <w:sz w:val="19"/>
                <w:szCs w:val="19"/>
                <w:color w:val="auto"/>
              </w:rPr>
            </w:pPr>
          </w:p>
        </w:tc>
        <w:tc>
          <w:tcPr>
            <w:tcW w:w="320" w:type="dxa"/>
            <w:vAlign w:val="bottom"/>
            <w:tcBorders>
              <w:bottom w:val="single" w:sz="8" w:color="auto"/>
            </w:tcBorders>
            <w:shd w:val="clear" w:color="auto" w:fill="C2F3F2"/>
          </w:tcPr>
          <w:p>
            <w:pPr>
              <w:spacing w:after="0"/>
              <w:rPr>
                <w:sz w:val="19"/>
                <w:szCs w:val="19"/>
                <w:color w:val="auto"/>
              </w:rPr>
            </w:pPr>
          </w:p>
        </w:tc>
        <w:tc>
          <w:tcPr>
            <w:tcW w:w="10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3,607</w:t>
            </w:r>
          </w:p>
        </w:tc>
      </w:tr>
      <w:tr>
        <w:trPr>
          <w:trHeight w:val="237"/>
        </w:trPr>
        <w:tc>
          <w:tcPr>
            <w:tcW w:w="5400" w:type="dxa"/>
            <w:vAlign w:val="bottom"/>
            <w:tcBorders>
              <w:bottom w:val="single" w:sz="8" w:color="C2F3F2"/>
            </w:tcBorders>
          </w:tcPr>
          <w:p>
            <w:pPr>
              <w:ind w:left="74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30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8,074</w:t>
            </w:r>
          </w:p>
        </w:tc>
      </w:tr>
      <w:tr>
        <w:trPr>
          <w:trHeight w:val="237"/>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2F3F2"/>
          </w:tcPr>
          <w:p>
            <w:pPr>
              <w:spacing w:after="0"/>
              <w:rPr>
                <w:sz w:val="20"/>
                <w:szCs w:val="20"/>
                <w:color w:val="auto"/>
              </w:rPr>
            </w:pPr>
          </w:p>
        </w:tc>
        <w:tc>
          <w:tcPr>
            <w:tcW w:w="11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134,407</w:t>
            </w:r>
          </w:p>
        </w:tc>
        <w:tc>
          <w:tcPr>
            <w:tcW w:w="300" w:type="dxa"/>
            <w:vAlign w:val="bottom"/>
            <w:shd w:val="clear" w:color="auto" w:fill="C2F3F2"/>
          </w:tcPr>
          <w:p>
            <w:pPr>
              <w:spacing w:after="0"/>
              <w:rPr>
                <w:sz w:val="20"/>
                <w:szCs w:val="20"/>
                <w:color w:val="auto"/>
              </w:rPr>
            </w:pPr>
          </w:p>
        </w:tc>
        <w:tc>
          <w:tcPr>
            <w:tcW w:w="320" w:type="dxa"/>
            <w:vAlign w:val="bottom"/>
            <w:tcBorders>
              <w:bottom w:val="single" w:sz="8" w:color="auto"/>
            </w:tcBorders>
            <w:shd w:val="clear" w:color="auto" w:fill="C2F3F2"/>
          </w:tcPr>
          <w:p>
            <w:pPr>
              <w:spacing w:after="0"/>
              <w:rPr>
                <w:sz w:val="20"/>
                <w:szCs w:val="20"/>
                <w:color w:val="auto"/>
              </w:rPr>
            </w:pPr>
          </w:p>
        </w:tc>
        <w:tc>
          <w:tcPr>
            <w:tcW w:w="10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111,226</w:t>
            </w:r>
          </w:p>
        </w:tc>
      </w:tr>
      <w:tr>
        <w:trPr>
          <w:trHeight w:val="211"/>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400" w:type="dxa"/>
            <w:vAlign w:val="bottom"/>
            <w:shd w:val="clear" w:color="auto" w:fill="C2F3F2"/>
          </w:tcPr>
          <w:p>
            <w:pPr>
              <w:spacing w:after="0"/>
              <w:rPr>
                <w:sz w:val="19"/>
                <w:szCs w:val="19"/>
                <w:color w:val="auto"/>
              </w:rPr>
            </w:pPr>
          </w:p>
        </w:tc>
        <w:tc>
          <w:tcPr>
            <w:tcW w:w="260" w:type="dxa"/>
            <w:vAlign w:val="bottom"/>
            <w:shd w:val="clear" w:color="auto" w:fill="C2F3F2"/>
          </w:tcPr>
          <w:p>
            <w:pPr>
              <w:spacing w:after="0"/>
              <w:rPr>
                <w:sz w:val="19"/>
                <w:szCs w:val="19"/>
                <w:color w:val="auto"/>
              </w:rPr>
            </w:pPr>
          </w:p>
        </w:tc>
        <w:tc>
          <w:tcPr>
            <w:tcW w:w="112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320" w:type="dxa"/>
            <w:vAlign w:val="bottom"/>
            <w:shd w:val="clear" w:color="auto" w:fill="C2F3F2"/>
          </w:tcPr>
          <w:p>
            <w:pPr>
              <w:spacing w:after="0"/>
              <w:rPr>
                <w:sz w:val="19"/>
                <w:szCs w:val="19"/>
                <w:color w:val="auto"/>
              </w:rPr>
            </w:pPr>
          </w:p>
        </w:tc>
        <w:tc>
          <w:tcPr>
            <w:tcW w:w="1080" w:type="dxa"/>
            <w:vAlign w:val="bottom"/>
            <w:shd w:val="clear" w:color="auto" w:fill="C2F3F2"/>
          </w:tcPr>
          <w:p>
            <w:pPr>
              <w:spacing w:after="0"/>
              <w:rPr>
                <w:sz w:val="19"/>
                <w:szCs w:val="19"/>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Common stock, no par value, authorized</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spacing w:after="0"/>
              <w:rPr>
                <w:sz w:val="20"/>
                <w:szCs w:val="20"/>
                <w:color w:val="auto"/>
              </w:rPr>
            </w:pPr>
          </w:p>
        </w:tc>
      </w:tr>
      <w:tr>
        <w:trPr>
          <w:trHeight w:val="229"/>
        </w:trPr>
        <w:tc>
          <w:tcPr>
            <w:tcW w:w="5400" w:type="dxa"/>
            <w:vAlign w:val="bottom"/>
          </w:tcPr>
          <w:p>
            <w:pPr>
              <w:ind w:left="900"/>
              <w:spacing w:after="0"/>
              <w:rPr>
                <w:sz w:val="20"/>
                <w:szCs w:val="20"/>
                <w:color w:val="auto"/>
              </w:rPr>
            </w:pPr>
            <w:r>
              <w:rPr>
                <w:rFonts w:ascii="Arial" w:cs="Arial" w:eastAsia="Arial" w:hAnsi="Arial"/>
                <w:sz w:val="18"/>
                <w:szCs w:val="18"/>
                <w:color w:val="auto"/>
                <w:w w:val="99"/>
              </w:rPr>
              <w:t>120,000,000 shares; 40,427,793 and 40,316,000 shares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5400" w:type="dxa"/>
            <w:vAlign w:val="bottom"/>
            <w:shd w:val="clear" w:color="auto" w:fill="C2F3F2"/>
          </w:tcPr>
          <w:p>
            <w:pPr>
              <w:ind w:left="900"/>
              <w:spacing w:after="0"/>
              <w:rPr>
                <w:sz w:val="20"/>
                <w:szCs w:val="20"/>
                <w:color w:val="auto"/>
              </w:rPr>
            </w:pPr>
            <w:r>
              <w:rPr>
                <w:rFonts w:ascii="Arial" w:cs="Arial" w:eastAsia="Arial" w:hAnsi="Arial"/>
                <w:sz w:val="18"/>
                <w:szCs w:val="18"/>
                <w:color w:val="auto"/>
                <w:w w:val="98"/>
              </w:rPr>
              <w:t>issued at August 2, 2008 and April 26, 2008, respectively</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26,570</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25,638</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10,398</w:t>
            </w:r>
          </w:p>
        </w:tc>
      </w:tr>
      <w:tr>
        <w:trPr>
          <w:trHeight w:val="231"/>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2F3F2"/>
          </w:tcPr>
          <w:p>
            <w:pPr>
              <w:spacing w:after="0"/>
              <w:rPr>
                <w:sz w:val="20"/>
                <w:szCs w:val="20"/>
                <w:color w:val="auto"/>
              </w:rPr>
            </w:pPr>
          </w:p>
        </w:tc>
        <w:tc>
          <w:tcPr>
            <w:tcW w:w="11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154,004</w:t>
            </w:r>
          </w:p>
        </w:tc>
        <w:tc>
          <w:tcPr>
            <w:tcW w:w="30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0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147,912</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Treasury stock, at cost, 19,680 shares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30"/>
        </w:trPr>
        <w:tc>
          <w:tcPr>
            <w:tcW w:w="5400" w:type="dxa"/>
            <w:vAlign w:val="bottom"/>
            <w:shd w:val="clear" w:color="auto" w:fill="C2F3F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2F3F2"/>
          </w:tcPr>
          <w:p>
            <w:pPr>
              <w:spacing w:after="0"/>
              <w:rPr>
                <w:sz w:val="19"/>
                <w:szCs w:val="19"/>
                <w:color w:val="auto"/>
              </w:rPr>
            </w:pPr>
          </w:p>
        </w:tc>
        <w:tc>
          <w:tcPr>
            <w:tcW w:w="11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(741)</w:t>
            </w:r>
          </w:p>
        </w:tc>
        <w:tc>
          <w:tcPr>
            <w:tcW w:w="300" w:type="dxa"/>
            <w:vAlign w:val="bottom"/>
            <w:shd w:val="clear" w:color="auto" w:fill="C2F3F2"/>
          </w:tcPr>
          <w:p>
            <w:pPr>
              <w:spacing w:after="0"/>
              <w:rPr>
                <w:sz w:val="19"/>
                <w:szCs w:val="19"/>
                <w:color w:val="auto"/>
              </w:rPr>
            </w:pPr>
          </w:p>
        </w:tc>
        <w:tc>
          <w:tcPr>
            <w:tcW w:w="320" w:type="dxa"/>
            <w:vAlign w:val="bottom"/>
            <w:tcBorders>
              <w:bottom w:val="single" w:sz="8" w:color="auto"/>
            </w:tcBorders>
            <w:shd w:val="clear" w:color="auto" w:fill="C2F3F2"/>
          </w:tcPr>
          <w:p>
            <w:pPr>
              <w:spacing w:after="0"/>
              <w:rPr>
                <w:sz w:val="19"/>
                <w:szCs w:val="19"/>
                <w:color w:val="auto"/>
              </w:rPr>
            </w:pPr>
          </w:p>
        </w:tc>
        <w:tc>
          <w:tcPr>
            <w:tcW w:w="10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(686)</w:t>
            </w:r>
          </w:p>
        </w:tc>
      </w:tr>
      <w:tr>
        <w:trPr>
          <w:trHeight w:val="237"/>
        </w:trPr>
        <w:tc>
          <w:tcPr>
            <w:tcW w:w="540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191,132</w:t>
            </w:r>
          </w:p>
        </w:tc>
        <w:tc>
          <w:tcPr>
            <w:tcW w:w="30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183,253</w:t>
            </w:r>
          </w:p>
        </w:tc>
      </w:tr>
      <w:tr>
        <w:trPr>
          <w:trHeight w:val="211"/>
        </w:trPr>
        <w:tc>
          <w:tcPr>
            <w:tcW w:w="5400" w:type="dxa"/>
            <w:vAlign w:val="bottom"/>
            <w:tcBorders>
              <w:bottom w:val="single" w:sz="8" w:color="C2F3F2"/>
            </w:tcBorders>
            <w:shd w:val="clear" w:color="auto" w:fill="C2F3F2"/>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325,539</w:t>
            </w:r>
          </w:p>
        </w:tc>
        <w:tc>
          <w:tcPr>
            <w:tcW w:w="300" w:type="dxa"/>
            <w:vAlign w:val="bottom"/>
            <w:tcBorders>
              <w:bottom w:val="single" w:sz="8" w:color="C2F3F2"/>
            </w:tcBorders>
            <w:shd w:val="clear" w:color="auto" w:fill="C2F3F2"/>
          </w:tcPr>
          <w:p>
            <w:pPr>
              <w:spacing w:after="0"/>
              <w:rPr>
                <w:sz w:val="18"/>
                <w:szCs w:val="18"/>
                <w:color w:val="auto"/>
              </w:rPr>
            </w:pPr>
          </w:p>
        </w:tc>
        <w:tc>
          <w:tcPr>
            <w:tcW w:w="3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8"/>
                <w:szCs w:val="18"/>
                <w:b w:val="1"/>
                <w:bCs w:val="1"/>
                <w:color w:val="auto"/>
              </w:rPr>
              <w:t>Three Months Ended</w:t>
            </w: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August 2,</w:t>
            </w:r>
          </w:p>
        </w:tc>
        <w:tc>
          <w:tcPr>
            <w:tcW w:w="32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b w:val="1"/>
                <w:bCs w:val="1"/>
                <w:color w:val="auto"/>
              </w:rPr>
              <w:t>July 28,</w:t>
            </w:r>
          </w:p>
        </w:tc>
      </w:tr>
      <w:tr>
        <w:trPr>
          <w:trHeight w:val="229"/>
        </w:trPr>
        <w:tc>
          <w:tcPr>
            <w:tcW w:w="4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2007</w:t>
            </w:r>
          </w:p>
        </w:tc>
      </w:tr>
      <w:tr>
        <w:trPr>
          <w:trHeight w:val="211"/>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2F3F2"/>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161,229</w:t>
            </w:r>
          </w:p>
        </w:tc>
        <w:tc>
          <w:tcPr>
            <w:tcW w:w="340" w:type="dxa"/>
            <w:vAlign w:val="bottom"/>
            <w:shd w:val="clear" w:color="auto" w:fill="C2F3F2"/>
          </w:tcPr>
          <w:p>
            <w:pPr>
              <w:spacing w:after="0"/>
              <w:rPr>
                <w:sz w:val="19"/>
                <w:szCs w:val="19"/>
                <w:color w:val="auto"/>
              </w:rPr>
            </w:pPr>
          </w:p>
        </w:tc>
        <w:tc>
          <w:tcPr>
            <w:tcW w:w="320" w:type="dxa"/>
            <w:vAlign w:val="bottom"/>
            <w:shd w:val="clear" w:color="auto" w:fill="C2F3F2"/>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120,923</w:t>
            </w:r>
          </w:p>
        </w:tc>
      </w:tr>
      <w:tr>
        <w:trPr>
          <w:trHeight w:val="229"/>
        </w:trPr>
        <w:tc>
          <w:tcPr>
            <w:tcW w:w="4780" w:type="dxa"/>
            <w:vAlign w:val="bottom"/>
          </w:tcPr>
          <w:p>
            <w:pPr>
              <w:ind w:left="100"/>
              <w:spacing w:after="0"/>
              <w:rPr>
                <w:sz w:val="20"/>
                <w:szCs w:val="20"/>
                <w:color w:val="auto"/>
              </w:rPr>
            </w:pPr>
            <w:r>
              <w:rPr>
                <w:rFonts w:ascii="Arial" w:cs="Arial" w:eastAsia="Arial" w:hAnsi="Arial"/>
                <w:sz w:val="18"/>
                <w:szCs w:val="18"/>
                <w:color w:val="auto"/>
              </w:rPr>
              <w:t>Gain on sale of property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1"/>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shd w:val="clear" w:color="auto" w:fill="C2F3F2"/>
          </w:tcPr>
          <w:p>
            <w:pPr>
              <w:spacing w:after="0"/>
              <w:rPr>
                <w:sz w:val="20"/>
                <w:szCs w:val="20"/>
                <w:color w:val="auto"/>
              </w:rPr>
            </w:pPr>
          </w:p>
        </w:tc>
        <w:tc>
          <w:tcPr>
            <w:tcW w:w="124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116,858</w:t>
            </w:r>
          </w:p>
        </w:tc>
        <w:tc>
          <w:tcPr>
            <w:tcW w:w="340" w:type="dxa"/>
            <w:vAlign w:val="bottom"/>
            <w:shd w:val="clear" w:color="auto" w:fill="C2F3F2"/>
          </w:tcPr>
          <w:p>
            <w:pPr>
              <w:spacing w:after="0"/>
              <w:rPr>
                <w:sz w:val="20"/>
                <w:szCs w:val="20"/>
                <w:color w:val="auto"/>
              </w:rPr>
            </w:pPr>
          </w:p>
        </w:tc>
        <w:tc>
          <w:tcPr>
            <w:tcW w:w="320" w:type="dxa"/>
            <w:vAlign w:val="bottom"/>
            <w:tcBorders>
              <w:bottom w:val="single" w:sz="8" w:color="auto"/>
            </w:tcBorders>
            <w:shd w:val="clear" w:color="auto" w:fill="C2F3F2"/>
          </w:tcPr>
          <w:p>
            <w:pPr>
              <w:spacing w:after="0"/>
              <w:rPr>
                <w:sz w:val="20"/>
                <w:szCs w:val="20"/>
                <w:color w:val="auto"/>
              </w:rPr>
            </w:pPr>
          </w:p>
        </w:tc>
        <w:tc>
          <w:tcPr>
            <w:tcW w:w="12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84,044</w:t>
            </w:r>
          </w:p>
        </w:tc>
      </w:tr>
      <w:tr>
        <w:trPr>
          <w:trHeight w:val="236"/>
        </w:trPr>
        <w:tc>
          <w:tcPr>
            <w:tcW w:w="4780" w:type="dxa"/>
            <w:vAlign w:val="bottom"/>
            <w:tcBorders>
              <w:bottom w:val="single" w:sz="8" w:color="C2F3F2"/>
            </w:tcBorders>
          </w:tcPr>
          <w:p>
            <w:pPr>
              <w:ind w:left="86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45,348</w:t>
            </w:r>
          </w:p>
        </w:tc>
        <w:tc>
          <w:tcPr>
            <w:tcW w:w="34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36,879</w:t>
            </w:r>
          </w:p>
        </w:tc>
      </w:tr>
      <w:tr>
        <w:trPr>
          <w:trHeight w:val="211"/>
        </w:trPr>
        <w:tc>
          <w:tcPr>
            <w:tcW w:w="4780" w:type="dxa"/>
            <w:vAlign w:val="bottom"/>
            <w:shd w:val="clear" w:color="auto" w:fill="C2F3F2"/>
          </w:tcPr>
          <w:p>
            <w:pPr>
              <w:spacing w:after="0"/>
              <w:rPr>
                <w:sz w:val="18"/>
                <w:szCs w:val="18"/>
                <w:color w:val="auto"/>
              </w:rPr>
            </w:pPr>
          </w:p>
        </w:tc>
        <w:tc>
          <w:tcPr>
            <w:tcW w:w="300" w:type="dxa"/>
            <w:vAlign w:val="bottom"/>
            <w:shd w:val="clear" w:color="auto" w:fill="C2F3F2"/>
          </w:tcPr>
          <w:p>
            <w:pPr>
              <w:spacing w:after="0"/>
              <w:rPr>
                <w:sz w:val="18"/>
                <w:szCs w:val="18"/>
                <w:color w:val="auto"/>
              </w:rPr>
            </w:pPr>
          </w:p>
        </w:tc>
        <w:tc>
          <w:tcPr>
            <w:tcW w:w="1240" w:type="dxa"/>
            <w:vAlign w:val="bottom"/>
            <w:shd w:val="clear" w:color="auto" w:fill="C2F3F2"/>
          </w:tcPr>
          <w:p>
            <w:pPr>
              <w:spacing w:after="0"/>
              <w:rPr>
                <w:sz w:val="18"/>
                <w:szCs w:val="18"/>
                <w:color w:val="auto"/>
              </w:rPr>
            </w:pPr>
          </w:p>
        </w:tc>
        <w:tc>
          <w:tcPr>
            <w:tcW w:w="34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220" w:type="dxa"/>
            <w:vAlign w:val="bottom"/>
            <w:shd w:val="clear" w:color="auto" w:fill="C2F3F2"/>
          </w:tcPr>
          <w:p>
            <w:pPr>
              <w:spacing w:after="0"/>
              <w:rPr>
                <w:sz w:val="18"/>
                <w:szCs w:val="18"/>
                <w:color w:val="auto"/>
              </w:rPr>
            </w:pPr>
          </w:p>
        </w:tc>
      </w:tr>
      <w:tr>
        <w:trPr>
          <w:trHeight w:val="229"/>
        </w:trPr>
        <w:tc>
          <w:tcPr>
            <w:tcW w:w="478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4780" w:type="dxa"/>
            <w:vAlign w:val="bottom"/>
            <w:shd w:val="clear" w:color="auto" w:fill="C2F3F2"/>
          </w:tcPr>
          <w:p>
            <w:pPr>
              <w:ind w:left="480"/>
              <w:spacing w:after="0"/>
              <w:rPr>
                <w:sz w:val="20"/>
                <w:szCs w:val="20"/>
                <w:color w:val="auto"/>
              </w:rPr>
            </w:pPr>
            <w:r>
              <w:rPr>
                <w:rFonts w:ascii="Arial" w:cs="Arial" w:eastAsia="Arial" w:hAnsi="Arial"/>
                <w:sz w:val="18"/>
                <w:szCs w:val="18"/>
                <w:color w:val="auto"/>
              </w:rPr>
              <w:t>Selling</w:t>
            </w:r>
          </w:p>
        </w:tc>
        <w:tc>
          <w:tcPr>
            <w:tcW w:w="300" w:type="dxa"/>
            <w:vAlign w:val="bottom"/>
            <w:shd w:val="clear" w:color="auto" w:fill="C2F3F2"/>
          </w:tcPr>
          <w:p>
            <w:pPr>
              <w:spacing w:after="0"/>
              <w:rPr>
                <w:sz w:val="20"/>
                <w:szCs w:val="20"/>
                <w:color w:val="auto"/>
              </w:rPr>
            </w:pPr>
          </w:p>
        </w:tc>
        <w:tc>
          <w:tcPr>
            <w:tcW w:w="1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16,365</w:t>
            </w:r>
          </w:p>
        </w:tc>
        <w:tc>
          <w:tcPr>
            <w:tcW w:w="34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2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14,844</w:t>
            </w:r>
          </w:p>
        </w:tc>
      </w:tr>
      <w:tr>
        <w:trPr>
          <w:trHeight w:val="229"/>
        </w:trPr>
        <w:tc>
          <w:tcPr>
            <w:tcW w:w="47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6,002</w:t>
            </w:r>
          </w:p>
        </w:tc>
      </w:tr>
      <w:tr>
        <w:trPr>
          <w:trHeight w:val="230"/>
        </w:trPr>
        <w:tc>
          <w:tcPr>
            <w:tcW w:w="4780" w:type="dxa"/>
            <w:vAlign w:val="bottom"/>
            <w:shd w:val="clear" w:color="auto" w:fill="C2F3F2"/>
          </w:tcPr>
          <w:p>
            <w:pPr>
              <w:ind w:left="480"/>
              <w:spacing w:after="0"/>
              <w:rPr>
                <w:sz w:val="20"/>
                <w:szCs w:val="20"/>
                <w:color w:val="auto"/>
              </w:rPr>
            </w:pPr>
            <w:r>
              <w:rPr>
                <w:rFonts w:ascii="Arial" w:cs="Arial" w:eastAsia="Arial" w:hAnsi="Arial"/>
                <w:sz w:val="18"/>
                <w:szCs w:val="18"/>
                <w:color w:val="auto"/>
              </w:rPr>
              <w:t>Product design and development</w:t>
            </w:r>
          </w:p>
        </w:tc>
        <w:tc>
          <w:tcPr>
            <w:tcW w:w="300" w:type="dxa"/>
            <w:vAlign w:val="bottom"/>
            <w:tcBorders>
              <w:bottom w:val="single" w:sz="8" w:color="auto"/>
            </w:tcBorders>
            <w:shd w:val="clear" w:color="auto" w:fill="C2F3F2"/>
          </w:tcPr>
          <w:p>
            <w:pPr>
              <w:spacing w:after="0"/>
              <w:rPr>
                <w:sz w:val="19"/>
                <w:szCs w:val="19"/>
                <w:color w:val="auto"/>
              </w:rPr>
            </w:pPr>
          </w:p>
        </w:tc>
        <w:tc>
          <w:tcPr>
            <w:tcW w:w="124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6,546</w:t>
            </w:r>
          </w:p>
        </w:tc>
        <w:tc>
          <w:tcPr>
            <w:tcW w:w="340" w:type="dxa"/>
            <w:vAlign w:val="bottom"/>
            <w:shd w:val="clear" w:color="auto" w:fill="C2F3F2"/>
          </w:tcPr>
          <w:p>
            <w:pPr>
              <w:spacing w:after="0"/>
              <w:rPr>
                <w:sz w:val="19"/>
                <w:szCs w:val="19"/>
                <w:color w:val="auto"/>
              </w:rPr>
            </w:pPr>
          </w:p>
        </w:tc>
        <w:tc>
          <w:tcPr>
            <w:tcW w:w="320" w:type="dxa"/>
            <w:vAlign w:val="bottom"/>
            <w:tcBorders>
              <w:bottom w:val="single" w:sz="8" w:color="auto"/>
            </w:tcBorders>
            <w:shd w:val="clear" w:color="auto" w:fill="C2F3F2"/>
          </w:tcPr>
          <w:p>
            <w:pPr>
              <w:spacing w:after="0"/>
              <w:rPr>
                <w:sz w:val="19"/>
                <w:szCs w:val="19"/>
                <w:color w:val="auto"/>
              </w:rPr>
            </w:pPr>
          </w:p>
        </w:tc>
        <w:tc>
          <w:tcPr>
            <w:tcW w:w="12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4,756</w:t>
            </w:r>
          </w:p>
        </w:tc>
      </w:tr>
      <w:tr>
        <w:trPr>
          <w:trHeight w:val="237"/>
        </w:trPr>
        <w:tc>
          <w:tcPr>
            <w:tcW w:w="4780" w:type="dxa"/>
            <w:vAlign w:val="bottom"/>
            <w:tcBorders>
              <w:bottom w:val="single" w:sz="8" w:color="C2F3F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34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25,602</w:t>
            </w:r>
          </w:p>
        </w:tc>
      </w:tr>
      <w:tr>
        <w:trPr>
          <w:trHeight w:val="237"/>
        </w:trPr>
        <w:tc>
          <w:tcPr>
            <w:tcW w:w="4780" w:type="dxa"/>
            <w:vAlign w:val="bottom"/>
            <w:shd w:val="clear" w:color="auto" w:fill="C2F3F2"/>
          </w:tcPr>
          <w:p>
            <w:pPr>
              <w:ind w:left="86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shd w:val="clear" w:color="auto" w:fill="C2F3F2"/>
          </w:tcPr>
          <w:p>
            <w:pPr>
              <w:spacing w:after="0"/>
              <w:rPr>
                <w:sz w:val="20"/>
                <w:szCs w:val="20"/>
                <w:color w:val="auto"/>
              </w:rPr>
            </w:pPr>
          </w:p>
        </w:tc>
        <w:tc>
          <w:tcPr>
            <w:tcW w:w="124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14,755</w:t>
            </w:r>
          </w:p>
        </w:tc>
        <w:tc>
          <w:tcPr>
            <w:tcW w:w="340" w:type="dxa"/>
            <w:vAlign w:val="bottom"/>
            <w:shd w:val="clear" w:color="auto" w:fill="C2F3F2"/>
          </w:tcPr>
          <w:p>
            <w:pPr>
              <w:spacing w:after="0"/>
              <w:rPr>
                <w:sz w:val="20"/>
                <w:szCs w:val="20"/>
                <w:color w:val="auto"/>
              </w:rPr>
            </w:pPr>
          </w:p>
        </w:tc>
        <w:tc>
          <w:tcPr>
            <w:tcW w:w="320" w:type="dxa"/>
            <w:vAlign w:val="bottom"/>
            <w:tcBorders>
              <w:bottom w:val="single" w:sz="8" w:color="auto"/>
            </w:tcBorders>
            <w:shd w:val="clear" w:color="auto" w:fill="C2F3F2"/>
          </w:tcPr>
          <w:p>
            <w:pPr>
              <w:spacing w:after="0"/>
              <w:rPr>
                <w:sz w:val="20"/>
                <w:szCs w:val="20"/>
                <w:color w:val="auto"/>
              </w:rPr>
            </w:pPr>
          </w:p>
        </w:tc>
        <w:tc>
          <w:tcPr>
            <w:tcW w:w="12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11,277</w:t>
            </w:r>
          </w:p>
        </w:tc>
      </w:tr>
      <w:tr>
        <w:trPr>
          <w:trHeight w:val="211"/>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Nonoperating income (expense):</w:t>
            </w:r>
          </w:p>
        </w:tc>
        <w:tc>
          <w:tcPr>
            <w:tcW w:w="300" w:type="dxa"/>
            <w:vAlign w:val="bottom"/>
            <w:shd w:val="clear" w:color="auto" w:fill="C2F3F2"/>
          </w:tcPr>
          <w:p>
            <w:pPr>
              <w:spacing w:after="0"/>
              <w:rPr>
                <w:sz w:val="19"/>
                <w:szCs w:val="19"/>
                <w:color w:val="auto"/>
              </w:rPr>
            </w:pPr>
          </w:p>
        </w:tc>
        <w:tc>
          <w:tcPr>
            <w:tcW w:w="1240" w:type="dxa"/>
            <w:vAlign w:val="bottom"/>
            <w:shd w:val="clear" w:color="auto" w:fill="C2F3F2"/>
          </w:tcPr>
          <w:p>
            <w:pPr>
              <w:spacing w:after="0"/>
              <w:rPr>
                <w:sz w:val="19"/>
                <w:szCs w:val="19"/>
                <w:color w:val="auto"/>
              </w:rPr>
            </w:pPr>
          </w:p>
        </w:tc>
        <w:tc>
          <w:tcPr>
            <w:tcW w:w="340" w:type="dxa"/>
            <w:vAlign w:val="bottom"/>
            <w:shd w:val="clear" w:color="auto" w:fill="C2F3F2"/>
          </w:tcPr>
          <w:p>
            <w:pPr>
              <w:spacing w:after="0"/>
              <w:rPr>
                <w:sz w:val="19"/>
                <w:szCs w:val="19"/>
                <w:color w:val="auto"/>
              </w:rPr>
            </w:pPr>
          </w:p>
        </w:tc>
        <w:tc>
          <w:tcPr>
            <w:tcW w:w="320" w:type="dxa"/>
            <w:vAlign w:val="bottom"/>
            <w:shd w:val="clear" w:color="auto" w:fill="C2F3F2"/>
          </w:tcPr>
          <w:p>
            <w:pPr>
              <w:spacing w:after="0"/>
              <w:rPr>
                <w:sz w:val="19"/>
                <w:szCs w:val="19"/>
                <w:color w:val="auto"/>
              </w:rPr>
            </w:pPr>
          </w:p>
        </w:tc>
        <w:tc>
          <w:tcPr>
            <w:tcW w:w="1220" w:type="dxa"/>
            <w:vAlign w:val="bottom"/>
            <w:shd w:val="clear" w:color="auto" w:fill="C2F3F2"/>
          </w:tcPr>
          <w:p>
            <w:pPr>
              <w:spacing w:after="0"/>
              <w:rPr>
                <w:sz w:val="19"/>
                <w:szCs w:val="19"/>
                <w:color w:val="auto"/>
              </w:rPr>
            </w:pPr>
          </w:p>
        </w:tc>
      </w:tr>
      <w:tr>
        <w:trPr>
          <w:trHeight w:val="229"/>
        </w:trPr>
        <w:tc>
          <w:tcPr>
            <w:tcW w:w="478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384</w:t>
            </w:r>
          </w:p>
        </w:tc>
      </w:tr>
      <w:tr>
        <w:trPr>
          <w:trHeight w:val="231"/>
        </w:trPr>
        <w:tc>
          <w:tcPr>
            <w:tcW w:w="4780" w:type="dxa"/>
            <w:vAlign w:val="bottom"/>
            <w:shd w:val="clear" w:color="auto" w:fill="C2F3F2"/>
          </w:tcPr>
          <w:p>
            <w:pPr>
              <w:ind w:left="4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2F3F2"/>
          </w:tcPr>
          <w:p>
            <w:pPr>
              <w:spacing w:after="0"/>
              <w:rPr>
                <w:sz w:val="20"/>
                <w:szCs w:val="20"/>
                <w:color w:val="auto"/>
              </w:rPr>
            </w:pPr>
          </w:p>
        </w:tc>
        <w:tc>
          <w:tcPr>
            <w:tcW w:w="1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2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(426)</w:t>
            </w:r>
          </w:p>
        </w:tc>
      </w:tr>
      <w:tr>
        <w:trPr>
          <w:trHeight w:val="242"/>
        </w:trPr>
        <w:tc>
          <w:tcPr>
            <w:tcW w:w="4780" w:type="dxa"/>
            <w:vAlign w:val="bottom"/>
            <w:tcBorders>
              <w:bottom w:val="single" w:sz="8" w:color="C2F3F2"/>
            </w:tcBorders>
          </w:tcPr>
          <w:p>
            <w:pPr>
              <w:ind w:left="4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Borders>
              <w:bottom w:val="single" w:sz="8" w:color="C2F3F2"/>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w:t>
            </w:r>
          </w:p>
        </w:tc>
      </w:tr>
      <w:tr>
        <w:trPr>
          <w:trHeight w:val="211"/>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2F3F2"/>
          </w:tcPr>
          <w:p>
            <w:pPr>
              <w:spacing w:after="0"/>
              <w:rPr>
                <w:sz w:val="18"/>
                <w:szCs w:val="18"/>
                <w:color w:val="auto"/>
              </w:rPr>
            </w:pPr>
          </w:p>
        </w:tc>
        <w:tc>
          <w:tcPr>
            <w:tcW w:w="1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14,840</w:t>
            </w:r>
          </w:p>
        </w:tc>
        <w:tc>
          <w:tcPr>
            <w:tcW w:w="34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2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10,933</w:t>
            </w:r>
          </w:p>
        </w:tc>
      </w:tr>
      <w:tr>
        <w:trPr>
          <w:trHeight w:val="239"/>
        </w:trPr>
        <w:tc>
          <w:tcPr>
            <w:tcW w:w="4780" w:type="dxa"/>
            <w:vAlign w:val="bottom"/>
            <w:tcBorders>
              <w:bottom w:val="single" w:sz="8" w:color="C2F3F2"/>
            </w:tcBorders>
          </w:tcPr>
          <w:p>
            <w:pPr>
              <w:ind w:left="4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340" w:type="dxa"/>
            <w:vAlign w:val="bottom"/>
            <w:tcBorders>
              <w:bottom w:val="single" w:sz="8" w:color="C2F3F2"/>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3,822</w:t>
            </w:r>
          </w:p>
        </w:tc>
      </w:tr>
    </w:tbl>
    <w:p>
      <w:pPr>
        <w:sectPr>
          <w:pgSz w:w="11900" w:h="16900" w:orient="portrait"/>
          <w:cols w:equalWidth="0" w:num="1">
            <w:col w:w="10219"/>
          </w:cols>
          <w:pgMar w:left="240" w:top="12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bottom w:val="single" w:sz="8" w:color="C2F3F2"/>
            </w:tcBorders>
            <w:shd w:val="clear" w:color="auto" w:fill="C2F3F2"/>
          </w:tcPr>
          <w:p>
            <w:pPr>
              <w:ind w:left="100"/>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9,727</w:t>
            </w:r>
          </w:p>
        </w:tc>
        <w:tc>
          <w:tcPr>
            <w:tcW w:w="340" w:type="dxa"/>
            <w:vAlign w:val="bottom"/>
            <w:tcBorders>
              <w:bottom w:val="single" w:sz="8" w:color="C2F3F2"/>
            </w:tcBorders>
            <w:shd w:val="clear" w:color="auto" w:fill="C2F3F2"/>
          </w:tcPr>
          <w:p>
            <w:pPr>
              <w:spacing w:after="0"/>
              <w:rPr>
                <w:sz w:val="18"/>
                <w:szCs w:val="18"/>
                <w:color w:val="auto"/>
              </w:rPr>
            </w:pP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7,111</w:t>
            </w: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Weighted average shares outstanding:</w:t>
            </w:r>
          </w:p>
        </w:tc>
        <w:tc>
          <w:tcPr>
            <w:tcW w:w="58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c>
          <w:tcPr>
            <w:tcW w:w="340" w:type="dxa"/>
            <w:vAlign w:val="bottom"/>
            <w:shd w:val="clear" w:color="auto" w:fill="C2F3F2"/>
          </w:tcPr>
          <w:p>
            <w:pPr>
              <w:spacing w:after="0"/>
              <w:rPr>
                <w:sz w:val="19"/>
                <w:szCs w:val="19"/>
                <w:color w:val="auto"/>
              </w:rPr>
            </w:pPr>
          </w:p>
        </w:tc>
        <w:tc>
          <w:tcPr>
            <w:tcW w:w="58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42"/>
        </w:trPr>
        <w:tc>
          <w:tcPr>
            <w:tcW w:w="4780" w:type="dxa"/>
            <w:vAlign w:val="bottom"/>
            <w:tcBorders>
              <w:bottom w:val="single" w:sz="8" w:color="C2F3F2"/>
            </w:tcBorders>
          </w:tcPr>
          <w:p>
            <w:pPr>
              <w:ind w:left="48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40,338</w:t>
            </w:r>
          </w:p>
        </w:tc>
        <w:tc>
          <w:tcPr>
            <w:tcW w:w="340" w:type="dxa"/>
            <w:vAlign w:val="bottom"/>
            <w:tcBorders>
              <w:bottom w:val="single" w:sz="8" w:color="C2F3F2"/>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39,638</w:t>
            </w:r>
          </w:p>
        </w:tc>
      </w:tr>
      <w:tr>
        <w:trPr>
          <w:trHeight w:val="238"/>
        </w:trPr>
        <w:tc>
          <w:tcPr>
            <w:tcW w:w="4780" w:type="dxa"/>
            <w:vAlign w:val="bottom"/>
            <w:tcBorders>
              <w:bottom w:val="single" w:sz="8" w:color="C2F3F2"/>
            </w:tcBorders>
            <w:shd w:val="clear" w:color="auto" w:fill="C2F3F2"/>
          </w:tcPr>
          <w:p>
            <w:pPr>
              <w:ind w:left="48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shd w:val="clear" w:color="auto" w:fill="C2F3F2"/>
          </w:tcPr>
          <w:p>
            <w:pPr>
              <w:spacing w:after="0"/>
              <w:rPr>
                <w:sz w:val="20"/>
                <w:szCs w:val="20"/>
                <w:color w:val="auto"/>
              </w:rPr>
            </w:pPr>
          </w:p>
        </w:tc>
        <w:tc>
          <w:tcPr>
            <w:tcW w:w="9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41,323</w:t>
            </w:r>
          </w:p>
        </w:tc>
        <w:tc>
          <w:tcPr>
            <w:tcW w:w="340" w:type="dxa"/>
            <w:vAlign w:val="bottom"/>
            <w:tcBorders>
              <w:bottom w:val="single" w:sz="8" w:color="C2F3F2"/>
            </w:tcBorders>
            <w:shd w:val="clear" w:color="auto" w:fill="C2F3F2"/>
          </w:tcPr>
          <w:p>
            <w:pPr>
              <w:spacing w:after="0"/>
              <w:rPr>
                <w:sz w:val="20"/>
                <w:szCs w:val="20"/>
                <w:color w:val="auto"/>
              </w:rPr>
            </w:pPr>
          </w:p>
        </w:tc>
        <w:tc>
          <w:tcPr>
            <w:tcW w:w="580" w:type="dxa"/>
            <w:vAlign w:val="bottom"/>
            <w:tcBorders>
              <w:bottom w:val="single" w:sz="8" w:color="auto"/>
            </w:tcBorders>
            <w:shd w:val="clear" w:color="auto" w:fill="C2F3F2"/>
          </w:tcPr>
          <w:p>
            <w:pPr>
              <w:spacing w:after="0"/>
              <w:rPr>
                <w:sz w:val="20"/>
                <w:szCs w:val="20"/>
                <w:color w:val="auto"/>
              </w:rPr>
            </w:pP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41,260</w:t>
            </w: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47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Earnings per share:</w:t>
            </w:r>
          </w:p>
        </w:tc>
        <w:tc>
          <w:tcPr>
            <w:tcW w:w="58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c>
          <w:tcPr>
            <w:tcW w:w="340" w:type="dxa"/>
            <w:vAlign w:val="bottom"/>
            <w:shd w:val="clear" w:color="auto" w:fill="C2F3F2"/>
          </w:tcPr>
          <w:p>
            <w:pPr>
              <w:spacing w:after="0"/>
              <w:rPr>
                <w:sz w:val="19"/>
                <w:szCs w:val="19"/>
                <w:color w:val="auto"/>
              </w:rPr>
            </w:pPr>
          </w:p>
        </w:tc>
        <w:tc>
          <w:tcPr>
            <w:tcW w:w="58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29"/>
        </w:trPr>
        <w:tc>
          <w:tcPr>
            <w:tcW w:w="4780" w:type="dxa"/>
            <w:vAlign w:val="bottom"/>
            <w:tcBorders>
              <w:bottom w:val="single" w:sz="8" w:color="C2F3F2"/>
            </w:tcBorders>
          </w:tcPr>
          <w:p>
            <w:pPr>
              <w:ind w:left="48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Borders>
              <w:bottom w:val="single" w:sz="8" w:color="C2F3F2"/>
            </w:tcBorders>
          </w:tcPr>
          <w:p>
            <w:pPr>
              <w:spacing w:after="0"/>
              <w:rPr>
                <w:sz w:val="19"/>
                <w:szCs w:val="19"/>
                <w:color w:val="auto"/>
              </w:rPr>
            </w:pPr>
          </w:p>
        </w:tc>
        <w:tc>
          <w:tcPr>
            <w:tcW w:w="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r>
      <w:tr>
        <w:trPr>
          <w:trHeight w:val="211"/>
        </w:trPr>
        <w:tc>
          <w:tcPr>
            <w:tcW w:w="4780" w:type="dxa"/>
            <w:vAlign w:val="bottom"/>
            <w:tcBorders>
              <w:bottom w:val="single" w:sz="8" w:color="C2F3F2"/>
            </w:tcBorders>
            <w:shd w:val="clear" w:color="auto" w:fill="C2F3F2"/>
          </w:tcPr>
          <w:p>
            <w:pPr>
              <w:ind w:left="48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Borders>
              <w:bottom w:val="single" w:sz="8" w:color="C2F3F2"/>
            </w:tcBorders>
            <w:shd w:val="clear" w:color="auto" w:fill="C2F3F2"/>
          </w:tcPr>
          <w:p>
            <w:pPr>
              <w:spacing w:after="0"/>
              <w:rPr>
                <w:sz w:val="18"/>
                <w:szCs w:val="18"/>
                <w:color w:val="auto"/>
              </w:rPr>
            </w:pP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0.17</w:t>
            </w: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4780" w:type="dxa"/>
            <w:vAlign w:val="bottom"/>
            <w:tcBorders>
              <w:bottom w:val="single" w:sz="8" w:color="C2F3F2"/>
            </w:tcBorders>
            <w:shd w:val="clear" w:color="auto" w:fill="C2F3F2"/>
          </w:tcPr>
          <w:p>
            <w:pPr>
              <w:ind w:left="100"/>
              <w:spacing w:after="0"/>
              <w:rPr>
                <w:sz w:val="20"/>
                <w:szCs w:val="20"/>
                <w:color w:val="auto"/>
              </w:rPr>
            </w:pPr>
            <w:r>
              <w:rPr>
                <w:rFonts w:ascii="Arial" w:cs="Arial" w:eastAsia="Arial" w:hAnsi="Arial"/>
                <w:sz w:val="18"/>
                <w:szCs w:val="18"/>
                <w:color w:val="auto"/>
              </w:rPr>
              <w:t>Cash dividend paid per share</w:t>
            </w: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C2F3F2"/>
            </w:tcBorders>
            <w:shd w:val="clear" w:color="auto" w:fill="C2F3F2"/>
          </w:tcPr>
          <w:p>
            <w:pPr>
              <w:spacing w:after="0"/>
              <w:rPr>
                <w:sz w:val="19"/>
                <w:szCs w:val="19"/>
                <w:color w:val="auto"/>
              </w:rPr>
            </w:pPr>
          </w:p>
        </w:tc>
        <w:tc>
          <w:tcPr>
            <w:tcW w:w="580" w:type="dxa"/>
            <w:vAlign w:val="bottom"/>
            <w:tcBorders>
              <w:bottom w:val="single" w:sz="8" w:color="auto"/>
            </w:tcBorders>
            <w:shd w:val="clear" w:color="auto" w:fill="C2F3F2"/>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0.07</w:t>
            </w: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8"/>
                <w:szCs w:val="18"/>
                <w:b w:val="1"/>
                <w:bCs w:val="1"/>
                <w:color w:val="auto"/>
              </w:rPr>
              <w:t>Three Months Ended</w:t>
            </w:r>
          </w:p>
        </w:tc>
      </w:tr>
      <w:tr>
        <w:trPr>
          <w:trHeight w:val="215"/>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August 2,</w:t>
            </w:r>
          </w:p>
        </w:tc>
        <w:tc>
          <w:tcPr>
            <w:tcW w:w="36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July 28,</w:t>
            </w:r>
          </w:p>
        </w:tc>
      </w:tr>
      <w:tr>
        <w:trPr>
          <w:trHeight w:val="228"/>
        </w:trPr>
        <w:tc>
          <w:tcPr>
            <w:tcW w:w="5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2007</w:t>
            </w:r>
          </w:p>
        </w:tc>
      </w:tr>
      <w:tr>
        <w:trPr>
          <w:trHeight w:val="440"/>
        </w:trPr>
        <w:tc>
          <w:tcPr>
            <w:tcW w:w="5540" w:type="dxa"/>
            <w:vAlign w:val="bottom"/>
          </w:tcPr>
          <w:p>
            <w:pPr>
              <w:ind w:left="10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1"/>
        </w:trPr>
        <w:tc>
          <w:tcPr>
            <w:tcW w:w="5540" w:type="dxa"/>
            <w:vAlign w:val="bottom"/>
            <w:shd w:val="clear" w:color="auto" w:fill="C2F3F2"/>
          </w:tcPr>
          <w:p>
            <w:pPr>
              <w:ind w:left="4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2F3F2"/>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9,727</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7,111</w:t>
            </w:r>
          </w:p>
        </w:tc>
      </w:tr>
      <w:tr>
        <w:trPr>
          <w:trHeight w:val="229"/>
        </w:trPr>
        <w:tc>
          <w:tcPr>
            <w:tcW w:w="5540" w:type="dxa"/>
            <w:vAlign w:val="bottom"/>
          </w:tcPr>
          <w:p>
            <w:pPr>
              <w:ind w:left="460"/>
              <w:spacing w:after="0"/>
              <w:rPr>
                <w:sz w:val="20"/>
                <w:szCs w:val="20"/>
                <w:color w:val="auto"/>
              </w:rPr>
            </w:pPr>
            <w:r>
              <w:rPr>
                <w:rFonts w:ascii="Arial" w:cs="Arial" w:eastAsia="Arial" w:hAnsi="Arial"/>
                <w:sz w:val="18"/>
                <w:szCs w:val="18"/>
                <w:color w:val="auto"/>
              </w:rPr>
              <w:t>Adjustments to reconcile net income to net cash provided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by operating activities:</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spacing w:after="0"/>
              <w:rPr>
                <w:sz w:val="20"/>
                <w:szCs w:val="20"/>
                <w:color w:val="auto"/>
              </w:rPr>
            </w:pP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4,505</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79</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(Gain) loss on sale of property and equipment</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608</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Equity in earnings and losses of affiliates</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Provision for doubtful accounts</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28</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Borders>
              <w:bottom w:val="single" w:sz="8" w:color="auto"/>
            </w:tcBorders>
            <w:shd w:val="clear" w:color="auto" w:fill="C2F3F2"/>
          </w:tcPr>
          <w:p>
            <w:pPr>
              <w:spacing w:after="0"/>
              <w:rPr>
                <w:sz w:val="20"/>
                <w:szCs w:val="20"/>
                <w:color w:val="auto"/>
              </w:rPr>
            </w:pPr>
          </w:p>
        </w:tc>
        <w:tc>
          <w:tcPr>
            <w:tcW w:w="13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(12,532)</w:t>
            </w:r>
          </w:p>
        </w:tc>
        <w:tc>
          <w:tcPr>
            <w:tcW w:w="220" w:type="dxa"/>
            <w:vAlign w:val="bottom"/>
            <w:shd w:val="clear" w:color="auto" w:fill="C2F3F2"/>
          </w:tcPr>
          <w:p>
            <w:pPr>
              <w:spacing w:after="0"/>
              <w:rPr>
                <w:sz w:val="20"/>
                <w:szCs w:val="20"/>
                <w:color w:val="auto"/>
              </w:rPr>
            </w:pPr>
          </w:p>
        </w:tc>
        <w:tc>
          <w:tcPr>
            <w:tcW w:w="360" w:type="dxa"/>
            <w:vAlign w:val="bottom"/>
            <w:tcBorders>
              <w:bottom w:val="single" w:sz="8" w:color="auto"/>
            </w:tcBorders>
            <w:shd w:val="clear" w:color="auto" w:fill="C2F3F2"/>
          </w:tcPr>
          <w:p>
            <w:pPr>
              <w:spacing w:after="0"/>
              <w:rPr>
                <w:sz w:val="20"/>
                <w:szCs w:val="20"/>
                <w:color w:val="auto"/>
              </w:rPr>
            </w:pP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6,657</w:t>
            </w:r>
          </w:p>
        </w:tc>
      </w:tr>
      <w:tr>
        <w:trPr>
          <w:trHeight w:val="236"/>
        </w:trPr>
        <w:tc>
          <w:tcPr>
            <w:tcW w:w="5540" w:type="dxa"/>
            <w:vAlign w:val="bottom"/>
            <w:tcBorders>
              <w:bottom w:val="single" w:sz="8" w:color="C2F3F2"/>
            </w:tcBorders>
          </w:tcPr>
          <w:p>
            <w:pPr>
              <w:ind w:left="116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3,724</w:t>
            </w:r>
          </w:p>
        </w:tc>
        <w:tc>
          <w:tcPr>
            <w:tcW w:w="220" w:type="dxa"/>
            <w:vAlign w:val="bottom"/>
            <w:tcBorders>
              <w:bottom w:val="single" w:sz="8" w:color="C2F3F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19,483</w:t>
            </w:r>
          </w:p>
        </w:tc>
      </w:tr>
      <w:tr>
        <w:trPr>
          <w:trHeight w:val="211"/>
        </w:trPr>
        <w:tc>
          <w:tcPr>
            <w:tcW w:w="554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340" w:type="dxa"/>
            <w:vAlign w:val="bottom"/>
            <w:shd w:val="clear" w:color="auto" w:fill="C2F3F2"/>
          </w:tcPr>
          <w:p>
            <w:pPr>
              <w:spacing w:after="0"/>
              <w:rPr>
                <w:sz w:val="18"/>
                <w:szCs w:val="18"/>
                <w:color w:val="auto"/>
              </w:rPr>
            </w:pPr>
          </w:p>
        </w:tc>
        <w:tc>
          <w:tcPr>
            <w:tcW w:w="220" w:type="dxa"/>
            <w:vAlign w:val="bottom"/>
            <w:shd w:val="clear" w:color="auto" w:fill="C2F3F2"/>
          </w:tcPr>
          <w:p>
            <w:pPr>
              <w:spacing w:after="0"/>
              <w:rPr>
                <w:sz w:val="18"/>
                <w:szCs w:val="18"/>
                <w:color w:val="auto"/>
              </w:rPr>
            </w:pP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spacing w:after="0"/>
              <w:rPr>
                <w:sz w:val="18"/>
                <w:szCs w:val="18"/>
                <w:color w:val="auto"/>
              </w:rPr>
            </w:pPr>
          </w:p>
        </w:tc>
      </w:tr>
      <w:tr>
        <w:trPr>
          <w:trHeight w:val="229"/>
        </w:trPr>
        <w:tc>
          <w:tcPr>
            <w:tcW w:w="5540" w:type="dxa"/>
            <w:vAlign w:val="bottom"/>
          </w:tcPr>
          <w:p>
            <w:pPr>
              <w:ind w:left="10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(7,534)</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(13,343)</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Cash consideration paid for investment in affiliates</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(750)</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Borders>
              <w:bottom w:val="single" w:sz="8" w:color="auto"/>
            </w:tcBorders>
            <w:shd w:val="clear" w:color="auto" w:fill="C2F3F2"/>
          </w:tcPr>
          <w:p>
            <w:pPr>
              <w:spacing w:after="0"/>
              <w:rPr>
                <w:sz w:val="20"/>
                <w:szCs w:val="20"/>
                <w:color w:val="auto"/>
              </w:rPr>
            </w:pPr>
          </w:p>
        </w:tc>
        <w:tc>
          <w:tcPr>
            <w:tcW w:w="13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2F3F2"/>
          </w:tcPr>
          <w:p>
            <w:pPr>
              <w:spacing w:after="0"/>
              <w:rPr>
                <w:sz w:val="20"/>
                <w:szCs w:val="20"/>
                <w:color w:val="auto"/>
              </w:rPr>
            </w:pPr>
          </w:p>
        </w:tc>
        <w:tc>
          <w:tcPr>
            <w:tcW w:w="360" w:type="dxa"/>
            <w:vAlign w:val="bottom"/>
            <w:tcBorders>
              <w:bottom w:val="single" w:sz="8" w:color="auto"/>
            </w:tcBorders>
            <w:shd w:val="clear" w:color="auto" w:fill="C2F3F2"/>
          </w:tcPr>
          <w:p>
            <w:pPr>
              <w:spacing w:after="0"/>
              <w:rPr>
                <w:sz w:val="20"/>
                <w:szCs w:val="20"/>
                <w:color w:val="auto"/>
              </w:rPr>
            </w:pP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23</w:t>
            </w:r>
          </w:p>
        </w:tc>
      </w:tr>
      <w:tr>
        <w:trPr>
          <w:trHeight w:val="236"/>
        </w:trPr>
        <w:tc>
          <w:tcPr>
            <w:tcW w:w="5540" w:type="dxa"/>
            <w:vAlign w:val="bottom"/>
            <w:tcBorders>
              <w:bottom w:val="single" w:sz="8" w:color="C2F3F2"/>
            </w:tcBorders>
          </w:tcPr>
          <w:p>
            <w:pPr>
              <w:ind w:left="116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(4,821)</w:t>
            </w:r>
          </w:p>
        </w:tc>
        <w:tc>
          <w:tcPr>
            <w:tcW w:w="220" w:type="dxa"/>
            <w:vAlign w:val="bottom"/>
            <w:tcBorders>
              <w:bottom w:val="single" w:sz="8" w:color="C2F3F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(14,070)</w:t>
            </w:r>
          </w:p>
        </w:tc>
      </w:tr>
      <w:tr>
        <w:trPr>
          <w:trHeight w:val="211"/>
        </w:trPr>
        <w:tc>
          <w:tcPr>
            <w:tcW w:w="554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340" w:type="dxa"/>
            <w:vAlign w:val="bottom"/>
            <w:shd w:val="clear" w:color="auto" w:fill="C2F3F2"/>
          </w:tcPr>
          <w:p>
            <w:pPr>
              <w:spacing w:after="0"/>
              <w:rPr>
                <w:sz w:val="18"/>
                <w:szCs w:val="18"/>
                <w:color w:val="auto"/>
              </w:rPr>
            </w:pPr>
          </w:p>
        </w:tc>
        <w:tc>
          <w:tcPr>
            <w:tcW w:w="220" w:type="dxa"/>
            <w:vAlign w:val="bottom"/>
            <w:shd w:val="clear" w:color="auto" w:fill="C2F3F2"/>
          </w:tcPr>
          <w:p>
            <w:pPr>
              <w:spacing w:after="0"/>
              <w:rPr>
                <w:sz w:val="18"/>
                <w:szCs w:val="18"/>
                <w:color w:val="auto"/>
              </w:rPr>
            </w:pP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spacing w:after="0"/>
              <w:rPr>
                <w:sz w:val="18"/>
                <w:szCs w:val="18"/>
                <w:color w:val="auto"/>
              </w:rPr>
            </w:pPr>
          </w:p>
        </w:tc>
      </w:tr>
      <w:tr>
        <w:trPr>
          <w:trHeight w:val="229"/>
        </w:trPr>
        <w:tc>
          <w:tcPr>
            <w:tcW w:w="5540" w:type="dxa"/>
            <w:vAlign w:val="bottom"/>
          </w:tcPr>
          <w:p>
            <w:pPr>
              <w:ind w:left="10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Net borrowings on notes payable</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1,068</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Proceeds from exercise of stock options and warrants</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732</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177</w:t>
            </w: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Dividend paid</w:t>
            </w:r>
          </w:p>
        </w:tc>
        <w:tc>
          <w:tcPr>
            <w:tcW w:w="320" w:type="dxa"/>
            <w:vAlign w:val="bottom"/>
            <w:tcBorders>
              <w:bottom w:val="single" w:sz="8" w:color="auto"/>
            </w:tcBorders>
            <w:shd w:val="clear" w:color="auto" w:fill="C2F3F2"/>
          </w:tcPr>
          <w:p>
            <w:pPr>
              <w:spacing w:after="0"/>
              <w:rPr>
                <w:sz w:val="20"/>
                <w:szCs w:val="20"/>
                <w:color w:val="auto"/>
              </w:rPr>
            </w:pPr>
          </w:p>
        </w:tc>
        <w:tc>
          <w:tcPr>
            <w:tcW w:w="13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(3,635)</w:t>
            </w:r>
          </w:p>
        </w:tc>
        <w:tc>
          <w:tcPr>
            <w:tcW w:w="220" w:type="dxa"/>
            <w:vAlign w:val="bottom"/>
            <w:shd w:val="clear" w:color="auto" w:fill="C2F3F2"/>
          </w:tcPr>
          <w:p>
            <w:pPr>
              <w:spacing w:after="0"/>
              <w:rPr>
                <w:sz w:val="20"/>
                <w:szCs w:val="20"/>
                <w:color w:val="auto"/>
              </w:rPr>
            </w:pPr>
          </w:p>
        </w:tc>
        <w:tc>
          <w:tcPr>
            <w:tcW w:w="360" w:type="dxa"/>
            <w:vAlign w:val="bottom"/>
            <w:tcBorders>
              <w:bottom w:val="single" w:sz="8" w:color="auto"/>
            </w:tcBorders>
            <w:shd w:val="clear" w:color="auto" w:fill="C2F3F2"/>
          </w:tcPr>
          <w:p>
            <w:pPr>
              <w:spacing w:after="0"/>
              <w:rPr>
                <w:sz w:val="20"/>
                <w:szCs w:val="20"/>
                <w:color w:val="auto"/>
              </w:rPr>
            </w:pP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(2,770)</w:t>
            </w:r>
          </w:p>
        </w:tc>
      </w:tr>
      <w:tr>
        <w:trPr>
          <w:trHeight w:val="236"/>
        </w:trPr>
        <w:tc>
          <w:tcPr>
            <w:tcW w:w="5540" w:type="dxa"/>
            <w:vAlign w:val="bottom"/>
            <w:tcBorders>
              <w:bottom w:val="single" w:sz="8" w:color="C2F3F2"/>
            </w:tcBorders>
          </w:tcPr>
          <w:p>
            <w:pPr>
              <w:ind w:left="116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2F3F2"/>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(805)</w:t>
            </w:r>
          </w:p>
        </w:tc>
      </w:tr>
      <w:tr>
        <w:trPr>
          <w:trHeight w:val="211"/>
        </w:trPr>
        <w:tc>
          <w:tcPr>
            <w:tcW w:w="5540" w:type="dxa"/>
            <w:vAlign w:val="bottom"/>
            <w:shd w:val="clear" w:color="auto" w:fill="C2F3F2"/>
          </w:tcPr>
          <w:p>
            <w:pPr>
              <w:spacing w:after="0"/>
              <w:rPr>
                <w:sz w:val="18"/>
                <w:szCs w:val="18"/>
                <w:color w:val="auto"/>
              </w:rPr>
            </w:pPr>
          </w:p>
        </w:tc>
        <w:tc>
          <w:tcPr>
            <w:tcW w:w="320" w:type="dxa"/>
            <w:vAlign w:val="bottom"/>
            <w:shd w:val="clear" w:color="auto" w:fill="C2F3F2"/>
          </w:tcPr>
          <w:p>
            <w:pPr>
              <w:spacing w:after="0"/>
              <w:rPr>
                <w:sz w:val="18"/>
                <w:szCs w:val="18"/>
                <w:color w:val="auto"/>
              </w:rPr>
            </w:pPr>
          </w:p>
        </w:tc>
        <w:tc>
          <w:tcPr>
            <w:tcW w:w="1340" w:type="dxa"/>
            <w:vAlign w:val="bottom"/>
            <w:shd w:val="clear" w:color="auto" w:fill="C2F3F2"/>
          </w:tcPr>
          <w:p>
            <w:pPr>
              <w:spacing w:after="0"/>
              <w:rPr>
                <w:sz w:val="18"/>
                <w:szCs w:val="18"/>
                <w:color w:val="auto"/>
              </w:rPr>
            </w:pPr>
          </w:p>
        </w:tc>
        <w:tc>
          <w:tcPr>
            <w:tcW w:w="220" w:type="dxa"/>
            <w:vAlign w:val="bottom"/>
            <w:shd w:val="clear" w:color="auto" w:fill="C2F3F2"/>
          </w:tcPr>
          <w:p>
            <w:pPr>
              <w:spacing w:after="0"/>
              <w:rPr>
                <w:sz w:val="18"/>
                <w:szCs w:val="18"/>
                <w:color w:val="auto"/>
              </w:rPr>
            </w:pP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spacing w:after="0"/>
              <w:rPr>
                <w:sz w:val="18"/>
                <w:szCs w:val="18"/>
                <w:color w:val="auto"/>
              </w:rPr>
            </w:pPr>
          </w:p>
        </w:tc>
      </w:tr>
      <w:tr>
        <w:trPr>
          <w:trHeight w:val="229"/>
        </w:trPr>
        <w:tc>
          <w:tcPr>
            <w:tcW w:w="5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EFFECT OF EXCHANGE RATE CHANGES ON CASH AND</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2F3F2"/>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r>
      <w:tr>
        <w:trPr>
          <w:trHeight w:val="238"/>
        </w:trPr>
        <w:tc>
          <w:tcPr>
            <w:tcW w:w="5540" w:type="dxa"/>
            <w:vAlign w:val="bottom"/>
            <w:shd w:val="clear" w:color="auto" w:fill="C2F3F2"/>
          </w:tcPr>
          <w:p>
            <w:pPr>
              <w:ind w:left="46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spacing w:after="0"/>
              <w:rPr>
                <w:sz w:val="20"/>
                <w:szCs w:val="20"/>
                <w:color w:val="auto"/>
              </w:rPr>
            </w:pPr>
          </w:p>
        </w:tc>
      </w:tr>
      <w:tr>
        <w:trPr>
          <w:trHeight w:val="229"/>
        </w:trPr>
        <w:tc>
          <w:tcPr>
            <w:tcW w:w="5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(4,523)</w:t>
            </w:r>
          </w:p>
        </w:tc>
        <w:tc>
          <w:tcPr>
            <w:tcW w:w="220" w:type="dxa"/>
            <w:vAlign w:val="bottom"/>
            <w:tcBorders>
              <w:bottom w:val="single" w:sz="8" w:color="C2F3F2"/>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4,571</w:t>
            </w:r>
          </w:p>
        </w:tc>
      </w:tr>
      <w:tr>
        <w:trPr>
          <w:trHeight w:val="238"/>
        </w:trPr>
        <w:tc>
          <w:tcPr>
            <w:tcW w:w="5540" w:type="dxa"/>
            <w:vAlign w:val="bottom"/>
            <w:shd w:val="clear" w:color="auto" w:fill="C2F3F2"/>
          </w:tcPr>
          <w:p>
            <w:pPr>
              <w:spacing w:after="0"/>
              <w:rPr>
                <w:sz w:val="20"/>
                <w:szCs w:val="20"/>
                <w:color w:val="auto"/>
              </w:rPr>
            </w:pP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spacing w:after="0"/>
              <w:rPr>
                <w:sz w:val="20"/>
                <w:szCs w:val="20"/>
                <w:color w:val="auto"/>
              </w:rPr>
            </w:pPr>
          </w:p>
        </w:tc>
      </w:tr>
      <w:tr>
        <w:trPr>
          <w:trHeight w:val="229"/>
        </w:trPr>
        <w:tc>
          <w:tcPr>
            <w:tcW w:w="55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Beginning</w:t>
            </w:r>
          </w:p>
        </w:tc>
        <w:tc>
          <w:tcPr>
            <w:tcW w:w="320" w:type="dxa"/>
            <w:vAlign w:val="bottom"/>
            <w:tcBorders>
              <w:bottom w:val="single" w:sz="8" w:color="auto"/>
            </w:tcBorders>
            <w:shd w:val="clear" w:color="auto" w:fill="C2F3F2"/>
          </w:tcPr>
          <w:p>
            <w:pPr>
              <w:spacing w:after="0"/>
              <w:rPr>
                <w:sz w:val="20"/>
                <w:szCs w:val="20"/>
                <w:color w:val="auto"/>
              </w:rPr>
            </w:pPr>
          </w:p>
        </w:tc>
        <w:tc>
          <w:tcPr>
            <w:tcW w:w="13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9,325</w:t>
            </w:r>
          </w:p>
        </w:tc>
        <w:tc>
          <w:tcPr>
            <w:tcW w:w="220" w:type="dxa"/>
            <w:vAlign w:val="bottom"/>
            <w:shd w:val="clear" w:color="auto" w:fill="C2F3F2"/>
          </w:tcPr>
          <w:p>
            <w:pPr>
              <w:spacing w:after="0"/>
              <w:rPr>
                <w:sz w:val="20"/>
                <w:szCs w:val="20"/>
                <w:color w:val="auto"/>
              </w:rPr>
            </w:pPr>
          </w:p>
        </w:tc>
        <w:tc>
          <w:tcPr>
            <w:tcW w:w="360" w:type="dxa"/>
            <w:vAlign w:val="bottom"/>
            <w:tcBorders>
              <w:bottom w:val="single" w:sz="8" w:color="auto"/>
            </w:tcBorders>
            <w:shd w:val="clear" w:color="auto" w:fill="C2F3F2"/>
          </w:tcPr>
          <w:p>
            <w:pPr>
              <w:spacing w:after="0"/>
              <w:rPr>
                <w:sz w:val="20"/>
                <w:szCs w:val="20"/>
                <w:color w:val="auto"/>
              </w:rPr>
            </w:pP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2,590</w:t>
            </w:r>
          </w:p>
        </w:tc>
      </w:tr>
      <w:tr>
        <w:trPr>
          <w:trHeight w:val="250"/>
        </w:trPr>
        <w:tc>
          <w:tcPr>
            <w:tcW w:w="5540" w:type="dxa"/>
            <w:vAlign w:val="bottom"/>
            <w:tcBorders>
              <w:bottom w:val="single" w:sz="8" w:color="C2F3F2"/>
            </w:tcBorders>
          </w:tcPr>
          <w:p>
            <w:pPr>
              <w:ind w:left="800"/>
              <w:spacing w:after="0"/>
              <w:rPr>
                <w:sz w:val="20"/>
                <w:szCs w:val="20"/>
                <w:color w:val="auto"/>
              </w:rPr>
            </w:pPr>
            <w:r>
              <w:rPr>
                <w:rFonts w:ascii="Arial" w:cs="Arial" w:eastAsia="Arial" w:hAnsi="Arial"/>
                <w:sz w:val="18"/>
                <w:szCs w:val="18"/>
                <w:color w:val="auto"/>
              </w:rPr>
              <w:t>Ending</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4,802</w:t>
            </w:r>
          </w:p>
        </w:tc>
        <w:tc>
          <w:tcPr>
            <w:tcW w:w="220" w:type="dxa"/>
            <w:vAlign w:val="bottom"/>
            <w:tcBorders>
              <w:bottom w:val="single" w:sz="8" w:color="C2F3F2"/>
            </w:tcBorders>
          </w:tcPr>
          <w:p>
            <w:pPr>
              <w:spacing w:after="0"/>
              <w:rPr>
                <w:sz w:val="21"/>
                <w:szCs w:val="21"/>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7,161</w:t>
            </w:r>
          </w:p>
        </w:tc>
      </w:tr>
      <w:tr>
        <w:trPr>
          <w:trHeight w:val="183"/>
        </w:trPr>
        <w:tc>
          <w:tcPr>
            <w:tcW w:w="5540" w:type="dxa"/>
            <w:vAlign w:val="bottom"/>
            <w:shd w:val="clear" w:color="auto" w:fill="C2F3F2"/>
          </w:tcPr>
          <w:p>
            <w:pPr>
              <w:spacing w:after="0"/>
              <w:rPr>
                <w:sz w:val="15"/>
                <w:szCs w:val="15"/>
                <w:color w:val="auto"/>
              </w:rPr>
            </w:pPr>
          </w:p>
        </w:tc>
        <w:tc>
          <w:tcPr>
            <w:tcW w:w="320" w:type="dxa"/>
            <w:vAlign w:val="bottom"/>
            <w:shd w:val="clear" w:color="auto" w:fill="C2F3F2"/>
          </w:tcPr>
          <w:p>
            <w:pPr>
              <w:spacing w:after="0"/>
              <w:rPr>
                <w:sz w:val="15"/>
                <w:szCs w:val="15"/>
                <w:color w:val="auto"/>
              </w:rPr>
            </w:pPr>
          </w:p>
        </w:tc>
        <w:tc>
          <w:tcPr>
            <w:tcW w:w="1340" w:type="dxa"/>
            <w:vAlign w:val="bottom"/>
            <w:shd w:val="clear" w:color="auto" w:fill="C2F3F2"/>
          </w:tcPr>
          <w:p>
            <w:pPr>
              <w:spacing w:after="0"/>
              <w:rPr>
                <w:sz w:val="15"/>
                <w:szCs w:val="15"/>
                <w:color w:val="auto"/>
              </w:rPr>
            </w:pPr>
          </w:p>
        </w:tc>
        <w:tc>
          <w:tcPr>
            <w:tcW w:w="220" w:type="dxa"/>
            <w:vAlign w:val="bottom"/>
            <w:shd w:val="clear" w:color="auto" w:fill="C2F3F2"/>
          </w:tcPr>
          <w:p>
            <w:pPr>
              <w:spacing w:after="0"/>
              <w:rPr>
                <w:sz w:val="15"/>
                <w:szCs w:val="15"/>
                <w:color w:val="auto"/>
              </w:rPr>
            </w:pPr>
          </w:p>
        </w:tc>
        <w:tc>
          <w:tcPr>
            <w:tcW w:w="360" w:type="dxa"/>
            <w:vAlign w:val="bottom"/>
            <w:shd w:val="clear" w:color="auto" w:fill="C2F3F2"/>
          </w:tcPr>
          <w:p>
            <w:pPr>
              <w:spacing w:after="0"/>
              <w:rPr>
                <w:sz w:val="15"/>
                <w:szCs w:val="15"/>
                <w:color w:val="auto"/>
              </w:rPr>
            </w:pPr>
          </w:p>
        </w:tc>
        <w:tc>
          <w:tcPr>
            <w:tcW w:w="1320" w:type="dxa"/>
            <w:vAlign w:val="bottom"/>
            <w:shd w:val="clear" w:color="auto" w:fill="C2F3F2"/>
          </w:tcPr>
          <w:p>
            <w:pPr>
              <w:spacing w:after="0"/>
              <w:rPr>
                <w:sz w:val="15"/>
                <w:szCs w:val="15"/>
                <w:color w:val="auto"/>
              </w:rPr>
            </w:pPr>
          </w:p>
        </w:tc>
      </w:tr>
      <w:tr>
        <w:trPr>
          <w:trHeight w:val="229"/>
        </w:trPr>
        <w:tc>
          <w:tcPr>
            <w:tcW w:w="5540" w:type="dxa"/>
            <w:vAlign w:val="bottom"/>
          </w:tcPr>
          <w:p>
            <w:pPr>
              <w:ind w:left="10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5540" w:type="dxa"/>
            <w:vAlign w:val="bottom"/>
            <w:shd w:val="clear" w:color="auto" w:fill="C2F3F2"/>
          </w:tcPr>
          <w:p>
            <w:pPr>
              <w:ind w:left="460"/>
              <w:spacing w:after="0"/>
              <w:rPr>
                <w:sz w:val="20"/>
                <w:szCs w:val="20"/>
                <w:color w:val="auto"/>
              </w:rPr>
            </w:pPr>
            <w:r>
              <w:rPr>
                <w:rFonts w:ascii="Arial" w:cs="Arial" w:eastAsia="Arial" w:hAnsi="Arial"/>
                <w:sz w:val="18"/>
                <w:szCs w:val="18"/>
                <w:color w:val="auto"/>
              </w:rPr>
              <w:t>Cash payments for:</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spacing w:after="0"/>
              <w:rPr>
                <w:sz w:val="20"/>
                <w:szCs w:val="20"/>
                <w:color w:val="auto"/>
              </w:rPr>
            </w:pPr>
          </w:p>
        </w:tc>
      </w:tr>
      <w:tr>
        <w:trPr>
          <w:trHeight w:val="229"/>
        </w:trPr>
        <w:tc>
          <w:tcPr>
            <w:tcW w:w="5540" w:type="dxa"/>
            <w:vAlign w:val="bottom"/>
          </w:tcPr>
          <w:p>
            <w:pPr>
              <w:ind w:left="80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31"/>
        </w:trPr>
        <w:tc>
          <w:tcPr>
            <w:tcW w:w="5540" w:type="dxa"/>
            <w:vAlign w:val="bottom"/>
            <w:shd w:val="clear" w:color="auto" w:fill="C2F3F2"/>
          </w:tcPr>
          <w:p>
            <w:pPr>
              <w:ind w:left="800"/>
              <w:spacing w:after="0"/>
              <w:rPr>
                <w:sz w:val="20"/>
                <w:szCs w:val="20"/>
                <w:color w:val="auto"/>
              </w:rPr>
            </w:pPr>
            <w:r>
              <w:rPr>
                <w:rFonts w:ascii="Arial" w:cs="Arial" w:eastAsia="Arial" w:hAnsi="Arial"/>
                <w:sz w:val="18"/>
                <w:szCs w:val="18"/>
                <w:color w:val="auto"/>
              </w:rPr>
              <w:t>Income taxes, net of refunds</w:t>
            </w:r>
          </w:p>
        </w:tc>
        <w:tc>
          <w:tcPr>
            <w:tcW w:w="320" w:type="dxa"/>
            <w:vAlign w:val="bottom"/>
            <w:shd w:val="clear" w:color="auto" w:fill="C2F3F2"/>
          </w:tcPr>
          <w:p>
            <w:pPr>
              <w:spacing w:after="0"/>
              <w:rPr>
                <w:sz w:val="20"/>
                <w:szCs w:val="20"/>
                <w:color w:val="auto"/>
              </w:rPr>
            </w:pP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2F3F2"/>
          </w:tcPr>
          <w:p>
            <w:pPr>
              <w:spacing w:after="0"/>
              <w:rPr>
                <w:sz w:val="20"/>
                <w:szCs w:val="20"/>
                <w:color w:val="auto"/>
              </w:rPr>
            </w:pP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632</w:t>
            </w:r>
          </w:p>
        </w:tc>
      </w:tr>
    </w:tbl>
    <w:p>
      <w:pPr>
        <w:spacing w:after="0" w:line="20" w:lineRule="exact"/>
        <w:rPr>
          <w:sz w:val="20"/>
          <w:szCs w:val="20"/>
          <w:color w:val="auto"/>
        </w:rPr>
      </w:pPr>
    </w:p>
    <w:p>
      <w:pPr>
        <w:sectPr>
          <w:pgSz w:w="11900" w:h="16838" w:orient="portrait"/>
          <w:cols w:equalWidth="0" w:num="1">
            <w:col w:w="10219"/>
          </w:cols>
          <w:pgMar w:left="240" w:top="140" w:right="1440" w:bottom="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0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800" w:type="dxa"/>
            <w:vAlign w:val="bottom"/>
          </w:tcPr>
          <w:p>
            <w:pPr>
              <w:ind w:left="360"/>
              <w:spacing w:after="0"/>
              <w:rPr>
                <w:sz w:val="20"/>
                <w:szCs w:val="20"/>
                <w:color w:val="auto"/>
              </w:rPr>
            </w:pPr>
            <w:r>
              <w:rPr>
                <w:rFonts w:ascii="Arial" w:cs="Arial" w:eastAsia="Arial" w:hAnsi="Arial"/>
                <w:sz w:val="18"/>
                <w:szCs w:val="18"/>
                <w:color w:val="auto"/>
              </w:rPr>
              <w:t>Demonstration equipment transferred to (from) inventory</w:t>
            </w:r>
          </w:p>
        </w:tc>
        <w:tc>
          <w:tcPr>
            <w:tcW w:w="2020" w:type="dxa"/>
            <w:vAlign w:val="bottom"/>
          </w:tcPr>
          <w:p>
            <w:pPr>
              <w:jc w:val="right"/>
              <w:ind w:right="732"/>
              <w:spacing w:after="0"/>
              <w:rPr>
                <w:sz w:val="20"/>
                <w:szCs w:val="20"/>
                <w:color w:val="auto"/>
              </w:rPr>
            </w:pPr>
            <w:r>
              <w:rPr>
                <w:rFonts w:ascii="Arial" w:cs="Arial" w:eastAsia="Arial" w:hAnsi="Arial"/>
                <w:sz w:val="18"/>
                <w:szCs w:val="18"/>
                <w:color w:val="auto"/>
              </w:rPr>
              <w:t>817</w:t>
            </w: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77151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1515" cy="137160"/>
                    </a:xfrm>
                    <a:prstGeom prst="rect">
                      <a:avLst/>
                    </a:prstGeom>
                    <a:noFill/>
                  </pic:spPr>
                </pic:pic>
              </a:graphicData>
            </a:graphic>
          </wp:anchor>
        </w:drawing>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p>
      <w:pPr>
        <w:jc w:val="both"/>
        <w:ind w:right="2099"/>
        <w:spacing w:after="0" w:line="293" w:lineRule="auto"/>
        <w:rPr>
          <w:sz w:val="20"/>
          <w:szCs w:val="20"/>
          <w:color w:val="auto"/>
        </w:rPr>
      </w:pPr>
      <w:r>
        <w:rPr>
          <w:rFonts w:ascii="Arial" w:cs="Arial" w:eastAsia="Arial" w:hAnsi="Arial"/>
          <w:sz w:val="16"/>
          <w:szCs w:val="16"/>
          <w:b w:val="1"/>
          <w:bCs w:val="1"/>
          <w:color w:val="auto"/>
        </w:rPr>
        <w:t xml:space="preserve">Note 1. Basis of Presentation </w:t>
      </w:r>
      <w:r>
        <w:rPr>
          <w:rFonts w:ascii="Arial" w:cs="Arial" w:eastAsia="Arial" w:hAnsi="Arial"/>
          <w:sz w:val="16"/>
          <w:szCs w:val="16"/>
          <w:color w:val="auto"/>
        </w:rPr>
        <w:t>In the opinion of management, the accompanying unaudited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98"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26, 2008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April 26, 2008,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0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and Daktronics FZE. Intercompany balances and transactions have been eliminated in consolidation.</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Investments in affiliates are accounted for by the equity method. We have evaluated our relationships with affiliates and have determined that these entities are not variable interest entities and therefore are not required to be considered for consolidation in our consolidated financial statements. Accordingly, our proportional share of the respective affiliate’s earnings or losses is included in other income (expense) in our consolidated statement of income.</w:t>
      </w:r>
    </w:p>
    <w:p>
      <w:pPr>
        <w:spacing w:after="0" w:line="25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 contracts”), estimated costs to be incurred for product warranties, excess and obsolete inventory, the reserve for doubtful accounts, stock-based compensation and income taxes. Changes in estimates are reflected in the periods in which they become known.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deposits to secure bank guarantees issued by our Chinese subsidiary.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 xml:space="preserve">In February 2007, the Financial Accounting Standards Board (“FASB”) issued Statement of Financial Accounting Standards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We did not elect the fair value option for any financial assets or liabilities.</w:t>
      </w:r>
    </w:p>
    <w:p>
      <w:pPr>
        <w:spacing w:after="0" w:line="229" w:lineRule="exact"/>
        <w:rPr>
          <w:sz w:val="20"/>
          <w:szCs w:val="20"/>
          <w:color w:val="auto"/>
        </w:rPr>
      </w:pPr>
    </w:p>
    <w:p>
      <w:pPr>
        <w:jc w:val="both"/>
        <w:ind w:right="2099"/>
        <w:spacing w:after="0" w:line="367"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w:t>
      </w:r>
    </w:p>
    <w:p>
      <w:pPr>
        <w:sectPr>
          <w:pgSz w:w="11900" w:h="16838" w:orient="portrait"/>
          <w:cols w:equalWidth="0" w:num="1">
            <w:col w:w="10219"/>
          </w:cols>
          <w:pgMar w:left="240" w:top="131" w:right="1440" w:bottom="0" w:gutter="0" w:footer="0" w:header="0"/>
        </w:sectPr>
      </w:pPr>
    </w:p>
    <w:bookmarkStart w:id="6" w:name="page7"/>
    <w:bookmarkEnd w:id="6"/>
    <w:p>
      <w:pPr>
        <w:jc w:val="both"/>
        <w:ind w:right="2119"/>
        <w:spacing w:after="0" w:line="282" w:lineRule="auto"/>
        <w:rPr>
          <w:sz w:val="20"/>
          <w:szCs w:val="20"/>
          <w:color w:val="auto"/>
        </w:rPr>
      </w:pPr>
      <w:r>
        <w:rPr>
          <w:rFonts w:ascii="Arial" w:cs="Arial" w:eastAsia="Arial" w:hAnsi="Arial"/>
          <w:sz w:val="16"/>
          <w:szCs w:val="16"/>
          <w:color w:val="auto"/>
        </w:rPr>
        <w:t>and measuring identifiable assets and goodwill acquired, liabilities assumed, and any noncontrolling interest in the acquiree. Some of the revised guidance of SFAS No. 141(R)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SFAS No. 141(R) is effective for fiscal years beginning on or after December 15, 2008 and will be applied prospectively to business combinations that are consummated after adoption of SFAS No. 141(R). This standard will change our accounting treatment for business combinations on a prospective basis, when adopted.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51708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p>
    <w:p>
      <w:pPr>
        <w:spacing w:after="0" w:line="5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(“SFAS No. 160”). SFAS No. 160 establishes new standards that will govern the accounting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As of August 2, 2008, we do not have any partially owned consolidated subsidiaries and, therefore, we do not expect an impact related to the adoption of this accounting standard.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5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 an amendment of FASB Statement No. 133 </w:t>
      </w:r>
      <w:r>
        <w:rPr>
          <w:rFonts w:ascii="Arial" w:cs="Arial" w:eastAsia="Arial" w:hAnsi="Arial"/>
          <w:sz w:val="16"/>
          <w:szCs w:val="16"/>
          <w:color w:val="auto"/>
        </w:rPr>
        <w:t>(“SFAS No. 161”), which changes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SFAS No. 161 is effective for fiscal years beginning after November 15, 2008. This standard will change our disclosures of any future derivative instruments and hedging activities on a prospective basis, when adopted.</w:t>
      </w:r>
    </w:p>
    <w:p>
      <w:pPr>
        <w:spacing w:after="0" w:line="226"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SFAS No. 162 establishes the GAAP hierarchy and identifies the sources of accounting principles and the framework for selecting the principles used in the preparation of financial statements. SFAS No. 162 is effective 60 days following the Securities and Exchange Commission’s approval of the Public Accounting Oversight Board amendments to AU Section 411, </w:t>
      </w:r>
      <w:r>
        <w:rPr>
          <w:rFonts w:ascii="Arial" w:cs="Arial" w:eastAsia="Arial" w:hAnsi="Arial"/>
          <w:sz w:val="16"/>
          <w:szCs w:val="16"/>
          <w:i w:val="1"/>
          <w:iCs w:val="1"/>
          <w:color w:val="auto"/>
        </w:rPr>
        <w:t>The Meaning of Present Fairly in Conformity with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We have not yet determined the impact, if any, that implementation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162 will have on our consolidated financial statements.</w:t>
      </w:r>
    </w:p>
    <w:p>
      <w:pPr>
        <w:spacing w:after="0" w:line="221" w:lineRule="exact"/>
        <w:rPr>
          <w:sz w:val="20"/>
          <w:szCs w:val="20"/>
          <w:color w:val="auto"/>
        </w:rPr>
      </w:pPr>
    </w:p>
    <w:p>
      <w:pPr>
        <w:jc w:val="both"/>
        <w:ind w:right="2119"/>
        <w:spacing w:after="0" w:line="260" w:lineRule="auto"/>
        <w:rPr>
          <w:sz w:val="20"/>
          <w:szCs w:val="20"/>
          <w:color w:val="auto"/>
        </w:rPr>
      </w:pPr>
      <w:r>
        <w:rPr>
          <w:rFonts w:ascii="Arial" w:cs="Arial" w:eastAsia="Arial" w:hAnsi="Arial"/>
          <w:sz w:val="18"/>
          <w:szCs w:val="18"/>
          <w:color w:val="auto"/>
        </w:rPr>
        <w:t xml:space="preserve">In April 2008, the FASB issued FASB Staff Position (FSP) No. 142-3, </w:t>
      </w:r>
      <w:r>
        <w:rPr>
          <w:rFonts w:ascii="Arial" w:cs="Arial" w:eastAsia="Arial" w:hAnsi="Arial"/>
          <w:sz w:val="18"/>
          <w:szCs w:val="18"/>
          <w:i w:val="1"/>
          <w:iCs w:val="1"/>
          <w:color w:val="auto"/>
        </w:rPr>
        <w:t>Determination of the Useful Life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(“FSP No. 142-3”)</w:t>
      </w:r>
      <w:r>
        <w:rPr>
          <w:rFonts w:ascii="Arial" w:cs="Arial" w:eastAsia="Arial" w:hAnsi="Arial"/>
          <w:sz w:val="18"/>
          <w:szCs w:val="18"/>
          <w:i w:val="1"/>
          <w:iCs w:val="1"/>
          <w:color w:val="auto"/>
        </w:rPr>
        <w:t xml:space="preserve">. </w:t>
      </w:r>
      <w:r>
        <w:rPr>
          <w:rFonts w:ascii="Arial" w:cs="Arial" w:eastAsia="Arial" w:hAnsi="Arial"/>
          <w:sz w:val="18"/>
          <w:szCs w:val="18"/>
          <w:color w:val="auto"/>
        </w:rPr>
        <w:t>FSP No. 142-3 amends the factors that should be considered in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renewal or extension assumptions used to determine the useful life of a recognized intangible asset under SFAS No. 142, “Goodwill and Other Intangible Assets.” FSP No. 142-3 is effective for fiscal years beginning after December 15, 2008. We are currently assessing the impact of FSP No. 142-3 on our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8" w:lineRule="exact"/>
        <w:rPr>
          <w:sz w:val="20"/>
          <w:szCs w:val="20"/>
          <w:color w:val="auto"/>
        </w:rPr>
      </w:pPr>
    </w:p>
    <w:p>
      <w:pPr>
        <w:jc w:val="both"/>
        <w:ind w:right="2099"/>
        <w:spacing w:after="0" w:line="323" w:lineRule="auto"/>
        <w:rPr>
          <w:sz w:val="20"/>
          <w:szCs w:val="20"/>
          <w:color w:val="auto"/>
        </w:rPr>
      </w:pPr>
      <w:r>
        <w:rPr>
          <w:rFonts w:ascii="Arial" w:cs="Arial" w:eastAsia="Arial" w:hAnsi="Arial"/>
          <w:sz w:val="15"/>
          <w:szCs w:val="15"/>
          <w:i w:val="1"/>
          <w:iCs w:val="1"/>
          <w:color w:val="auto"/>
        </w:rPr>
        <w:t>Construction-type contracts</w:t>
      </w:r>
      <w:r>
        <w:rPr>
          <w:rFonts w:ascii="Arial" w:cs="Arial" w:eastAsia="Arial" w:hAnsi="Arial"/>
          <w:sz w:val="15"/>
          <w:szCs w:val="15"/>
          <w:color w:val="auto"/>
        </w:rPr>
        <w:t>: 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20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Equipment other than long-term contracts: </w:t>
      </w:r>
      <w:r>
        <w:rPr>
          <w:rFonts w:ascii="Arial" w:cs="Arial" w:eastAsia="Arial" w:hAnsi="Arial"/>
          <w:sz w:val="16"/>
          <w:szCs w:val="16"/>
          <w:color w:val="auto"/>
        </w:rPr>
        <w:t>We recognize revenue on equipment sales, other than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21" w:lineRule="exact"/>
        <w:rPr>
          <w:sz w:val="20"/>
          <w:szCs w:val="20"/>
          <w:color w:val="auto"/>
        </w:rPr>
      </w:pPr>
    </w:p>
    <w:p>
      <w:pPr>
        <w:ind w:right="2119" w:firstLine="26"/>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cost of advertising rights, net of amortization, was $3,277 as of August 2, 2008 and $3,457 as of April 26, 2008.</w:t>
      </w:r>
    </w:p>
    <w:p>
      <w:pPr>
        <w:sectPr>
          <w:pgSz w:w="11900" w:h="16838" w:orient="portrait"/>
          <w:cols w:equalWidth="0" w:num="1">
            <w:col w:w="10219"/>
          </w:cols>
          <w:pgMar w:left="240" w:top="131" w:right="1440" w:bottom="0" w:gutter="0" w:footer="0" w:header="0"/>
        </w:sectPr>
      </w:pPr>
    </w:p>
    <w:bookmarkStart w:id="7" w:name="page8"/>
    <w:bookmarkEnd w:id="7"/>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warranties and product maintenance contracts. The revenue related to such contracts is deferred and recognized ratably as net sales over the term of the contracts, which varies up to 10 years.</w:t>
      </w:r>
    </w:p>
    <w:p>
      <w:pPr>
        <w:spacing w:after="0" w:line="16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1708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226"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service and technical support for our equipment, are recognized as net sales when the services are performed. Net sales from services offerings which are not included in construction-type contracts approximated 4.3 % and 4.6 % of net sales for the three months ended August 2, 2008 and July 28, 2007, respectively.</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rates on those transactions that are denominated in currency other than our functional currency, which is the U.S. dollar. We enter into currency forward contracts to manage these economic risks.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by SFAS No. 137 and SFAS No.138,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derivatives outstanding as of August 2,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months ended August 2, 2008 and July 28, 2007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5"/>
              </w:rPr>
              <w:t>Per Share Amount</w:t>
            </w:r>
          </w:p>
        </w:tc>
      </w:tr>
      <w:tr>
        <w:trPr>
          <w:trHeight w:val="211"/>
        </w:trPr>
        <w:tc>
          <w:tcPr>
            <w:tcW w:w="4060" w:type="dxa"/>
            <w:vAlign w:val="bottom"/>
          </w:tcPr>
          <w:p>
            <w:pPr>
              <w:ind w:left="100"/>
              <w:spacing w:after="0"/>
              <w:rPr>
                <w:sz w:val="20"/>
                <w:szCs w:val="20"/>
                <w:color w:val="auto"/>
              </w:rPr>
            </w:pPr>
            <w:r>
              <w:rPr>
                <w:rFonts w:ascii="Arial" w:cs="Arial" w:eastAsia="Arial" w:hAnsi="Arial"/>
                <w:sz w:val="18"/>
                <w:szCs w:val="18"/>
                <w:color w:val="auto"/>
              </w:rPr>
              <w:t>For the three months ended August 2, 2008:</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1"/>
        </w:trPr>
        <w:tc>
          <w:tcPr>
            <w:tcW w:w="4060" w:type="dxa"/>
            <w:vAlign w:val="bottom"/>
            <w:shd w:val="clear" w:color="auto" w:fill="C2F3F2"/>
          </w:tcPr>
          <w:p>
            <w:pPr>
              <w:ind w:left="80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9,727</w:t>
            </w:r>
          </w:p>
        </w:tc>
        <w:tc>
          <w:tcPr>
            <w:tcW w:w="220" w:type="dxa"/>
            <w:vAlign w:val="bottom"/>
            <w:shd w:val="clear" w:color="auto" w:fill="C2F3F2"/>
          </w:tcPr>
          <w:p>
            <w:pPr>
              <w:spacing w:after="0"/>
              <w:rPr>
                <w:sz w:val="20"/>
                <w:szCs w:val="20"/>
                <w:color w:val="auto"/>
              </w:rPr>
            </w:pP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40,388</w:t>
            </w:r>
          </w:p>
        </w:tc>
        <w:tc>
          <w:tcPr>
            <w:tcW w:w="220" w:type="dxa"/>
            <w:vAlign w:val="bottom"/>
            <w:shd w:val="clear" w:color="auto" w:fill="C2F3F2"/>
          </w:tcPr>
          <w:p>
            <w:pPr>
              <w:spacing w:after="0"/>
              <w:rPr>
                <w:sz w:val="20"/>
                <w:szCs w:val="20"/>
                <w:color w:val="auto"/>
              </w:rPr>
            </w:pPr>
          </w:p>
        </w:tc>
        <w:tc>
          <w:tcPr>
            <w:tcW w:w="680" w:type="dxa"/>
            <w:vAlign w:val="bottom"/>
            <w:shd w:val="clear" w:color="auto" w:fill="C2F3F2"/>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0.24</w:t>
            </w:r>
          </w:p>
        </w:tc>
      </w:tr>
      <w:tr>
        <w:trPr>
          <w:trHeight w:val="229"/>
        </w:trPr>
        <w:tc>
          <w:tcPr>
            <w:tcW w:w="4060" w:type="dxa"/>
            <w:vAlign w:val="bottom"/>
          </w:tcPr>
          <w:p>
            <w:pPr>
              <w:ind w:left="8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60" w:type="dxa"/>
            <w:vAlign w:val="bottom"/>
            <w:shd w:val="clear" w:color="auto" w:fill="C2F3F2"/>
          </w:tcPr>
          <w:p>
            <w:pPr>
              <w:ind w:left="1020"/>
              <w:spacing w:after="0"/>
              <w:rPr>
                <w:sz w:val="20"/>
                <w:szCs w:val="20"/>
                <w:color w:val="auto"/>
              </w:rPr>
            </w:pPr>
            <w:r>
              <w:rPr>
                <w:rFonts w:ascii="Arial" w:cs="Arial" w:eastAsia="Arial" w:hAnsi="Arial"/>
                <w:sz w:val="18"/>
                <w:szCs w:val="18"/>
                <w:color w:val="auto"/>
              </w:rPr>
              <w:t>Exercise of outstanding stock options</w:t>
            </w:r>
          </w:p>
        </w:tc>
        <w:tc>
          <w:tcPr>
            <w:tcW w:w="200" w:type="dxa"/>
            <w:vAlign w:val="bottom"/>
            <w:tcBorders>
              <w:bottom w:val="single" w:sz="8" w:color="auto"/>
            </w:tcBorders>
            <w:shd w:val="clear" w:color="auto" w:fill="C2F3F2"/>
          </w:tcPr>
          <w:p>
            <w:pPr>
              <w:spacing w:after="0"/>
              <w:rPr>
                <w:sz w:val="19"/>
                <w:szCs w:val="19"/>
                <w:color w:val="auto"/>
              </w:rPr>
            </w:pP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2F3F2"/>
          </w:tcPr>
          <w:p>
            <w:pPr>
              <w:spacing w:after="0"/>
              <w:rPr>
                <w:sz w:val="19"/>
                <w:szCs w:val="19"/>
                <w:color w:val="auto"/>
              </w:rPr>
            </w:pPr>
          </w:p>
        </w:tc>
        <w:tc>
          <w:tcPr>
            <w:tcW w:w="10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2F3F2"/>
          </w:tcPr>
          <w:p>
            <w:pPr>
              <w:spacing w:after="0"/>
              <w:rPr>
                <w:sz w:val="19"/>
                <w:szCs w:val="19"/>
                <w:color w:val="auto"/>
              </w:rPr>
            </w:pPr>
          </w:p>
        </w:tc>
        <w:tc>
          <w:tcPr>
            <w:tcW w:w="680" w:type="dxa"/>
            <w:vAlign w:val="bottom"/>
            <w:tcBorders>
              <w:bottom w:val="single" w:sz="8" w:color="auto"/>
            </w:tcBorders>
            <w:shd w:val="clear" w:color="auto" w:fill="C2F3F2"/>
          </w:tcPr>
          <w:p>
            <w:pPr>
              <w:spacing w:after="0"/>
              <w:rPr>
                <w:sz w:val="19"/>
                <w:szCs w:val="19"/>
                <w:color w:val="auto"/>
              </w:rPr>
            </w:pPr>
          </w:p>
        </w:tc>
        <w:tc>
          <w:tcPr>
            <w:tcW w:w="9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r>
      <w:tr>
        <w:trPr>
          <w:trHeight w:val="278"/>
        </w:trPr>
        <w:tc>
          <w:tcPr>
            <w:tcW w:w="4060" w:type="dxa"/>
            <w:vAlign w:val="bottom"/>
            <w:tcBorders>
              <w:bottom w:val="single" w:sz="8" w:color="C2F3F2"/>
            </w:tcBorders>
          </w:tcPr>
          <w:p>
            <w:pPr>
              <w:ind w:left="80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9,727</w:t>
            </w:r>
          </w:p>
        </w:tc>
        <w:tc>
          <w:tcPr>
            <w:tcW w:w="220" w:type="dxa"/>
            <w:vAlign w:val="bottom"/>
            <w:tcBorders>
              <w:bottom w:val="single" w:sz="8" w:color="C2F3F2"/>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41,323</w:t>
            </w:r>
          </w:p>
        </w:tc>
        <w:tc>
          <w:tcPr>
            <w:tcW w:w="220" w:type="dxa"/>
            <w:vAlign w:val="bottom"/>
            <w:tcBorders>
              <w:bottom w:val="single" w:sz="8" w:color="C2F3F2"/>
            </w:tcBorders>
          </w:tcPr>
          <w:p>
            <w:pPr>
              <w:spacing w:after="0"/>
              <w:rPr>
                <w:sz w:val="24"/>
                <w:szCs w:val="24"/>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r>
      <w:tr>
        <w:trPr>
          <w:trHeight w:val="183"/>
        </w:trPr>
        <w:tc>
          <w:tcPr>
            <w:tcW w:w="4060" w:type="dxa"/>
            <w:vAlign w:val="bottom"/>
            <w:shd w:val="clear" w:color="auto" w:fill="C2F3F2"/>
          </w:tcPr>
          <w:p>
            <w:pPr>
              <w:spacing w:after="0"/>
              <w:rPr>
                <w:sz w:val="15"/>
                <w:szCs w:val="15"/>
                <w:color w:val="auto"/>
              </w:rPr>
            </w:pPr>
          </w:p>
        </w:tc>
        <w:tc>
          <w:tcPr>
            <w:tcW w:w="200" w:type="dxa"/>
            <w:vAlign w:val="bottom"/>
            <w:shd w:val="clear" w:color="auto" w:fill="C2F3F2"/>
          </w:tcPr>
          <w:p>
            <w:pPr>
              <w:spacing w:after="0"/>
              <w:rPr>
                <w:sz w:val="15"/>
                <w:szCs w:val="15"/>
                <w:color w:val="auto"/>
              </w:rPr>
            </w:pPr>
          </w:p>
        </w:tc>
        <w:tc>
          <w:tcPr>
            <w:tcW w:w="1100" w:type="dxa"/>
            <w:vAlign w:val="bottom"/>
            <w:shd w:val="clear" w:color="auto" w:fill="C2F3F2"/>
          </w:tcPr>
          <w:p>
            <w:pPr>
              <w:spacing w:after="0"/>
              <w:rPr>
                <w:sz w:val="15"/>
                <w:szCs w:val="15"/>
                <w:color w:val="auto"/>
              </w:rPr>
            </w:pPr>
          </w:p>
        </w:tc>
        <w:tc>
          <w:tcPr>
            <w:tcW w:w="220" w:type="dxa"/>
            <w:vAlign w:val="bottom"/>
            <w:shd w:val="clear" w:color="auto" w:fill="C2F3F2"/>
          </w:tcPr>
          <w:p>
            <w:pPr>
              <w:spacing w:after="0"/>
              <w:rPr>
                <w:sz w:val="15"/>
                <w:szCs w:val="15"/>
                <w:color w:val="auto"/>
              </w:rPr>
            </w:pPr>
          </w:p>
        </w:tc>
        <w:tc>
          <w:tcPr>
            <w:tcW w:w="1000" w:type="dxa"/>
            <w:vAlign w:val="bottom"/>
            <w:shd w:val="clear" w:color="auto" w:fill="C2F3F2"/>
          </w:tcPr>
          <w:p>
            <w:pPr>
              <w:spacing w:after="0"/>
              <w:rPr>
                <w:sz w:val="15"/>
                <w:szCs w:val="15"/>
                <w:color w:val="auto"/>
              </w:rPr>
            </w:pPr>
          </w:p>
        </w:tc>
        <w:tc>
          <w:tcPr>
            <w:tcW w:w="220" w:type="dxa"/>
            <w:vAlign w:val="bottom"/>
            <w:shd w:val="clear" w:color="auto" w:fill="C2F3F2"/>
          </w:tcPr>
          <w:p>
            <w:pPr>
              <w:spacing w:after="0"/>
              <w:rPr>
                <w:sz w:val="15"/>
                <w:szCs w:val="15"/>
                <w:color w:val="auto"/>
              </w:rPr>
            </w:pPr>
          </w:p>
        </w:tc>
        <w:tc>
          <w:tcPr>
            <w:tcW w:w="680" w:type="dxa"/>
            <w:vAlign w:val="bottom"/>
            <w:shd w:val="clear" w:color="auto" w:fill="C2F3F2"/>
          </w:tcPr>
          <w:p>
            <w:pPr>
              <w:spacing w:after="0"/>
              <w:rPr>
                <w:sz w:val="15"/>
                <w:szCs w:val="15"/>
                <w:color w:val="auto"/>
              </w:rPr>
            </w:pPr>
          </w:p>
        </w:tc>
        <w:tc>
          <w:tcPr>
            <w:tcW w:w="940" w:type="dxa"/>
            <w:vAlign w:val="bottom"/>
            <w:shd w:val="clear" w:color="auto" w:fill="C2F3F2"/>
          </w:tcPr>
          <w:p>
            <w:pPr>
              <w:spacing w:after="0"/>
              <w:rPr>
                <w:sz w:val="15"/>
                <w:szCs w:val="15"/>
                <w:color w:val="auto"/>
              </w:rPr>
            </w:pPr>
          </w:p>
        </w:tc>
      </w:tr>
      <w:tr>
        <w:trPr>
          <w:trHeight w:val="229"/>
        </w:trPr>
        <w:tc>
          <w:tcPr>
            <w:tcW w:w="4060" w:type="dxa"/>
            <w:vAlign w:val="bottom"/>
          </w:tcPr>
          <w:p>
            <w:pPr>
              <w:ind w:left="100"/>
              <w:spacing w:after="0"/>
              <w:rPr>
                <w:sz w:val="20"/>
                <w:szCs w:val="20"/>
                <w:color w:val="auto"/>
              </w:rPr>
            </w:pPr>
            <w:r>
              <w:rPr>
                <w:rFonts w:ascii="Arial" w:cs="Arial" w:eastAsia="Arial" w:hAnsi="Arial"/>
                <w:sz w:val="18"/>
                <w:szCs w:val="18"/>
                <w:color w:val="auto"/>
              </w:rPr>
              <w:t>For the three months ended July 28, 2007:</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1"/>
        </w:trPr>
        <w:tc>
          <w:tcPr>
            <w:tcW w:w="4060" w:type="dxa"/>
            <w:vAlign w:val="bottom"/>
            <w:shd w:val="clear" w:color="auto" w:fill="C2F3F2"/>
          </w:tcPr>
          <w:p>
            <w:pPr>
              <w:ind w:left="80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7,111</w:t>
            </w:r>
          </w:p>
        </w:tc>
        <w:tc>
          <w:tcPr>
            <w:tcW w:w="220" w:type="dxa"/>
            <w:vAlign w:val="bottom"/>
            <w:shd w:val="clear" w:color="auto" w:fill="C2F3F2"/>
          </w:tcPr>
          <w:p>
            <w:pPr>
              <w:spacing w:after="0"/>
              <w:rPr>
                <w:sz w:val="20"/>
                <w:szCs w:val="20"/>
                <w:color w:val="auto"/>
              </w:rPr>
            </w:pP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39,638</w:t>
            </w:r>
          </w:p>
        </w:tc>
        <w:tc>
          <w:tcPr>
            <w:tcW w:w="220" w:type="dxa"/>
            <w:vAlign w:val="bottom"/>
            <w:shd w:val="clear" w:color="auto" w:fill="C2F3F2"/>
          </w:tcPr>
          <w:p>
            <w:pPr>
              <w:spacing w:after="0"/>
              <w:rPr>
                <w:sz w:val="20"/>
                <w:szCs w:val="20"/>
                <w:color w:val="auto"/>
              </w:rPr>
            </w:pPr>
          </w:p>
        </w:tc>
        <w:tc>
          <w:tcPr>
            <w:tcW w:w="680" w:type="dxa"/>
            <w:vAlign w:val="bottom"/>
            <w:shd w:val="clear" w:color="auto" w:fill="C2F3F2"/>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0.18</w:t>
            </w:r>
          </w:p>
        </w:tc>
      </w:tr>
      <w:tr>
        <w:trPr>
          <w:trHeight w:val="229"/>
        </w:trPr>
        <w:tc>
          <w:tcPr>
            <w:tcW w:w="4060" w:type="dxa"/>
            <w:vAlign w:val="bottom"/>
          </w:tcPr>
          <w:p>
            <w:pPr>
              <w:ind w:left="8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60" w:type="dxa"/>
            <w:vAlign w:val="bottom"/>
            <w:shd w:val="clear" w:color="auto" w:fill="C2F3F2"/>
          </w:tcPr>
          <w:p>
            <w:pPr>
              <w:ind w:left="1020"/>
              <w:spacing w:after="0"/>
              <w:rPr>
                <w:sz w:val="20"/>
                <w:szCs w:val="20"/>
                <w:color w:val="auto"/>
              </w:rPr>
            </w:pPr>
            <w:r>
              <w:rPr>
                <w:rFonts w:ascii="Arial" w:cs="Arial" w:eastAsia="Arial" w:hAnsi="Arial"/>
                <w:sz w:val="18"/>
                <w:szCs w:val="18"/>
                <w:color w:val="auto"/>
              </w:rPr>
              <w:t>Exercise of outstanding stock options</w:t>
            </w:r>
          </w:p>
        </w:tc>
        <w:tc>
          <w:tcPr>
            <w:tcW w:w="200" w:type="dxa"/>
            <w:vAlign w:val="bottom"/>
            <w:tcBorders>
              <w:bottom w:val="single" w:sz="8" w:color="auto"/>
            </w:tcBorders>
            <w:shd w:val="clear" w:color="auto" w:fill="C2F3F2"/>
          </w:tcPr>
          <w:p>
            <w:pPr>
              <w:spacing w:after="0"/>
              <w:rPr>
                <w:sz w:val="19"/>
                <w:szCs w:val="19"/>
                <w:color w:val="auto"/>
              </w:rPr>
            </w:pPr>
          </w:p>
        </w:tc>
        <w:tc>
          <w:tcPr>
            <w:tcW w:w="1100" w:type="dxa"/>
            <w:vAlign w:val="bottom"/>
            <w:tcBorders>
              <w:bottom w:val="single" w:sz="8" w:color="auto"/>
            </w:tcBorders>
            <w:shd w:val="clear" w:color="auto" w:fill="C2F3F2"/>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2F3F2"/>
          </w:tcPr>
          <w:p>
            <w:pPr>
              <w:spacing w:after="0"/>
              <w:rPr>
                <w:sz w:val="19"/>
                <w:szCs w:val="19"/>
                <w:color w:val="auto"/>
              </w:rPr>
            </w:pPr>
          </w:p>
        </w:tc>
        <w:tc>
          <w:tcPr>
            <w:tcW w:w="10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2F3F2"/>
          </w:tcPr>
          <w:p>
            <w:pPr>
              <w:spacing w:after="0"/>
              <w:rPr>
                <w:sz w:val="19"/>
                <w:szCs w:val="19"/>
                <w:color w:val="auto"/>
              </w:rPr>
            </w:pPr>
          </w:p>
        </w:tc>
        <w:tc>
          <w:tcPr>
            <w:tcW w:w="680" w:type="dxa"/>
            <w:vAlign w:val="bottom"/>
            <w:tcBorders>
              <w:bottom w:val="single" w:sz="8" w:color="auto"/>
            </w:tcBorders>
            <w:shd w:val="clear" w:color="auto" w:fill="C2F3F2"/>
          </w:tcPr>
          <w:p>
            <w:pPr>
              <w:spacing w:after="0"/>
              <w:rPr>
                <w:sz w:val="19"/>
                <w:szCs w:val="19"/>
                <w:color w:val="auto"/>
              </w:rPr>
            </w:pPr>
          </w:p>
        </w:tc>
        <w:tc>
          <w:tcPr>
            <w:tcW w:w="9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(0.01)</w:t>
            </w:r>
          </w:p>
        </w:tc>
      </w:tr>
      <w:tr>
        <w:trPr>
          <w:trHeight w:val="238"/>
        </w:trPr>
        <w:tc>
          <w:tcPr>
            <w:tcW w:w="4060" w:type="dxa"/>
            <w:vAlign w:val="bottom"/>
          </w:tcPr>
          <w:p>
            <w:pPr>
              <w:ind w:left="80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41,260</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0.17</w:t>
            </w: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ind w:left="392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401" w:right="1440" w:bottom="0" w:gutter="0" w:footer="0" w:header="0"/>
        </w:sectPr>
      </w:pPr>
    </w:p>
    <w:bookmarkStart w:id="8" w:name="page9"/>
    <w:bookmarkEnd w:id="8"/>
    <w:p>
      <w:pPr>
        <w:jc w:val="both"/>
        <w:ind w:right="2119"/>
        <w:spacing w:after="0" w:line="310" w:lineRule="auto"/>
        <w:rPr>
          <w:sz w:val="20"/>
          <w:szCs w:val="20"/>
          <w:color w:val="auto"/>
        </w:rPr>
      </w:pPr>
      <w:r>
        <w:rPr>
          <w:rFonts w:ascii="Arial" w:cs="Arial" w:eastAsia="Arial" w:hAnsi="Arial"/>
          <w:sz w:val="15"/>
          <w:szCs w:val="15"/>
          <w:color w:val="auto"/>
        </w:rPr>
        <w:t>Goodwill was $4,709 at August 2, 2008 and $4,722 at April 26, 2008. We performed an impairment analysis of goodwill as of October 27, 2007. The result of this analysis indicated that no goodwill impairment existed as of that date. As required by SFAS No. 142, intangibles with finite lives are amortized. Included in intangible assets are non-compete agreements, various patents and trademarks. The net value of intangible assets is included as a component of intangible and other assets in the accompanying consolidated balance sheets. Estimated amortization expense based on intangibles as of August 2, 2008 is $315 for each of fiscal years ending 2009 and 2010, $288 for fiscal 2011, $246 for fiscal 2012, $228 for fiscal 2013 and $780 thereafter. The following table sets forth the gross carrying amount and accumulated amortization of intangible assets by major intangible class as of August 2,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Gross Carrying</w:t>
            </w:r>
          </w:p>
        </w:tc>
        <w:tc>
          <w:tcPr>
            <w:tcW w:w="22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1"/>
        </w:trPr>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Net Value</w:t>
            </w:r>
          </w:p>
        </w:tc>
      </w:tr>
      <w:tr>
        <w:trPr>
          <w:trHeight w:val="211"/>
        </w:trPr>
        <w:tc>
          <w:tcPr>
            <w:tcW w:w="2140" w:type="dxa"/>
            <w:vAlign w:val="bottom"/>
            <w:tcBorders>
              <w:top w:val="single" w:sz="8" w:color="C2F3F2"/>
            </w:tcBorders>
            <w:shd w:val="clear" w:color="auto" w:fill="C2F3F2"/>
          </w:tcPr>
          <w:p>
            <w:pPr>
              <w:ind w:left="100"/>
              <w:spacing w:after="0"/>
              <w:rPr>
                <w:sz w:val="20"/>
                <w:szCs w:val="20"/>
                <w:color w:val="auto"/>
              </w:rPr>
            </w:pPr>
            <w:r>
              <w:rPr>
                <w:rFonts w:ascii="Arial" w:cs="Arial" w:eastAsia="Arial" w:hAnsi="Arial"/>
                <w:sz w:val="18"/>
                <w:szCs w:val="18"/>
                <w:color w:val="auto"/>
              </w:rPr>
              <w:t>Patents</w:t>
            </w:r>
          </w:p>
        </w:tc>
        <w:tc>
          <w:tcPr>
            <w:tcW w:w="320" w:type="dxa"/>
            <w:vAlign w:val="bottom"/>
            <w:tcBorders>
              <w:top w:val="single" w:sz="8" w:color="auto"/>
            </w:tcBorders>
            <w:shd w:val="clear" w:color="auto" w:fill="C2F3F2"/>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2,282</w:t>
            </w:r>
          </w:p>
        </w:tc>
        <w:tc>
          <w:tcPr>
            <w:tcW w:w="360" w:type="dxa"/>
            <w:vAlign w:val="bottom"/>
            <w:tcBorders>
              <w:top w:val="single" w:sz="8" w:color="C2F3F2"/>
            </w:tcBorders>
            <w:shd w:val="clear" w:color="auto" w:fill="C2F3F2"/>
          </w:tcPr>
          <w:p>
            <w:pPr>
              <w:spacing w:after="0"/>
              <w:rPr>
                <w:sz w:val="18"/>
                <w:szCs w:val="18"/>
                <w:color w:val="auto"/>
              </w:rPr>
            </w:pPr>
          </w:p>
        </w:tc>
        <w:tc>
          <w:tcPr>
            <w:tcW w:w="220" w:type="dxa"/>
            <w:vAlign w:val="bottom"/>
            <w:tcBorders>
              <w:top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418</w:t>
            </w:r>
          </w:p>
        </w:tc>
        <w:tc>
          <w:tcPr>
            <w:tcW w:w="280" w:type="dxa"/>
            <w:vAlign w:val="bottom"/>
            <w:tcBorders>
              <w:top w:val="single" w:sz="8" w:color="C2F3F2"/>
            </w:tcBorders>
            <w:shd w:val="clear" w:color="auto" w:fill="C2F3F2"/>
          </w:tcPr>
          <w:p>
            <w:pPr>
              <w:spacing w:after="0"/>
              <w:rPr>
                <w:sz w:val="18"/>
                <w:szCs w:val="18"/>
                <w:color w:val="auto"/>
              </w:rPr>
            </w:pPr>
          </w:p>
        </w:tc>
        <w:tc>
          <w:tcPr>
            <w:tcW w:w="220" w:type="dxa"/>
            <w:vAlign w:val="bottom"/>
            <w:tcBorders>
              <w:top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1,864</w:t>
            </w:r>
          </w:p>
        </w:tc>
      </w:tr>
      <w:tr>
        <w:trPr>
          <w:trHeight w:val="229"/>
        </w:trPr>
        <w:tc>
          <w:tcPr>
            <w:tcW w:w="2140" w:type="dxa"/>
            <w:vAlign w:val="bottom"/>
          </w:tcPr>
          <w:p>
            <w:pPr>
              <w:ind w:left="100"/>
              <w:spacing w:after="0"/>
              <w:rPr>
                <w:sz w:val="20"/>
                <w:szCs w:val="20"/>
                <w:color w:val="auto"/>
              </w:rPr>
            </w:pPr>
            <w:r>
              <w:rPr>
                <w:rFonts w:ascii="Arial" w:cs="Arial" w:eastAsia="Arial" w:hAnsi="Arial"/>
                <w:sz w:val="18"/>
                <w:szCs w:val="18"/>
                <w:color w:val="auto"/>
                <w:w w:val="97"/>
              </w:rPr>
              <w:t>Non-compete agreements</w:t>
            </w:r>
          </w:p>
        </w:tc>
        <w:tc>
          <w:tcPr>
            <w:tcW w:w="3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w:t>
            </w:r>
          </w:p>
        </w:tc>
      </w:tr>
      <w:tr>
        <w:trPr>
          <w:trHeight w:val="231"/>
        </w:trPr>
        <w:tc>
          <w:tcPr>
            <w:tcW w:w="21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Registered trademarks</w:t>
            </w:r>
          </w:p>
        </w:tc>
        <w:tc>
          <w:tcPr>
            <w:tcW w:w="320" w:type="dxa"/>
            <w:vAlign w:val="bottom"/>
            <w:shd w:val="clear" w:color="auto" w:fill="C2F3F2"/>
          </w:tcPr>
          <w:p>
            <w:pPr>
              <w:spacing w:after="0"/>
              <w:rPr>
                <w:sz w:val="20"/>
                <w:szCs w:val="20"/>
                <w:color w:val="auto"/>
              </w:rPr>
            </w:pPr>
          </w:p>
        </w:tc>
        <w:tc>
          <w:tcPr>
            <w:tcW w:w="11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401</w:t>
            </w:r>
          </w:p>
        </w:tc>
        <w:tc>
          <w:tcPr>
            <w:tcW w:w="36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10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401</w:t>
            </w:r>
          </w:p>
        </w:tc>
      </w:tr>
      <w:tr>
        <w:trPr>
          <w:trHeight w:val="229"/>
        </w:trPr>
        <w:tc>
          <w:tcPr>
            <w:tcW w:w="21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360" w:type="dxa"/>
            <w:vAlign w:val="bottom"/>
            <w:tcBorders>
              <w:bottom w:val="single" w:sz="8" w:color="C2F3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2F3F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r>
      <w:tr>
        <w:trPr>
          <w:trHeight w:val="211"/>
        </w:trPr>
        <w:tc>
          <w:tcPr>
            <w:tcW w:w="2140" w:type="dxa"/>
            <w:vAlign w:val="bottom"/>
            <w:tcBorders>
              <w:bottom w:val="single" w:sz="8" w:color="C2F3F2"/>
            </w:tcBorders>
            <w:shd w:val="clear" w:color="auto" w:fill="C2F3F2"/>
          </w:tcPr>
          <w:p>
            <w:pPr>
              <w:spacing w:after="0"/>
              <w:rPr>
                <w:sz w:val="18"/>
                <w:szCs w:val="18"/>
                <w:color w:val="auto"/>
              </w:rPr>
            </w:pPr>
          </w:p>
        </w:tc>
        <w:tc>
          <w:tcPr>
            <w:tcW w:w="320" w:type="dxa"/>
            <w:vAlign w:val="bottom"/>
            <w:tcBorders>
              <w:bottom w:val="single" w:sz="8" w:color="auto"/>
            </w:tcBorders>
            <w:shd w:val="clear" w:color="auto" w:fill="C2F3F2"/>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3,118</w:t>
            </w:r>
          </w:p>
        </w:tc>
        <w:tc>
          <w:tcPr>
            <w:tcW w:w="360" w:type="dxa"/>
            <w:vAlign w:val="bottom"/>
            <w:tcBorders>
              <w:bottom w:val="single" w:sz="8" w:color="C2F3F2"/>
            </w:tcBorders>
            <w:shd w:val="clear" w:color="auto" w:fill="C2F3F2"/>
          </w:tcPr>
          <w:p>
            <w:pPr>
              <w:spacing w:after="0"/>
              <w:rPr>
                <w:sz w:val="18"/>
                <w:szCs w:val="18"/>
                <w:color w:val="auto"/>
              </w:rPr>
            </w:pPr>
          </w:p>
        </w:tc>
        <w:tc>
          <w:tcPr>
            <w:tcW w:w="2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625</w:t>
            </w:r>
          </w:p>
        </w:tc>
        <w:tc>
          <w:tcPr>
            <w:tcW w:w="280" w:type="dxa"/>
            <w:vAlign w:val="bottom"/>
            <w:tcBorders>
              <w:bottom w:val="single" w:sz="8" w:color="C2F3F2"/>
            </w:tcBorders>
            <w:shd w:val="clear" w:color="auto" w:fill="C2F3F2"/>
          </w:tcPr>
          <w:p>
            <w:pPr>
              <w:spacing w:after="0"/>
              <w:rPr>
                <w:sz w:val="18"/>
                <w:szCs w:val="18"/>
                <w:color w:val="auto"/>
              </w:rPr>
            </w:pPr>
          </w:p>
        </w:tc>
        <w:tc>
          <w:tcPr>
            <w:tcW w:w="22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2,493</w:t>
            </w:r>
          </w:p>
        </w:tc>
      </w:tr>
      <w:tr>
        <w:trPr>
          <w:trHeight w:val="20"/>
        </w:trPr>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August 2,</w:t>
            </w:r>
          </w:p>
        </w:tc>
        <w:tc>
          <w:tcPr>
            <w:tcW w:w="38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26,</w:t>
            </w:r>
          </w:p>
        </w:tc>
      </w:tr>
      <w:tr>
        <w:trPr>
          <w:trHeight w:val="231"/>
        </w:trPr>
        <w:tc>
          <w:tcPr>
            <w:tcW w:w="2080" w:type="dxa"/>
            <w:vAlign w:val="bottom"/>
            <w:tcBorders>
              <w:bottom w:val="single" w:sz="8" w:color="C2F3F2"/>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C2F3F2"/>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r>
      <w:tr>
        <w:trPr>
          <w:trHeight w:val="211"/>
        </w:trPr>
        <w:tc>
          <w:tcPr>
            <w:tcW w:w="20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2F3F2"/>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28,332</w:t>
            </w:r>
          </w:p>
        </w:tc>
        <w:tc>
          <w:tcPr>
            <w:tcW w:w="340" w:type="dxa"/>
            <w:vAlign w:val="bottom"/>
            <w:shd w:val="clear" w:color="auto" w:fill="C2F3F2"/>
          </w:tcPr>
          <w:p>
            <w:pPr>
              <w:spacing w:after="0"/>
              <w:rPr>
                <w:sz w:val="18"/>
                <w:szCs w:val="18"/>
                <w:color w:val="auto"/>
              </w:rPr>
            </w:pPr>
          </w:p>
        </w:tc>
        <w:tc>
          <w:tcPr>
            <w:tcW w:w="380" w:type="dxa"/>
            <w:vAlign w:val="bottom"/>
            <w:shd w:val="clear" w:color="auto" w:fill="C2F3F2"/>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23,221</w:t>
            </w:r>
          </w:p>
        </w:tc>
      </w:tr>
      <w:tr>
        <w:trPr>
          <w:trHeight w:val="229"/>
        </w:trPr>
        <w:tc>
          <w:tcPr>
            <w:tcW w:w="2080" w:type="dxa"/>
            <w:vAlign w:val="bottom"/>
          </w:tcPr>
          <w:p>
            <w:pPr>
              <w:ind w:left="10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11,935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8,564</w:t>
            </w:r>
          </w:p>
        </w:tc>
      </w:tr>
      <w:tr>
        <w:trPr>
          <w:trHeight w:val="230"/>
        </w:trPr>
        <w:tc>
          <w:tcPr>
            <w:tcW w:w="20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2F3F2"/>
          </w:tcPr>
          <w:p>
            <w:pPr>
              <w:spacing w:after="0"/>
              <w:rPr>
                <w:sz w:val="19"/>
                <w:szCs w:val="19"/>
                <w:color w:val="auto"/>
              </w:rPr>
            </w:pPr>
          </w:p>
        </w:tc>
        <w:tc>
          <w:tcPr>
            <w:tcW w:w="14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21,865</w:t>
            </w:r>
          </w:p>
        </w:tc>
        <w:tc>
          <w:tcPr>
            <w:tcW w:w="340" w:type="dxa"/>
            <w:vAlign w:val="bottom"/>
            <w:shd w:val="clear" w:color="auto" w:fill="C2F3F2"/>
          </w:tcPr>
          <w:p>
            <w:pPr>
              <w:spacing w:after="0"/>
              <w:rPr>
                <w:sz w:val="19"/>
                <w:szCs w:val="19"/>
                <w:color w:val="auto"/>
              </w:rPr>
            </w:pPr>
          </w:p>
        </w:tc>
        <w:tc>
          <w:tcPr>
            <w:tcW w:w="380" w:type="dxa"/>
            <w:vAlign w:val="bottom"/>
            <w:tcBorders>
              <w:bottom w:val="single" w:sz="8" w:color="auto"/>
            </w:tcBorders>
            <w:shd w:val="clear" w:color="auto" w:fill="C2F3F2"/>
          </w:tcPr>
          <w:p>
            <w:pPr>
              <w:spacing w:after="0"/>
              <w:rPr>
                <w:sz w:val="19"/>
                <w:szCs w:val="19"/>
                <w:color w:val="auto"/>
              </w:rPr>
            </w:pPr>
          </w:p>
        </w:tc>
        <w:tc>
          <w:tcPr>
            <w:tcW w:w="14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18,740</w:t>
            </w:r>
          </w:p>
        </w:tc>
      </w:tr>
      <w:tr>
        <w:trPr>
          <w:trHeight w:val="211"/>
        </w:trPr>
        <w:tc>
          <w:tcPr>
            <w:tcW w:w="2080" w:type="dxa"/>
            <w:vAlign w:val="bottom"/>
          </w:tcPr>
          <w:p>
            <w:pPr>
              <w:spacing w:after="0"/>
              <w:rPr>
                <w:sz w:val="18"/>
                <w:szCs w:val="18"/>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62,132</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50,525</w:t>
            </w:r>
          </w:p>
        </w:tc>
      </w:tr>
      <w:tr>
        <w:trPr>
          <w:trHeight w:val="20"/>
        </w:trPr>
        <w:tc>
          <w:tcPr>
            <w:tcW w:w="2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8" w:lineRule="exact"/>
        <w:rPr>
          <w:sz w:val="20"/>
          <w:szCs w:val="20"/>
          <w:color w:val="auto"/>
        </w:rPr>
      </w:pPr>
    </w:p>
    <w:p>
      <w:pPr>
        <w:jc w:val="both"/>
        <w:ind w:right="2099"/>
        <w:spacing w:after="0" w:line="320" w:lineRule="auto"/>
        <w:rPr>
          <w:sz w:val="20"/>
          <w:szCs w:val="20"/>
          <w:color w:val="auto"/>
        </w:rPr>
      </w:pPr>
      <w:r>
        <w:rPr>
          <w:rFonts w:ascii="Arial" w:cs="Arial" w:eastAsia="Arial" w:hAnsi="Arial"/>
          <w:sz w:val="16"/>
          <w:szCs w:val="16"/>
          <w:color w:val="auto"/>
        </w:rPr>
        <w:t xml:space="preserve">At the beginning of fiscal 2008, we reorganized our business into five business units and implemented limited discrete financial reporting about these business units to the chief operating decision maker, which required us to change our segment disclosures under SFAS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have five business units which meet the definition of reportable segments under SFAS No. 131:</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Live Events, Schools and Theatres, Transportation and International.</w:t>
      </w:r>
    </w:p>
    <w:p>
      <w:pPr>
        <w:spacing w:after="0" w:line="178"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Our Commercial business unit consists of primarily sales of our video display technology, Galaxy® and Valo™ product lines, to resellers, primarily sign companies, outdoor advertisers, national retailers and quick-serve restaurants, casinos and petroleum retailers. Our Live Events business unit consists of primarily sales of integrated scoring and video display systems to college and professional sports facilities and mobile video display technology to video rental organizations and other live events type venues. Our Schools and Theatres segment primarily consists of sales of scoring systems, Galaxy® and video display systems to primary and secondary education facilities and sales of our Vortek® automated rigging systems for theatre applications. Our Transportation segment primarily consists of sales of our Vanguard® product line to governmental transportation departments, airlines and other transportation related customers. Finally, our International segment primarily consists of sales of all product lines throughout the world, except the United States and Canada.</w:t>
      </w:r>
    </w:p>
    <w:p>
      <w:pPr>
        <w:spacing w:after="0" w:line="20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Business unit reports present results through operating income, which is comprised of gross profit less selling, general and administrative and product development costs. Segment profit excludes interest income and expense, non-operating income and income tax expense. Assets are not allocated to the segments. Depreciation and amortization are allocated to each segment based on various financial measures. In general, business units follow the same accounting policies as those described in Note 1. Corporate expenses such as general and administrative costs are allocated based on levels of personnel, revenues, or fixed basis to each business unit. Product development is allocated to all business units based on fixed allocations depending on the type of product development. Costs of domestic field sales and services infrastructure, including most field administrative staff, are allocated to the Commercial, Live Events and Schools and Theatres business units based on cost of sales. Beginning in fiscal year 2009, we changed our method of allocating various items, primarily general and administrative and product development expenses. Fiscal year 2008 segment results have been restated to conform to these changes.</w:t>
      </w:r>
    </w:p>
    <w:p>
      <w:pPr>
        <w:spacing w:after="0" w:line="20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Shared manufacturing, building and utilities and procurement costs are allocated based on direct hours, square footage and other various financial measures.</w:t>
      </w:r>
    </w:p>
    <w:p>
      <w:pPr>
        <w:spacing w:after="0" w:line="213" w:lineRule="exact"/>
        <w:rPr>
          <w:sz w:val="20"/>
          <w:szCs w:val="20"/>
          <w:color w:val="auto"/>
        </w:rPr>
      </w:pPr>
    </w:p>
    <w:p>
      <w:pPr>
        <w:jc w:val="center"/>
        <w:ind w:right="2119"/>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functional operating segments:</w:t>
      </w:r>
    </w:p>
    <w:p>
      <w:pPr>
        <w:sectPr>
          <w:pgSz w:w="11900" w:h="16838" w:orient="portrait"/>
          <w:cols w:equalWidth="0" w:num="1">
            <w:col w:w="10219"/>
          </w:cols>
          <w:pgMar w:left="240" w:top="617"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812"/>
              <w:spacing w:after="0"/>
              <w:rPr>
                <w:sz w:val="20"/>
                <w:szCs w:val="20"/>
                <w:color w:val="auto"/>
              </w:rPr>
            </w:pPr>
            <w:r>
              <w:rPr>
                <w:rFonts w:ascii="Arial" w:cs="Arial" w:eastAsia="Arial" w:hAnsi="Arial"/>
                <w:sz w:val="18"/>
                <w:szCs w:val="18"/>
                <w:b w:val="1"/>
                <w:bCs w:val="1"/>
                <w:color w:val="auto"/>
              </w:rPr>
              <w:t>Three Months Ended</w:t>
            </w:r>
          </w:p>
        </w:tc>
      </w:tr>
      <w:tr>
        <w:trPr>
          <w:trHeight w:val="215"/>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ind w:left="180"/>
              <w:spacing w:after="0"/>
              <w:rPr>
                <w:sz w:val="20"/>
                <w:szCs w:val="20"/>
                <w:color w:val="auto"/>
              </w:rPr>
            </w:pPr>
            <w:r>
              <w:rPr>
                <w:rFonts w:ascii="Arial" w:cs="Arial" w:eastAsia="Arial" w:hAnsi="Arial"/>
                <w:sz w:val="18"/>
                <w:szCs w:val="18"/>
                <w:b w:val="1"/>
                <w:bCs w:val="1"/>
                <w:color w:val="auto"/>
              </w:rPr>
              <w:t>August 2,</w:t>
            </w:r>
          </w:p>
        </w:tc>
        <w:tc>
          <w:tcPr>
            <w:tcW w:w="12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July 28,</w:t>
            </w:r>
          </w:p>
        </w:tc>
      </w:tr>
      <w:tr>
        <w:trPr>
          <w:trHeight w:val="229"/>
        </w:trPr>
        <w:tc>
          <w:tcPr>
            <w:tcW w:w="3080" w:type="dxa"/>
            <w:vAlign w:val="bottom"/>
            <w:tcBorders>
              <w:bottom w:val="single" w:sz="8" w:color="C2F3F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99"/>
              </w:rPr>
              <w:t>2008</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C2F3F2"/>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2007</w:t>
            </w:r>
          </w:p>
        </w:tc>
      </w:tr>
      <w:tr>
        <w:trPr>
          <w:trHeight w:val="211"/>
        </w:trPr>
        <w:tc>
          <w:tcPr>
            <w:tcW w:w="3080" w:type="dxa"/>
            <w:vAlign w:val="bottom"/>
            <w:shd w:val="clear" w:color="auto" w:fill="C2F3F2"/>
          </w:tcPr>
          <w:p>
            <w:pPr>
              <w:ind w:left="100"/>
              <w:spacing w:after="0"/>
              <w:rPr>
                <w:sz w:val="20"/>
                <w:szCs w:val="20"/>
                <w:color w:val="auto"/>
              </w:rPr>
            </w:pPr>
            <w:r>
              <w:rPr>
                <w:rFonts w:ascii="Arial" w:cs="Arial" w:eastAsia="Arial" w:hAnsi="Arial"/>
                <w:sz w:val="18"/>
                <w:szCs w:val="18"/>
                <w:b w:val="1"/>
                <w:bCs w:val="1"/>
                <w:color w:val="auto"/>
              </w:rPr>
              <w:t>Net Sales</w:t>
            </w:r>
          </w:p>
        </w:tc>
        <w:tc>
          <w:tcPr>
            <w:tcW w:w="160" w:type="dxa"/>
            <w:vAlign w:val="bottom"/>
            <w:shd w:val="clear" w:color="auto" w:fill="C2F3F2"/>
          </w:tcPr>
          <w:p>
            <w:pPr>
              <w:spacing w:after="0"/>
              <w:rPr>
                <w:sz w:val="18"/>
                <w:szCs w:val="18"/>
                <w:color w:val="auto"/>
              </w:rPr>
            </w:pPr>
          </w:p>
        </w:tc>
        <w:tc>
          <w:tcPr>
            <w:tcW w:w="100" w:type="dxa"/>
            <w:vAlign w:val="bottom"/>
            <w:shd w:val="clear" w:color="auto" w:fill="C2F3F2"/>
          </w:tcPr>
          <w:p>
            <w:pPr>
              <w:spacing w:after="0"/>
              <w:rPr>
                <w:sz w:val="18"/>
                <w:szCs w:val="18"/>
                <w:color w:val="auto"/>
              </w:rPr>
            </w:pPr>
          </w:p>
        </w:tc>
        <w:tc>
          <w:tcPr>
            <w:tcW w:w="300" w:type="dxa"/>
            <w:vAlign w:val="bottom"/>
            <w:shd w:val="clear" w:color="auto" w:fill="C2F3F2"/>
          </w:tcPr>
          <w:p>
            <w:pPr>
              <w:spacing w:after="0"/>
              <w:rPr>
                <w:sz w:val="18"/>
                <w:szCs w:val="18"/>
                <w:color w:val="auto"/>
              </w:rPr>
            </w:pPr>
          </w:p>
        </w:tc>
        <w:tc>
          <w:tcPr>
            <w:tcW w:w="1000" w:type="dxa"/>
            <w:vAlign w:val="bottom"/>
            <w:shd w:val="clear" w:color="auto" w:fill="C2F3F2"/>
          </w:tcPr>
          <w:p>
            <w:pPr>
              <w:spacing w:after="0"/>
              <w:rPr>
                <w:sz w:val="18"/>
                <w:szCs w:val="18"/>
                <w:color w:val="auto"/>
              </w:rPr>
            </w:pPr>
          </w:p>
        </w:tc>
        <w:tc>
          <w:tcPr>
            <w:tcW w:w="40" w:type="dxa"/>
            <w:vAlign w:val="bottom"/>
            <w:shd w:val="clear" w:color="auto" w:fill="C2F3F2"/>
          </w:tcPr>
          <w:p>
            <w:pPr>
              <w:spacing w:after="0"/>
              <w:rPr>
                <w:sz w:val="18"/>
                <w:szCs w:val="18"/>
                <w:color w:val="auto"/>
              </w:rPr>
            </w:pPr>
          </w:p>
        </w:tc>
        <w:tc>
          <w:tcPr>
            <w:tcW w:w="280" w:type="dxa"/>
            <w:vAlign w:val="bottom"/>
            <w:shd w:val="clear" w:color="auto" w:fill="C2F3F2"/>
          </w:tcPr>
          <w:p>
            <w:pPr>
              <w:spacing w:after="0"/>
              <w:rPr>
                <w:sz w:val="18"/>
                <w:szCs w:val="18"/>
                <w:color w:val="auto"/>
              </w:rPr>
            </w:pPr>
          </w:p>
        </w:tc>
        <w:tc>
          <w:tcPr>
            <w:tcW w:w="240" w:type="dxa"/>
            <w:vAlign w:val="bottom"/>
            <w:shd w:val="clear" w:color="auto" w:fill="C2F3F2"/>
          </w:tcPr>
          <w:p>
            <w:pPr>
              <w:spacing w:after="0"/>
              <w:rPr>
                <w:sz w:val="18"/>
                <w:szCs w:val="18"/>
                <w:color w:val="auto"/>
              </w:rPr>
            </w:pPr>
          </w:p>
        </w:tc>
        <w:tc>
          <w:tcPr>
            <w:tcW w:w="20" w:type="dxa"/>
            <w:vAlign w:val="bottom"/>
            <w:shd w:val="clear" w:color="auto" w:fill="C2F3F2"/>
          </w:tcPr>
          <w:p>
            <w:pPr>
              <w:spacing w:after="0"/>
              <w:rPr>
                <w:sz w:val="18"/>
                <w:szCs w:val="18"/>
                <w:color w:val="auto"/>
              </w:rPr>
            </w:pPr>
          </w:p>
        </w:tc>
        <w:tc>
          <w:tcPr>
            <w:tcW w:w="300" w:type="dxa"/>
            <w:vAlign w:val="bottom"/>
            <w:shd w:val="clear" w:color="auto" w:fill="C2F3F2"/>
          </w:tcPr>
          <w:p>
            <w:pPr>
              <w:spacing w:after="0"/>
              <w:rPr>
                <w:sz w:val="18"/>
                <w:szCs w:val="18"/>
                <w:color w:val="auto"/>
              </w:rPr>
            </w:pPr>
          </w:p>
        </w:tc>
        <w:tc>
          <w:tcPr>
            <w:tcW w:w="960" w:type="dxa"/>
            <w:vAlign w:val="bottom"/>
            <w:shd w:val="clear" w:color="auto" w:fill="C2F3F2"/>
          </w:tcPr>
          <w:p>
            <w:pPr>
              <w:spacing w:after="0"/>
              <w:rPr>
                <w:sz w:val="18"/>
                <w:szCs w:val="18"/>
                <w:color w:val="auto"/>
              </w:rPr>
            </w:pP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48,390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42,341</w:t>
            </w:r>
          </w:p>
        </w:tc>
      </w:tr>
      <w:tr>
        <w:trPr>
          <w:trHeight w:val="231"/>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Live Events</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63,088</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47,304</w:t>
            </w: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17,462</w:t>
            </w:r>
          </w:p>
        </w:tc>
      </w:tr>
      <w:tr>
        <w:trPr>
          <w:trHeight w:val="231"/>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Transportation</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9,571</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7,791</w:t>
            </w:r>
          </w:p>
        </w:tc>
      </w:tr>
      <w:tr>
        <w:trPr>
          <w:trHeight w:val="229"/>
        </w:trPr>
        <w:tc>
          <w:tcPr>
            <w:tcW w:w="3340" w:type="dxa"/>
            <w:vAlign w:val="bottom"/>
            <w:tcBorders>
              <w:bottom w:val="single" w:sz="8" w:color="C2F3F2"/>
            </w:tcBorders>
            <w:gridSpan w:val="3"/>
          </w:tcPr>
          <w:p>
            <w:pPr>
              <w:ind w:left="40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C2F3F2"/>
            </w:tcBorders>
          </w:tcPr>
          <w:p>
            <w:pPr>
              <w:spacing w:after="0"/>
              <w:rPr>
                <w:sz w:val="19"/>
                <w:szCs w:val="19"/>
                <w:color w:val="auto"/>
              </w:rPr>
            </w:pPr>
          </w:p>
        </w:tc>
        <w:tc>
          <w:tcPr>
            <w:tcW w:w="240" w:type="dxa"/>
            <w:vAlign w:val="bottom"/>
            <w:tcBorders>
              <w:bottom w:val="single" w:sz="8" w:color="C2F3F2"/>
            </w:tcBorders>
          </w:tcPr>
          <w:p>
            <w:pPr>
              <w:spacing w:after="0"/>
              <w:rPr>
                <w:sz w:val="19"/>
                <w:szCs w:val="19"/>
                <w:color w:val="auto"/>
              </w:rPr>
            </w:pPr>
          </w:p>
        </w:tc>
        <w:tc>
          <w:tcPr>
            <w:tcW w:w="20" w:type="dxa"/>
            <w:vAlign w:val="bottom"/>
            <w:tcBorders>
              <w:bottom w:val="single" w:sz="8" w:color="C2F3F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6,025</w:t>
            </w:r>
          </w:p>
        </w:tc>
      </w:tr>
      <w:tr>
        <w:trPr>
          <w:trHeight w:val="211"/>
        </w:trPr>
        <w:tc>
          <w:tcPr>
            <w:tcW w:w="3340" w:type="dxa"/>
            <w:vAlign w:val="bottom"/>
            <w:tcBorders>
              <w:bottom w:val="single" w:sz="8" w:color="C2F3F2"/>
            </w:tcBorders>
            <w:gridSpan w:val="3"/>
            <w:shd w:val="clear" w:color="auto" w:fill="C2F3F2"/>
          </w:tcPr>
          <w:p>
            <w:pPr>
              <w:ind w:left="4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161,229</w:t>
            </w:r>
          </w:p>
        </w:tc>
        <w:tc>
          <w:tcPr>
            <w:tcW w:w="40" w:type="dxa"/>
            <w:vAlign w:val="bottom"/>
            <w:tcBorders>
              <w:bottom w:val="single" w:sz="8" w:color="auto"/>
            </w:tcBorders>
            <w:shd w:val="clear" w:color="auto" w:fill="C2F3F2"/>
          </w:tcPr>
          <w:p>
            <w:pPr>
              <w:spacing w:after="0"/>
              <w:rPr>
                <w:sz w:val="18"/>
                <w:szCs w:val="18"/>
                <w:color w:val="auto"/>
              </w:rPr>
            </w:pPr>
          </w:p>
        </w:tc>
        <w:tc>
          <w:tcPr>
            <w:tcW w:w="280" w:type="dxa"/>
            <w:vAlign w:val="bottom"/>
            <w:tcBorders>
              <w:bottom w:val="single" w:sz="8" w:color="C2F3F2"/>
            </w:tcBorders>
            <w:shd w:val="clear" w:color="auto" w:fill="C2F3F2"/>
          </w:tcPr>
          <w:p>
            <w:pPr>
              <w:spacing w:after="0"/>
              <w:rPr>
                <w:sz w:val="18"/>
                <w:szCs w:val="18"/>
                <w:color w:val="auto"/>
              </w:rPr>
            </w:pPr>
          </w:p>
        </w:tc>
        <w:tc>
          <w:tcPr>
            <w:tcW w:w="240" w:type="dxa"/>
            <w:vAlign w:val="bottom"/>
            <w:tcBorders>
              <w:bottom w:val="single" w:sz="8" w:color="C2F3F2"/>
            </w:tcBorders>
            <w:shd w:val="clear" w:color="auto" w:fill="C2F3F2"/>
          </w:tcPr>
          <w:p>
            <w:pPr>
              <w:spacing w:after="0"/>
              <w:rPr>
                <w:sz w:val="18"/>
                <w:szCs w:val="18"/>
                <w:color w:val="auto"/>
              </w:rPr>
            </w:pPr>
          </w:p>
        </w:tc>
        <w:tc>
          <w:tcPr>
            <w:tcW w:w="20" w:type="dxa"/>
            <w:vAlign w:val="bottom"/>
            <w:tcBorders>
              <w:bottom w:val="single" w:sz="8" w:color="C2F3F2"/>
            </w:tcBorders>
            <w:shd w:val="clear" w:color="auto" w:fill="C2F3F2"/>
          </w:tcPr>
          <w:p>
            <w:pPr>
              <w:spacing w:after="0"/>
              <w:rPr>
                <w:sz w:val="18"/>
                <w:szCs w:val="18"/>
                <w:color w:val="auto"/>
              </w:rPr>
            </w:pPr>
          </w:p>
        </w:tc>
        <w:tc>
          <w:tcPr>
            <w:tcW w:w="30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120,923</w:t>
            </w:r>
          </w:p>
        </w:tc>
      </w:tr>
      <w:tr>
        <w:trPr>
          <w:trHeight w:val="20"/>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3080" w:type="dxa"/>
            <w:vAlign w:val="bottom"/>
            <w:shd w:val="clear" w:color="auto" w:fill="C2F3F2"/>
          </w:tcPr>
          <w:p>
            <w:pPr>
              <w:spacing w:after="0"/>
              <w:rPr>
                <w:sz w:val="19"/>
                <w:szCs w:val="19"/>
                <w:color w:val="auto"/>
              </w:rPr>
            </w:pPr>
          </w:p>
        </w:tc>
        <w:tc>
          <w:tcPr>
            <w:tcW w:w="160" w:type="dxa"/>
            <w:vAlign w:val="bottom"/>
            <w:shd w:val="clear" w:color="auto" w:fill="C2F3F2"/>
          </w:tcPr>
          <w:p>
            <w:pPr>
              <w:spacing w:after="0"/>
              <w:rPr>
                <w:sz w:val="19"/>
                <w:szCs w:val="19"/>
                <w:color w:val="auto"/>
              </w:rPr>
            </w:pPr>
          </w:p>
        </w:tc>
        <w:tc>
          <w:tcPr>
            <w:tcW w:w="10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1000" w:type="dxa"/>
            <w:vAlign w:val="bottom"/>
            <w:shd w:val="clear" w:color="auto" w:fill="C2F3F2"/>
          </w:tcPr>
          <w:p>
            <w:pPr>
              <w:spacing w:after="0"/>
              <w:rPr>
                <w:sz w:val="19"/>
                <w:szCs w:val="19"/>
                <w:color w:val="auto"/>
              </w:rPr>
            </w:pPr>
          </w:p>
        </w:tc>
        <w:tc>
          <w:tcPr>
            <w:tcW w:w="40" w:type="dxa"/>
            <w:vAlign w:val="bottom"/>
            <w:shd w:val="clear" w:color="auto" w:fill="C2F3F2"/>
          </w:tcPr>
          <w:p>
            <w:pPr>
              <w:spacing w:after="0"/>
              <w:rPr>
                <w:sz w:val="19"/>
                <w:szCs w:val="19"/>
                <w:color w:val="auto"/>
              </w:rPr>
            </w:pPr>
          </w:p>
        </w:tc>
        <w:tc>
          <w:tcPr>
            <w:tcW w:w="280" w:type="dxa"/>
            <w:vAlign w:val="bottom"/>
            <w:shd w:val="clear" w:color="auto" w:fill="C2F3F2"/>
          </w:tcPr>
          <w:p>
            <w:pPr>
              <w:spacing w:after="0"/>
              <w:rPr>
                <w:sz w:val="19"/>
                <w:szCs w:val="19"/>
                <w:color w:val="auto"/>
              </w:rPr>
            </w:pPr>
          </w:p>
        </w:tc>
        <w:tc>
          <w:tcPr>
            <w:tcW w:w="240" w:type="dxa"/>
            <w:vAlign w:val="bottom"/>
            <w:shd w:val="clear" w:color="auto" w:fill="C2F3F2"/>
          </w:tcPr>
          <w:p>
            <w:pPr>
              <w:spacing w:after="0"/>
              <w:rPr>
                <w:sz w:val="19"/>
                <w:szCs w:val="19"/>
                <w:color w:val="auto"/>
              </w:rPr>
            </w:pPr>
          </w:p>
        </w:tc>
        <w:tc>
          <w:tcPr>
            <w:tcW w:w="2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29"/>
        </w:trPr>
        <w:tc>
          <w:tcPr>
            <w:tcW w:w="3340" w:type="dxa"/>
            <w:vAlign w:val="bottom"/>
            <w:gridSpan w:val="3"/>
          </w:tcPr>
          <w:p>
            <w:pPr>
              <w:ind w:left="10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4,318</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6,524</w:t>
            </w: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4,045</w:t>
            </w:r>
          </w:p>
        </w:tc>
      </w:tr>
      <w:tr>
        <w:trPr>
          <w:trHeight w:val="231"/>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(955)</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1,603</w:t>
            </w: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243</w:t>
            </w:r>
          </w:p>
        </w:tc>
      </w:tr>
      <w:tr>
        <w:trPr>
          <w:trHeight w:val="231"/>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2F3F2"/>
          </w:tcPr>
          <w:p>
            <w:pPr>
              <w:spacing w:after="0"/>
              <w:rPr>
                <w:sz w:val="20"/>
                <w:szCs w:val="20"/>
                <w:color w:val="auto"/>
              </w:rPr>
            </w:pPr>
          </w:p>
        </w:tc>
        <w:tc>
          <w:tcPr>
            <w:tcW w:w="100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2,896</w:t>
            </w:r>
          </w:p>
        </w:tc>
        <w:tc>
          <w:tcPr>
            <w:tcW w:w="40" w:type="dxa"/>
            <w:vAlign w:val="bottom"/>
            <w:tcBorders>
              <w:bottom w:val="single" w:sz="8" w:color="auto"/>
            </w:tcBorders>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tcBorders>
              <w:bottom w:val="single" w:sz="8" w:color="auto"/>
            </w:tcBorders>
            <w:shd w:val="clear" w:color="auto" w:fill="C2F3F2"/>
          </w:tcPr>
          <w:p>
            <w:pPr>
              <w:spacing w:after="0"/>
              <w:rPr>
                <w:sz w:val="20"/>
                <w:szCs w:val="20"/>
                <w:color w:val="auto"/>
              </w:rPr>
            </w:pPr>
          </w:p>
        </w:tc>
        <w:tc>
          <w:tcPr>
            <w:tcW w:w="9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(1,138)</w:t>
            </w:r>
          </w:p>
        </w:tc>
      </w:tr>
      <w:tr>
        <w:trPr>
          <w:trHeight w:val="210"/>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Total Operating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14,755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11,277</w:t>
            </w:r>
          </w:p>
        </w:tc>
      </w:tr>
      <w:tr>
        <w:trPr>
          <w:trHeight w:val="230"/>
        </w:trPr>
        <w:tc>
          <w:tcPr>
            <w:tcW w:w="3340" w:type="dxa"/>
            <w:vAlign w:val="bottom"/>
            <w:gridSpan w:val="3"/>
            <w:shd w:val="clear" w:color="auto" w:fill="C2F3F2"/>
          </w:tcPr>
          <w:p>
            <w:pPr>
              <w:ind w:left="100"/>
              <w:spacing w:after="0"/>
              <w:rPr>
                <w:sz w:val="20"/>
                <w:szCs w:val="20"/>
                <w:color w:val="auto"/>
              </w:rPr>
            </w:pPr>
            <w:r>
              <w:rPr>
                <w:rFonts w:ascii="Arial" w:cs="Arial" w:eastAsia="Arial" w:hAnsi="Arial"/>
                <w:sz w:val="18"/>
                <w:szCs w:val="18"/>
                <w:color w:val="auto"/>
              </w:rPr>
              <w:t>Nonoperating income (expense):</w:t>
            </w:r>
          </w:p>
        </w:tc>
        <w:tc>
          <w:tcPr>
            <w:tcW w:w="300" w:type="dxa"/>
            <w:vAlign w:val="bottom"/>
            <w:shd w:val="clear" w:color="auto" w:fill="C2F3F2"/>
          </w:tcPr>
          <w:p>
            <w:pPr>
              <w:spacing w:after="0"/>
              <w:rPr>
                <w:sz w:val="19"/>
                <w:szCs w:val="19"/>
                <w:color w:val="auto"/>
              </w:rPr>
            </w:pPr>
          </w:p>
        </w:tc>
        <w:tc>
          <w:tcPr>
            <w:tcW w:w="1000" w:type="dxa"/>
            <w:vAlign w:val="bottom"/>
            <w:shd w:val="clear" w:color="auto" w:fill="C2F3F2"/>
          </w:tcPr>
          <w:p>
            <w:pPr>
              <w:spacing w:after="0"/>
              <w:rPr>
                <w:sz w:val="19"/>
                <w:szCs w:val="19"/>
                <w:color w:val="auto"/>
              </w:rPr>
            </w:pPr>
          </w:p>
        </w:tc>
        <w:tc>
          <w:tcPr>
            <w:tcW w:w="40" w:type="dxa"/>
            <w:vAlign w:val="bottom"/>
            <w:shd w:val="clear" w:color="auto" w:fill="C2F3F2"/>
          </w:tcPr>
          <w:p>
            <w:pPr>
              <w:spacing w:after="0"/>
              <w:rPr>
                <w:sz w:val="19"/>
                <w:szCs w:val="19"/>
                <w:color w:val="auto"/>
              </w:rPr>
            </w:pPr>
          </w:p>
        </w:tc>
        <w:tc>
          <w:tcPr>
            <w:tcW w:w="280" w:type="dxa"/>
            <w:vAlign w:val="bottom"/>
            <w:shd w:val="clear" w:color="auto" w:fill="C2F3F2"/>
          </w:tcPr>
          <w:p>
            <w:pPr>
              <w:spacing w:after="0"/>
              <w:rPr>
                <w:sz w:val="19"/>
                <w:szCs w:val="19"/>
                <w:color w:val="auto"/>
              </w:rPr>
            </w:pPr>
          </w:p>
        </w:tc>
        <w:tc>
          <w:tcPr>
            <w:tcW w:w="240" w:type="dxa"/>
            <w:vAlign w:val="bottom"/>
            <w:shd w:val="clear" w:color="auto" w:fill="C2F3F2"/>
          </w:tcPr>
          <w:p>
            <w:pPr>
              <w:spacing w:after="0"/>
              <w:rPr>
                <w:sz w:val="19"/>
                <w:szCs w:val="19"/>
                <w:color w:val="auto"/>
              </w:rPr>
            </w:pPr>
          </w:p>
        </w:tc>
        <w:tc>
          <w:tcPr>
            <w:tcW w:w="2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384</w:t>
            </w:r>
          </w:p>
        </w:tc>
      </w:tr>
      <w:tr>
        <w:trPr>
          <w:trHeight w:val="231"/>
        </w:trPr>
        <w:tc>
          <w:tcPr>
            <w:tcW w:w="3340" w:type="dxa"/>
            <w:vAlign w:val="bottom"/>
            <w:gridSpan w:val="3"/>
            <w:shd w:val="clear" w:color="auto" w:fill="C2F3F2"/>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(426)</w:t>
            </w:r>
          </w:p>
        </w:tc>
      </w:tr>
      <w:tr>
        <w:trPr>
          <w:trHeight w:val="229"/>
        </w:trPr>
        <w:tc>
          <w:tcPr>
            <w:tcW w:w="3340" w:type="dxa"/>
            <w:vAlign w:val="bottom"/>
            <w:gridSpan w:val="3"/>
          </w:tcPr>
          <w:p>
            <w:pPr>
              <w:ind w:left="40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w:t>
            </w:r>
          </w:p>
        </w:tc>
      </w:tr>
      <w:tr>
        <w:trPr>
          <w:trHeight w:val="224"/>
        </w:trPr>
        <w:tc>
          <w:tcPr>
            <w:tcW w:w="3240" w:type="dxa"/>
            <w:vAlign w:val="bottom"/>
            <w:gridSpan w:val="2"/>
            <w:shd w:val="clear" w:color="auto" w:fill="C2F3F2"/>
          </w:tcPr>
          <w:p>
            <w:pPr>
              <w:spacing w:after="0"/>
              <w:rPr>
                <w:sz w:val="19"/>
                <w:szCs w:val="19"/>
                <w:color w:val="auto"/>
              </w:rPr>
            </w:pPr>
          </w:p>
        </w:tc>
        <w:tc>
          <w:tcPr>
            <w:tcW w:w="10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1000" w:type="dxa"/>
            <w:vAlign w:val="bottom"/>
            <w:shd w:val="clear" w:color="auto" w:fill="C2F3F2"/>
          </w:tcPr>
          <w:p>
            <w:pPr>
              <w:spacing w:after="0"/>
              <w:rPr>
                <w:sz w:val="19"/>
                <w:szCs w:val="19"/>
                <w:color w:val="auto"/>
              </w:rPr>
            </w:pPr>
          </w:p>
        </w:tc>
        <w:tc>
          <w:tcPr>
            <w:tcW w:w="40" w:type="dxa"/>
            <w:vAlign w:val="bottom"/>
            <w:shd w:val="clear" w:color="auto" w:fill="C2F3F2"/>
          </w:tcPr>
          <w:p>
            <w:pPr>
              <w:spacing w:after="0"/>
              <w:rPr>
                <w:sz w:val="19"/>
                <w:szCs w:val="19"/>
                <w:color w:val="auto"/>
              </w:rPr>
            </w:pPr>
          </w:p>
        </w:tc>
        <w:tc>
          <w:tcPr>
            <w:tcW w:w="280" w:type="dxa"/>
            <w:vAlign w:val="bottom"/>
            <w:shd w:val="clear" w:color="auto" w:fill="C2F3F2"/>
          </w:tcPr>
          <w:p>
            <w:pPr>
              <w:spacing w:after="0"/>
              <w:rPr>
                <w:sz w:val="19"/>
                <w:szCs w:val="19"/>
                <w:color w:val="auto"/>
              </w:rPr>
            </w:pPr>
          </w:p>
        </w:tc>
        <w:tc>
          <w:tcPr>
            <w:tcW w:w="240" w:type="dxa"/>
            <w:vAlign w:val="bottom"/>
            <w:shd w:val="clear" w:color="auto" w:fill="C2F3F2"/>
          </w:tcPr>
          <w:p>
            <w:pPr>
              <w:spacing w:after="0"/>
              <w:rPr>
                <w:sz w:val="19"/>
                <w:szCs w:val="19"/>
                <w:color w:val="auto"/>
              </w:rPr>
            </w:pPr>
          </w:p>
        </w:tc>
        <w:tc>
          <w:tcPr>
            <w:tcW w:w="2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29"/>
        </w:trPr>
        <w:tc>
          <w:tcPr>
            <w:tcW w:w="3340" w:type="dxa"/>
            <w:vAlign w:val="bottom"/>
            <w:gridSpan w:val="3"/>
          </w:tcPr>
          <w:p>
            <w:pPr>
              <w:ind w:left="10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14,840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10,933</w:t>
            </w:r>
          </w:p>
        </w:tc>
      </w:tr>
      <w:tr>
        <w:trPr>
          <w:trHeight w:val="230"/>
        </w:trPr>
        <w:tc>
          <w:tcPr>
            <w:tcW w:w="3340" w:type="dxa"/>
            <w:vAlign w:val="bottom"/>
            <w:gridSpan w:val="3"/>
            <w:shd w:val="clear" w:color="auto" w:fill="C2F3F2"/>
          </w:tcPr>
          <w:p>
            <w:pPr>
              <w:ind w:left="4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3,822</w:t>
            </w:r>
          </w:p>
        </w:tc>
      </w:tr>
      <w:tr>
        <w:trPr>
          <w:trHeight w:val="250"/>
        </w:trPr>
        <w:tc>
          <w:tcPr>
            <w:tcW w:w="3240" w:type="dxa"/>
            <w:vAlign w:val="bottom"/>
            <w:tcBorders>
              <w:bottom w:val="single" w:sz="8" w:color="C2F3F2"/>
            </w:tcBorders>
            <w:gridSpan w:val="2"/>
          </w:tcPr>
          <w:p>
            <w:pPr>
              <w:ind w:left="10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9,727</w:t>
            </w:r>
          </w:p>
        </w:tc>
        <w:tc>
          <w:tcPr>
            <w:tcW w:w="40" w:type="dxa"/>
            <w:vAlign w:val="bottom"/>
            <w:tcBorders>
              <w:bottom w:val="single" w:sz="8" w:color="C2F3F2"/>
            </w:tcBorders>
          </w:tcPr>
          <w:p>
            <w:pPr>
              <w:spacing w:after="0"/>
              <w:rPr>
                <w:sz w:val="21"/>
                <w:szCs w:val="21"/>
                <w:color w:val="auto"/>
              </w:rPr>
            </w:pPr>
          </w:p>
        </w:tc>
        <w:tc>
          <w:tcPr>
            <w:tcW w:w="280" w:type="dxa"/>
            <w:vAlign w:val="bottom"/>
            <w:tcBorders>
              <w:bottom w:val="single" w:sz="8" w:color="C2F3F2"/>
            </w:tcBorders>
          </w:tcPr>
          <w:p>
            <w:pPr>
              <w:spacing w:after="0"/>
              <w:rPr>
                <w:sz w:val="21"/>
                <w:szCs w:val="21"/>
                <w:color w:val="auto"/>
              </w:rPr>
            </w:pPr>
          </w:p>
        </w:tc>
        <w:tc>
          <w:tcPr>
            <w:tcW w:w="240" w:type="dxa"/>
            <w:vAlign w:val="bottom"/>
            <w:tcBorders>
              <w:bottom w:val="single" w:sz="8" w:color="C2F3F2"/>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7,111</w:t>
            </w:r>
          </w:p>
        </w:tc>
      </w:tr>
      <w:tr>
        <w:trPr>
          <w:trHeight w:val="183"/>
        </w:trPr>
        <w:tc>
          <w:tcPr>
            <w:tcW w:w="3080" w:type="dxa"/>
            <w:vAlign w:val="bottom"/>
            <w:shd w:val="clear" w:color="auto" w:fill="C2F3F2"/>
          </w:tcPr>
          <w:p>
            <w:pPr>
              <w:spacing w:after="0"/>
              <w:rPr>
                <w:sz w:val="15"/>
                <w:szCs w:val="15"/>
                <w:color w:val="auto"/>
              </w:rPr>
            </w:pPr>
          </w:p>
        </w:tc>
        <w:tc>
          <w:tcPr>
            <w:tcW w:w="160" w:type="dxa"/>
            <w:vAlign w:val="bottom"/>
            <w:shd w:val="clear" w:color="auto" w:fill="C2F3F2"/>
          </w:tcPr>
          <w:p>
            <w:pPr>
              <w:spacing w:after="0"/>
              <w:rPr>
                <w:sz w:val="15"/>
                <w:szCs w:val="15"/>
                <w:color w:val="auto"/>
              </w:rPr>
            </w:pPr>
          </w:p>
        </w:tc>
        <w:tc>
          <w:tcPr>
            <w:tcW w:w="100" w:type="dxa"/>
            <w:vAlign w:val="bottom"/>
            <w:shd w:val="clear" w:color="auto" w:fill="C2F3F2"/>
          </w:tcPr>
          <w:p>
            <w:pPr>
              <w:spacing w:after="0"/>
              <w:rPr>
                <w:sz w:val="15"/>
                <w:szCs w:val="15"/>
                <w:color w:val="auto"/>
              </w:rPr>
            </w:pPr>
          </w:p>
        </w:tc>
        <w:tc>
          <w:tcPr>
            <w:tcW w:w="300" w:type="dxa"/>
            <w:vAlign w:val="bottom"/>
            <w:shd w:val="clear" w:color="auto" w:fill="C2F3F2"/>
          </w:tcPr>
          <w:p>
            <w:pPr>
              <w:spacing w:after="0"/>
              <w:rPr>
                <w:sz w:val="15"/>
                <w:szCs w:val="15"/>
                <w:color w:val="auto"/>
              </w:rPr>
            </w:pPr>
          </w:p>
        </w:tc>
        <w:tc>
          <w:tcPr>
            <w:tcW w:w="1000" w:type="dxa"/>
            <w:vAlign w:val="bottom"/>
            <w:shd w:val="clear" w:color="auto" w:fill="C2F3F2"/>
          </w:tcPr>
          <w:p>
            <w:pPr>
              <w:spacing w:after="0"/>
              <w:rPr>
                <w:sz w:val="15"/>
                <w:szCs w:val="15"/>
                <w:color w:val="auto"/>
              </w:rPr>
            </w:pPr>
          </w:p>
        </w:tc>
        <w:tc>
          <w:tcPr>
            <w:tcW w:w="40" w:type="dxa"/>
            <w:vAlign w:val="bottom"/>
            <w:shd w:val="clear" w:color="auto" w:fill="C2F3F2"/>
          </w:tcPr>
          <w:p>
            <w:pPr>
              <w:spacing w:after="0"/>
              <w:rPr>
                <w:sz w:val="15"/>
                <w:szCs w:val="15"/>
                <w:color w:val="auto"/>
              </w:rPr>
            </w:pPr>
          </w:p>
        </w:tc>
        <w:tc>
          <w:tcPr>
            <w:tcW w:w="280" w:type="dxa"/>
            <w:vAlign w:val="bottom"/>
            <w:shd w:val="clear" w:color="auto" w:fill="C2F3F2"/>
          </w:tcPr>
          <w:p>
            <w:pPr>
              <w:spacing w:after="0"/>
              <w:rPr>
                <w:sz w:val="15"/>
                <w:szCs w:val="15"/>
                <w:color w:val="auto"/>
              </w:rPr>
            </w:pPr>
          </w:p>
        </w:tc>
        <w:tc>
          <w:tcPr>
            <w:tcW w:w="240" w:type="dxa"/>
            <w:vAlign w:val="bottom"/>
            <w:shd w:val="clear" w:color="auto" w:fill="C2F3F2"/>
          </w:tcPr>
          <w:p>
            <w:pPr>
              <w:spacing w:after="0"/>
              <w:rPr>
                <w:sz w:val="15"/>
                <w:szCs w:val="15"/>
                <w:color w:val="auto"/>
              </w:rPr>
            </w:pPr>
          </w:p>
        </w:tc>
        <w:tc>
          <w:tcPr>
            <w:tcW w:w="20" w:type="dxa"/>
            <w:vAlign w:val="bottom"/>
            <w:shd w:val="clear" w:color="auto" w:fill="C2F3F2"/>
          </w:tcPr>
          <w:p>
            <w:pPr>
              <w:spacing w:after="0"/>
              <w:rPr>
                <w:sz w:val="15"/>
                <w:szCs w:val="15"/>
                <w:color w:val="auto"/>
              </w:rPr>
            </w:pPr>
          </w:p>
        </w:tc>
        <w:tc>
          <w:tcPr>
            <w:tcW w:w="300" w:type="dxa"/>
            <w:vAlign w:val="bottom"/>
            <w:shd w:val="clear" w:color="auto" w:fill="C2F3F2"/>
          </w:tcPr>
          <w:p>
            <w:pPr>
              <w:spacing w:after="0"/>
              <w:rPr>
                <w:sz w:val="15"/>
                <w:szCs w:val="15"/>
                <w:color w:val="auto"/>
              </w:rPr>
            </w:pPr>
          </w:p>
        </w:tc>
        <w:tc>
          <w:tcPr>
            <w:tcW w:w="960" w:type="dxa"/>
            <w:vAlign w:val="bottom"/>
            <w:shd w:val="clear" w:color="auto" w:fill="C2F3F2"/>
          </w:tcPr>
          <w:p>
            <w:pPr>
              <w:spacing w:after="0"/>
              <w:rPr>
                <w:sz w:val="15"/>
                <w:szCs w:val="15"/>
                <w:color w:val="auto"/>
              </w:rPr>
            </w:pPr>
          </w:p>
        </w:tc>
      </w:tr>
      <w:tr>
        <w:trPr>
          <w:trHeight w:val="230"/>
        </w:trPr>
        <w:tc>
          <w:tcPr>
            <w:tcW w:w="3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340" w:type="dxa"/>
            <w:vAlign w:val="bottom"/>
            <w:gridSpan w:val="3"/>
            <w:shd w:val="clear" w:color="auto" w:fill="C2F3F2"/>
          </w:tcPr>
          <w:p>
            <w:pPr>
              <w:ind w:left="100"/>
              <w:spacing w:after="0"/>
              <w:rPr>
                <w:sz w:val="20"/>
                <w:szCs w:val="20"/>
                <w:color w:val="auto"/>
              </w:rPr>
            </w:pPr>
            <w:r>
              <w:rPr>
                <w:rFonts w:ascii="Arial" w:cs="Arial" w:eastAsia="Arial" w:hAnsi="Arial"/>
                <w:sz w:val="18"/>
                <w:szCs w:val="18"/>
                <w:b w:val="1"/>
                <w:bCs w:val="1"/>
                <w:color w:val="auto"/>
              </w:rPr>
              <w:t>Depreciation</w:t>
            </w:r>
          </w:p>
        </w:tc>
        <w:tc>
          <w:tcPr>
            <w:tcW w:w="300" w:type="dxa"/>
            <w:vAlign w:val="bottom"/>
            <w:shd w:val="clear" w:color="auto" w:fill="C2F3F2"/>
          </w:tcPr>
          <w:p>
            <w:pPr>
              <w:spacing w:after="0"/>
              <w:rPr>
                <w:sz w:val="19"/>
                <w:szCs w:val="19"/>
                <w:color w:val="auto"/>
              </w:rPr>
            </w:pPr>
          </w:p>
        </w:tc>
        <w:tc>
          <w:tcPr>
            <w:tcW w:w="1000" w:type="dxa"/>
            <w:vAlign w:val="bottom"/>
            <w:shd w:val="clear" w:color="auto" w:fill="C2F3F2"/>
          </w:tcPr>
          <w:p>
            <w:pPr>
              <w:spacing w:after="0"/>
              <w:rPr>
                <w:sz w:val="19"/>
                <w:szCs w:val="19"/>
                <w:color w:val="auto"/>
              </w:rPr>
            </w:pPr>
          </w:p>
        </w:tc>
        <w:tc>
          <w:tcPr>
            <w:tcW w:w="40" w:type="dxa"/>
            <w:vAlign w:val="bottom"/>
            <w:shd w:val="clear" w:color="auto" w:fill="C2F3F2"/>
          </w:tcPr>
          <w:p>
            <w:pPr>
              <w:spacing w:after="0"/>
              <w:rPr>
                <w:sz w:val="19"/>
                <w:szCs w:val="19"/>
                <w:color w:val="auto"/>
              </w:rPr>
            </w:pPr>
          </w:p>
        </w:tc>
        <w:tc>
          <w:tcPr>
            <w:tcW w:w="280" w:type="dxa"/>
            <w:vAlign w:val="bottom"/>
            <w:shd w:val="clear" w:color="auto" w:fill="C2F3F2"/>
          </w:tcPr>
          <w:p>
            <w:pPr>
              <w:spacing w:after="0"/>
              <w:rPr>
                <w:sz w:val="19"/>
                <w:szCs w:val="19"/>
                <w:color w:val="auto"/>
              </w:rPr>
            </w:pPr>
          </w:p>
        </w:tc>
        <w:tc>
          <w:tcPr>
            <w:tcW w:w="240" w:type="dxa"/>
            <w:vAlign w:val="bottom"/>
            <w:shd w:val="clear" w:color="auto" w:fill="C2F3F2"/>
          </w:tcPr>
          <w:p>
            <w:pPr>
              <w:spacing w:after="0"/>
              <w:rPr>
                <w:sz w:val="19"/>
                <w:szCs w:val="19"/>
                <w:color w:val="auto"/>
              </w:rPr>
            </w:pPr>
          </w:p>
        </w:tc>
        <w:tc>
          <w:tcPr>
            <w:tcW w:w="20" w:type="dxa"/>
            <w:vAlign w:val="bottom"/>
            <w:shd w:val="clear" w:color="auto" w:fill="C2F3F2"/>
          </w:tcPr>
          <w:p>
            <w:pPr>
              <w:spacing w:after="0"/>
              <w:rPr>
                <w:sz w:val="19"/>
                <w:szCs w:val="19"/>
                <w:color w:val="auto"/>
              </w:rPr>
            </w:pPr>
          </w:p>
        </w:tc>
        <w:tc>
          <w:tcPr>
            <w:tcW w:w="300" w:type="dxa"/>
            <w:vAlign w:val="bottom"/>
            <w:shd w:val="clear" w:color="auto" w:fill="C2F3F2"/>
          </w:tcPr>
          <w:p>
            <w:pPr>
              <w:spacing w:after="0"/>
              <w:rPr>
                <w:sz w:val="19"/>
                <w:szCs w:val="19"/>
                <w:color w:val="auto"/>
              </w:rPr>
            </w:pPr>
          </w:p>
        </w:tc>
        <w:tc>
          <w:tcPr>
            <w:tcW w:w="960" w:type="dxa"/>
            <w:vAlign w:val="bottom"/>
            <w:shd w:val="clear" w:color="auto" w:fill="C2F3F2"/>
          </w:tcPr>
          <w:p>
            <w:pPr>
              <w:spacing w:after="0"/>
              <w:rPr>
                <w:sz w:val="19"/>
                <w:szCs w:val="19"/>
                <w:color w:val="auto"/>
              </w:rPr>
            </w:pPr>
          </w:p>
        </w:tc>
      </w:tr>
      <w:tr>
        <w:trPr>
          <w:trHeight w:val="229"/>
        </w:trPr>
        <w:tc>
          <w:tcPr>
            <w:tcW w:w="3340" w:type="dxa"/>
            <w:vAlign w:val="bottom"/>
            <w:gridSpan w:val="3"/>
          </w:tcPr>
          <w:p>
            <w:pPr>
              <w:ind w:left="42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1,370</w:t>
            </w:r>
          </w:p>
        </w:tc>
      </w:tr>
      <w:tr>
        <w:trPr>
          <w:trHeight w:val="231"/>
        </w:trPr>
        <w:tc>
          <w:tcPr>
            <w:tcW w:w="3340" w:type="dxa"/>
            <w:vAlign w:val="bottom"/>
            <w:gridSpan w:val="3"/>
            <w:shd w:val="clear" w:color="auto" w:fill="C2F3F2"/>
          </w:tcPr>
          <w:p>
            <w:pPr>
              <w:ind w:left="420"/>
              <w:spacing w:after="0"/>
              <w:rPr>
                <w:sz w:val="20"/>
                <w:szCs w:val="20"/>
                <w:color w:val="auto"/>
              </w:rPr>
            </w:pPr>
            <w:r>
              <w:rPr>
                <w:rFonts w:ascii="Arial" w:cs="Arial" w:eastAsia="Arial" w:hAnsi="Arial"/>
                <w:sz w:val="18"/>
                <w:szCs w:val="18"/>
                <w:color w:val="auto"/>
              </w:rPr>
              <w:t>Live Events</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2,180</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1,806</w:t>
            </w:r>
          </w:p>
        </w:tc>
      </w:tr>
      <w:tr>
        <w:trPr>
          <w:trHeight w:val="229"/>
        </w:trPr>
        <w:tc>
          <w:tcPr>
            <w:tcW w:w="3340" w:type="dxa"/>
            <w:vAlign w:val="bottom"/>
            <w:gridSpan w:val="3"/>
          </w:tcPr>
          <w:p>
            <w:pPr>
              <w:ind w:left="42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1,158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807</w:t>
            </w:r>
          </w:p>
        </w:tc>
      </w:tr>
      <w:tr>
        <w:trPr>
          <w:trHeight w:val="231"/>
        </w:trPr>
        <w:tc>
          <w:tcPr>
            <w:tcW w:w="3340" w:type="dxa"/>
            <w:vAlign w:val="bottom"/>
            <w:gridSpan w:val="3"/>
            <w:shd w:val="clear" w:color="auto" w:fill="C2F3F2"/>
          </w:tcPr>
          <w:p>
            <w:pPr>
              <w:ind w:left="420"/>
              <w:spacing w:after="0"/>
              <w:rPr>
                <w:sz w:val="20"/>
                <w:szCs w:val="20"/>
                <w:color w:val="auto"/>
              </w:rPr>
            </w:pPr>
            <w:r>
              <w:rPr>
                <w:rFonts w:ascii="Arial" w:cs="Arial" w:eastAsia="Arial" w:hAnsi="Arial"/>
                <w:sz w:val="18"/>
                <w:szCs w:val="18"/>
                <w:color w:val="auto"/>
              </w:rPr>
              <w:t>Transportation</w:t>
            </w:r>
          </w:p>
        </w:tc>
        <w:tc>
          <w:tcPr>
            <w:tcW w:w="300" w:type="dxa"/>
            <w:vAlign w:val="bottom"/>
            <w:shd w:val="clear" w:color="auto" w:fill="C2F3F2"/>
          </w:tcPr>
          <w:p>
            <w:pPr>
              <w:spacing w:after="0"/>
              <w:rPr>
                <w:sz w:val="20"/>
                <w:szCs w:val="20"/>
                <w:color w:val="auto"/>
              </w:rPr>
            </w:pP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494</w:t>
            </w:r>
          </w:p>
        </w:tc>
        <w:tc>
          <w:tcPr>
            <w:tcW w:w="4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2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442</w:t>
            </w:r>
          </w:p>
        </w:tc>
      </w:tr>
      <w:tr>
        <w:trPr>
          <w:trHeight w:val="229"/>
        </w:trPr>
        <w:tc>
          <w:tcPr>
            <w:tcW w:w="3240" w:type="dxa"/>
            <w:vAlign w:val="bottom"/>
            <w:tcBorders>
              <w:bottom w:val="single" w:sz="8" w:color="C2F3F2"/>
            </w:tcBorders>
            <w:gridSpan w:val="2"/>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2F3F2"/>
            </w:tcBorders>
          </w:tcPr>
          <w:p>
            <w:pPr>
              <w:spacing w:after="0"/>
              <w:rPr>
                <w:sz w:val="19"/>
                <w:szCs w:val="19"/>
                <w:color w:val="auto"/>
              </w:rPr>
            </w:pPr>
          </w:p>
        </w:tc>
        <w:tc>
          <w:tcPr>
            <w:tcW w:w="280" w:type="dxa"/>
            <w:vAlign w:val="bottom"/>
            <w:tcBorders>
              <w:bottom w:val="single" w:sz="8" w:color="C2F3F2"/>
            </w:tcBorders>
          </w:tcPr>
          <w:p>
            <w:pPr>
              <w:spacing w:after="0"/>
              <w:rPr>
                <w:sz w:val="19"/>
                <w:szCs w:val="19"/>
                <w:color w:val="auto"/>
              </w:rPr>
            </w:pPr>
          </w:p>
        </w:tc>
        <w:tc>
          <w:tcPr>
            <w:tcW w:w="240" w:type="dxa"/>
            <w:vAlign w:val="bottom"/>
            <w:tcBorders>
              <w:bottom w:val="single" w:sz="8" w:color="C2F3F2"/>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w:t>
            </w:r>
          </w:p>
        </w:tc>
      </w:tr>
      <w:tr>
        <w:trPr>
          <w:trHeight w:val="211"/>
        </w:trPr>
        <w:tc>
          <w:tcPr>
            <w:tcW w:w="3340" w:type="dxa"/>
            <w:vAlign w:val="bottom"/>
            <w:gridSpan w:val="3"/>
            <w:shd w:val="clear" w:color="auto" w:fill="C2F3F2"/>
          </w:tcPr>
          <w:p>
            <w:pPr>
              <w:ind w:left="42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5,963</w:t>
            </w:r>
          </w:p>
        </w:tc>
        <w:tc>
          <w:tcPr>
            <w:tcW w:w="40" w:type="dxa"/>
            <w:vAlign w:val="bottom"/>
            <w:shd w:val="clear" w:color="auto" w:fill="C2F3F2"/>
          </w:tcPr>
          <w:p>
            <w:pPr>
              <w:spacing w:after="0"/>
              <w:rPr>
                <w:sz w:val="18"/>
                <w:szCs w:val="18"/>
                <w:color w:val="auto"/>
              </w:rPr>
            </w:pPr>
          </w:p>
        </w:tc>
        <w:tc>
          <w:tcPr>
            <w:tcW w:w="280" w:type="dxa"/>
            <w:vAlign w:val="bottom"/>
            <w:shd w:val="clear" w:color="auto" w:fill="C2F3F2"/>
          </w:tcPr>
          <w:p>
            <w:pPr>
              <w:spacing w:after="0"/>
              <w:rPr>
                <w:sz w:val="18"/>
                <w:szCs w:val="18"/>
                <w:color w:val="auto"/>
              </w:rPr>
            </w:pPr>
          </w:p>
        </w:tc>
        <w:tc>
          <w:tcPr>
            <w:tcW w:w="240" w:type="dxa"/>
            <w:vAlign w:val="bottom"/>
            <w:shd w:val="clear" w:color="auto" w:fill="C2F3F2"/>
          </w:tcPr>
          <w:p>
            <w:pPr>
              <w:spacing w:after="0"/>
              <w:rPr>
                <w:sz w:val="18"/>
                <w:szCs w:val="18"/>
                <w:color w:val="auto"/>
              </w:rPr>
            </w:pPr>
          </w:p>
        </w:tc>
        <w:tc>
          <w:tcPr>
            <w:tcW w:w="20" w:type="dxa"/>
            <w:vAlign w:val="bottom"/>
            <w:shd w:val="clear" w:color="auto" w:fill="C2F3F2"/>
          </w:tcPr>
          <w:p>
            <w:pPr>
              <w:spacing w:after="0"/>
              <w:rPr>
                <w:sz w:val="18"/>
                <w:szCs w:val="18"/>
                <w:color w:val="auto"/>
              </w:rPr>
            </w:pPr>
          </w:p>
        </w:tc>
        <w:tc>
          <w:tcPr>
            <w:tcW w:w="3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4,584</w:t>
            </w:r>
          </w:p>
        </w:tc>
      </w:tr>
      <w:tr>
        <w:trPr>
          <w:trHeight w:val="20"/>
        </w:trPr>
        <w:tc>
          <w:tcPr>
            <w:tcW w:w="3080" w:type="dxa"/>
            <w:vAlign w:val="bottom"/>
            <w:tcBorders>
              <w:top w:val="single" w:sz="8" w:color="C2F3F2"/>
            </w:tcBorders>
          </w:tcPr>
          <w:p>
            <w:pPr>
              <w:spacing w:after="0" w:line="20" w:lineRule="exact"/>
              <w:rPr>
                <w:sz w:val="1"/>
                <w:szCs w:val="1"/>
                <w:color w:val="auto"/>
              </w:rPr>
            </w:pPr>
          </w:p>
        </w:tc>
        <w:tc>
          <w:tcPr>
            <w:tcW w:w="160" w:type="dxa"/>
            <w:vAlign w:val="bottom"/>
            <w:tcBorders>
              <w:top w:val="single" w:sz="8" w:color="C2F3F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2F3F2"/>
            </w:tcBorders>
          </w:tcPr>
          <w:p>
            <w:pPr>
              <w:spacing w:after="0" w:line="20" w:lineRule="exact"/>
              <w:rPr>
                <w:sz w:val="1"/>
                <w:szCs w:val="1"/>
                <w:color w:val="auto"/>
              </w:rPr>
            </w:pPr>
          </w:p>
        </w:tc>
        <w:tc>
          <w:tcPr>
            <w:tcW w:w="280" w:type="dxa"/>
            <w:vAlign w:val="bottom"/>
            <w:tcBorders>
              <w:top w:val="single" w:sz="8" w:color="C2F3F2"/>
            </w:tcBorders>
          </w:tcPr>
          <w:p>
            <w:pPr>
              <w:spacing w:after="0" w:line="20" w:lineRule="exact"/>
              <w:rPr>
                <w:sz w:val="1"/>
                <w:szCs w:val="1"/>
                <w:color w:val="auto"/>
              </w:rPr>
            </w:pPr>
          </w:p>
        </w:tc>
        <w:tc>
          <w:tcPr>
            <w:tcW w:w="240" w:type="dxa"/>
            <w:vAlign w:val="bottom"/>
            <w:tcBorders>
              <w:top w:val="single" w:sz="8" w:color="C2F3F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No single geographic area comprises a material amount of net sales or long-lived assets other than the United States. The following table presents information about us in the United States and elsewhere:</w:t>
      </w:r>
    </w:p>
    <w:p>
      <w:pPr>
        <w:spacing w:after="0" w:line="363"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United States</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Others</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454"/>
        </w:trPr>
        <w:tc>
          <w:tcPr>
            <w:tcW w:w="2900" w:type="dxa"/>
            <w:vAlign w:val="bottom"/>
          </w:tcPr>
          <w:p>
            <w:pPr>
              <w:ind w:left="100"/>
              <w:spacing w:after="0"/>
              <w:rPr>
                <w:sz w:val="20"/>
                <w:szCs w:val="20"/>
                <w:color w:val="auto"/>
              </w:rPr>
            </w:pPr>
            <w:r>
              <w:rPr>
                <w:rFonts w:ascii="Arial" w:cs="Arial" w:eastAsia="Arial" w:hAnsi="Arial"/>
                <w:sz w:val="18"/>
                <w:szCs w:val="18"/>
                <w:color w:val="auto"/>
              </w:rPr>
              <w:t>Net sales for three months ended:</w:t>
            </w: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339"/>
        </w:trPr>
        <w:tc>
          <w:tcPr>
            <w:tcW w:w="2900" w:type="dxa"/>
            <w:vAlign w:val="bottom"/>
            <w:shd w:val="clear" w:color="auto" w:fill="C2F3F2"/>
          </w:tcPr>
          <w:p>
            <w:pPr>
              <w:ind w:left="420"/>
              <w:spacing w:after="0"/>
              <w:rPr>
                <w:sz w:val="20"/>
                <w:szCs w:val="20"/>
                <w:color w:val="auto"/>
              </w:rPr>
            </w:pPr>
            <w:r>
              <w:rPr>
                <w:rFonts w:ascii="Arial" w:cs="Arial" w:eastAsia="Arial" w:hAnsi="Arial"/>
                <w:sz w:val="18"/>
                <w:szCs w:val="18"/>
                <w:color w:val="auto"/>
              </w:rPr>
              <w:t>August 2, 2008</w:t>
            </w:r>
          </w:p>
        </w:tc>
        <w:tc>
          <w:tcPr>
            <w:tcW w:w="3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135,031</w:t>
            </w:r>
          </w:p>
        </w:tc>
        <w:tc>
          <w:tcPr>
            <w:tcW w:w="260" w:type="dxa"/>
            <w:vAlign w:val="bottom"/>
            <w:shd w:val="clear" w:color="auto" w:fill="C2F3F2"/>
          </w:tcPr>
          <w:p>
            <w:pPr>
              <w:spacing w:after="0"/>
              <w:rPr>
                <w:sz w:val="24"/>
                <w:szCs w:val="24"/>
                <w:color w:val="auto"/>
              </w:rPr>
            </w:pPr>
          </w:p>
        </w:tc>
        <w:tc>
          <w:tcPr>
            <w:tcW w:w="2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2F3F2"/>
          </w:tcPr>
          <w:p>
            <w:pPr>
              <w:ind w:left="100"/>
              <w:spacing w:after="0"/>
              <w:rPr>
                <w:sz w:val="20"/>
                <w:szCs w:val="20"/>
                <w:color w:val="auto"/>
              </w:rPr>
            </w:pPr>
            <w:r>
              <w:rPr>
                <w:rFonts w:ascii="Arial" w:cs="Arial" w:eastAsia="Arial" w:hAnsi="Arial"/>
                <w:sz w:val="18"/>
                <w:szCs w:val="18"/>
                <w:color w:val="auto"/>
              </w:rPr>
              <w:t>26,198</w:t>
            </w:r>
          </w:p>
        </w:tc>
        <w:tc>
          <w:tcPr>
            <w:tcW w:w="260" w:type="dxa"/>
            <w:vAlign w:val="bottom"/>
            <w:shd w:val="clear" w:color="auto" w:fill="C2F3F2"/>
          </w:tcPr>
          <w:p>
            <w:pPr>
              <w:spacing w:after="0"/>
              <w:rPr>
                <w:sz w:val="24"/>
                <w:szCs w:val="24"/>
                <w:color w:val="auto"/>
              </w:rPr>
            </w:pPr>
          </w:p>
        </w:tc>
        <w:tc>
          <w:tcPr>
            <w:tcW w:w="3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2F3F2"/>
          </w:tcPr>
          <w:p>
            <w:pPr>
              <w:ind w:left="120"/>
              <w:spacing w:after="0"/>
              <w:rPr>
                <w:sz w:val="20"/>
                <w:szCs w:val="20"/>
                <w:color w:val="auto"/>
              </w:rPr>
            </w:pPr>
            <w:r>
              <w:rPr>
                <w:rFonts w:ascii="Arial" w:cs="Arial" w:eastAsia="Arial" w:hAnsi="Arial"/>
                <w:sz w:val="18"/>
                <w:szCs w:val="18"/>
                <w:color w:val="auto"/>
              </w:rPr>
              <w:t>161,229</w:t>
            </w:r>
          </w:p>
        </w:tc>
      </w:tr>
      <w:tr>
        <w:trPr>
          <w:trHeight w:val="242"/>
        </w:trPr>
        <w:tc>
          <w:tcPr>
            <w:tcW w:w="2900" w:type="dxa"/>
            <w:vAlign w:val="bottom"/>
          </w:tcPr>
          <w:p>
            <w:pPr>
              <w:ind w:left="420"/>
              <w:spacing w:after="0"/>
              <w:rPr>
                <w:sz w:val="20"/>
                <w:szCs w:val="20"/>
                <w:color w:val="auto"/>
              </w:rPr>
            </w:pPr>
            <w:r>
              <w:rPr>
                <w:rFonts w:ascii="Arial" w:cs="Arial" w:eastAsia="Arial" w:hAnsi="Arial"/>
                <w:sz w:val="18"/>
                <w:szCs w:val="18"/>
                <w:color w:val="auto"/>
              </w:rPr>
              <w:t>July 28, 2007</w:t>
            </w:r>
          </w:p>
        </w:tc>
        <w:tc>
          <w:tcPr>
            <w:tcW w:w="300" w:type="dxa"/>
            <w:vAlign w:val="bottom"/>
          </w:tcPr>
          <w:p>
            <w:pPr>
              <w:spacing w:after="0"/>
              <w:rPr>
                <w:sz w:val="21"/>
                <w:szCs w:val="21"/>
                <w:color w:val="auto"/>
              </w:rPr>
            </w:pPr>
          </w:p>
        </w:tc>
        <w:tc>
          <w:tcPr>
            <w:tcW w:w="1400" w:type="dxa"/>
            <w:vAlign w:val="bottom"/>
          </w:tcPr>
          <w:p>
            <w:pPr>
              <w:ind w:left="100"/>
              <w:spacing w:after="0"/>
              <w:rPr>
                <w:sz w:val="20"/>
                <w:szCs w:val="20"/>
                <w:color w:val="auto"/>
              </w:rPr>
            </w:pPr>
            <w:r>
              <w:rPr>
                <w:rFonts w:ascii="Arial" w:cs="Arial" w:eastAsia="Arial" w:hAnsi="Arial"/>
                <w:sz w:val="18"/>
                <w:szCs w:val="18"/>
                <w:color w:val="auto"/>
              </w:rPr>
              <w:t>111,838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ind w:left="100"/>
              <w:spacing w:after="0"/>
              <w:rPr>
                <w:sz w:val="20"/>
                <w:szCs w:val="20"/>
                <w:color w:val="auto"/>
              </w:rPr>
            </w:pPr>
            <w:r>
              <w:rPr>
                <w:rFonts w:ascii="Arial" w:cs="Arial" w:eastAsia="Arial" w:hAnsi="Arial"/>
                <w:sz w:val="18"/>
                <w:szCs w:val="18"/>
                <w:color w:val="auto"/>
              </w:rPr>
              <w:t>9,085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120,923</w:t>
            </w:r>
          </w:p>
        </w:tc>
      </w:tr>
      <w:tr>
        <w:trPr>
          <w:trHeight w:val="244"/>
        </w:trPr>
        <w:tc>
          <w:tcPr>
            <w:tcW w:w="2900" w:type="dxa"/>
            <w:vAlign w:val="bottom"/>
            <w:shd w:val="clear" w:color="auto" w:fill="C2F3F2"/>
          </w:tcPr>
          <w:p>
            <w:pPr>
              <w:spacing w:after="0"/>
              <w:rPr>
                <w:sz w:val="21"/>
                <w:szCs w:val="21"/>
                <w:color w:val="auto"/>
              </w:rPr>
            </w:pPr>
          </w:p>
        </w:tc>
        <w:tc>
          <w:tcPr>
            <w:tcW w:w="300" w:type="dxa"/>
            <w:vAlign w:val="bottom"/>
            <w:shd w:val="clear" w:color="auto" w:fill="C2F3F2"/>
          </w:tcPr>
          <w:p>
            <w:pPr>
              <w:spacing w:after="0"/>
              <w:rPr>
                <w:sz w:val="21"/>
                <w:szCs w:val="21"/>
                <w:color w:val="auto"/>
              </w:rPr>
            </w:pPr>
          </w:p>
        </w:tc>
        <w:tc>
          <w:tcPr>
            <w:tcW w:w="1400" w:type="dxa"/>
            <w:vAlign w:val="bottom"/>
            <w:shd w:val="clear" w:color="auto" w:fill="C2F3F2"/>
          </w:tcPr>
          <w:p>
            <w:pPr>
              <w:spacing w:after="0"/>
              <w:rPr>
                <w:sz w:val="21"/>
                <w:szCs w:val="21"/>
                <w:color w:val="auto"/>
              </w:rPr>
            </w:pPr>
          </w:p>
        </w:tc>
        <w:tc>
          <w:tcPr>
            <w:tcW w:w="260" w:type="dxa"/>
            <w:vAlign w:val="bottom"/>
            <w:shd w:val="clear" w:color="auto" w:fill="C2F3F2"/>
          </w:tcPr>
          <w:p>
            <w:pPr>
              <w:spacing w:after="0"/>
              <w:rPr>
                <w:sz w:val="21"/>
                <w:szCs w:val="21"/>
                <w:color w:val="auto"/>
              </w:rPr>
            </w:pPr>
          </w:p>
        </w:tc>
        <w:tc>
          <w:tcPr>
            <w:tcW w:w="280" w:type="dxa"/>
            <w:vAlign w:val="bottom"/>
            <w:shd w:val="clear" w:color="auto" w:fill="C2F3F2"/>
          </w:tcPr>
          <w:p>
            <w:pPr>
              <w:spacing w:after="0"/>
              <w:rPr>
                <w:sz w:val="21"/>
                <w:szCs w:val="21"/>
                <w:color w:val="auto"/>
              </w:rPr>
            </w:pPr>
          </w:p>
        </w:tc>
        <w:tc>
          <w:tcPr>
            <w:tcW w:w="1220" w:type="dxa"/>
            <w:vAlign w:val="bottom"/>
            <w:shd w:val="clear" w:color="auto" w:fill="C2F3F2"/>
          </w:tcPr>
          <w:p>
            <w:pPr>
              <w:spacing w:after="0"/>
              <w:rPr>
                <w:sz w:val="21"/>
                <w:szCs w:val="21"/>
                <w:color w:val="auto"/>
              </w:rPr>
            </w:pPr>
          </w:p>
        </w:tc>
        <w:tc>
          <w:tcPr>
            <w:tcW w:w="260" w:type="dxa"/>
            <w:vAlign w:val="bottom"/>
            <w:shd w:val="clear" w:color="auto" w:fill="C2F3F2"/>
          </w:tcPr>
          <w:p>
            <w:pPr>
              <w:spacing w:after="0"/>
              <w:rPr>
                <w:sz w:val="21"/>
                <w:szCs w:val="21"/>
                <w:color w:val="auto"/>
              </w:rPr>
            </w:pPr>
          </w:p>
        </w:tc>
        <w:tc>
          <w:tcPr>
            <w:tcW w:w="300" w:type="dxa"/>
            <w:vAlign w:val="bottom"/>
            <w:shd w:val="clear" w:color="auto" w:fill="C2F3F2"/>
          </w:tcPr>
          <w:p>
            <w:pPr>
              <w:spacing w:after="0"/>
              <w:rPr>
                <w:sz w:val="21"/>
                <w:szCs w:val="21"/>
                <w:color w:val="auto"/>
              </w:rPr>
            </w:pPr>
          </w:p>
        </w:tc>
        <w:tc>
          <w:tcPr>
            <w:tcW w:w="1180" w:type="dxa"/>
            <w:vAlign w:val="bottom"/>
            <w:shd w:val="clear" w:color="auto" w:fill="C2F3F2"/>
          </w:tcPr>
          <w:p>
            <w:pPr>
              <w:spacing w:after="0"/>
              <w:rPr>
                <w:sz w:val="21"/>
                <w:szCs w:val="21"/>
                <w:color w:val="auto"/>
              </w:rPr>
            </w:pPr>
          </w:p>
        </w:tc>
      </w:tr>
      <w:tr>
        <w:trPr>
          <w:trHeight w:val="242"/>
        </w:trPr>
        <w:tc>
          <w:tcPr>
            <w:tcW w:w="2900" w:type="dxa"/>
            <w:vAlign w:val="bottom"/>
          </w:tcPr>
          <w:p>
            <w:pPr>
              <w:ind w:left="100"/>
              <w:spacing w:after="0"/>
              <w:rPr>
                <w:sz w:val="20"/>
                <w:szCs w:val="20"/>
                <w:color w:val="auto"/>
              </w:rPr>
            </w:pPr>
            <w:r>
              <w:rPr>
                <w:rFonts w:ascii="Arial" w:cs="Arial" w:eastAsia="Arial" w:hAnsi="Arial"/>
                <w:sz w:val="18"/>
                <w:szCs w:val="18"/>
                <w:color w:val="auto"/>
              </w:rPr>
              <w:t>Long-lived assets at:</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4"/>
        </w:trPr>
        <w:tc>
          <w:tcPr>
            <w:tcW w:w="2900" w:type="dxa"/>
            <w:vAlign w:val="bottom"/>
            <w:shd w:val="clear" w:color="auto" w:fill="C2F3F2"/>
          </w:tcPr>
          <w:p>
            <w:pPr>
              <w:ind w:left="420"/>
              <w:spacing w:after="0"/>
              <w:rPr>
                <w:sz w:val="20"/>
                <w:szCs w:val="20"/>
                <w:color w:val="auto"/>
              </w:rPr>
            </w:pPr>
            <w:r>
              <w:rPr>
                <w:rFonts w:ascii="Arial" w:cs="Arial" w:eastAsia="Arial" w:hAnsi="Arial"/>
                <w:sz w:val="18"/>
                <w:szCs w:val="18"/>
                <w:color w:val="auto"/>
              </w:rPr>
              <w:t>August 2, 2008</w:t>
            </w:r>
          </w:p>
        </w:tc>
        <w:tc>
          <w:tcPr>
            <w:tcW w:w="3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94,645</w:t>
            </w:r>
          </w:p>
        </w:tc>
        <w:tc>
          <w:tcPr>
            <w:tcW w:w="260" w:type="dxa"/>
            <w:vAlign w:val="bottom"/>
            <w:shd w:val="clear" w:color="auto" w:fill="C2F3F2"/>
          </w:tcPr>
          <w:p>
            <w:pPr>
              <w:spacing w:after="0"/>
              <w:rPr>
                <w:sz w:val="21"/>
                <w:szCs w:val="21"/>
                <w:color w:val="auto"/>
              </w:rPr>
            </w:pPr>
          </w:p>
        </w:tc>
        <w:tc>
          <w:tcPr>
            <w:tcW w:w="2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2F3F2"/>
          </w:tcPr>
          <w:p>
            <w:pPr>
              <w:ind w:left="100"/>
              <w:spacing w:after="0"/>
              <w:rPr>
                <w:sz w:val="20"/>
                <w:szCs w:val="20"/>
                <w:color w:val="auto"/>
              </w:rPr>
            </w:pPr>
            <w:r>
              <w:rPr>
                <w:rFonts w:ascii="Arial" w:cs="Arial" w:eastAsia="Arial" w:hAnsi="Arial"/>
                <w:sz w:val="18"/>
                <w:szCs w:val="18"/>
                <w:color w:val="auto"/>
              </w:rPr>
              <w:t>1,970</w:t>
            </w:r>
          </w:p>
        </w:tc>
        <w:tc>
          <w:tcPr>
            <w:tcW w:w="260" w:type="dxa"/>
            <w:vAlign w:val="bottom"/>
            <w:shd w:val="clear" w:color="auto" w:fill="C2F3F2"/>
          </w:tcPr>
          <w:p>
            <w:pPr>
              <w:spacing w:after="0"/>
              <w:rPr>
                <w:sz w:val="21"/>
                <w:szCs w:val="21"/>
                <w:color w:val="auto"/>
              </w:rPr>
            </w:pPr>
          </w:p>
        </w:tc>
        <w:tc>
          <w:tcPr>
            <w:tcW w:w="3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2F3F2"/>
          </w:tcPr>
          <w:p>
            <w:pPr>
              <w:ind w:left="120"/>
              <w:spacing w:after="0"/>
              <w:rPr>
                <w:sz w:val="20"/>
                <w:szCs w:val="20"/>
                <w:color w:val="auto"/>
              </w:rPr>
            </w:pPr>
            <w:r>
              <w:rPr>
                <w:rFonts w:ascii="Arial" w:cs="Arial" w:eastAsia="Arial" w:hAnsi="Arial"/>
                <w:sz w:val="18"/>
                <w:szCs w:val="18"/>
                <w:color w:val="auto"/>
              </w:rPr>
              <w:t>96,615</w:t>
            </w:r>
          </w:p>
        </w:tc>
      </w:tr>
      <w:tr>
        <w:trPr>
          <w:trHeight w:val="241"/>
        </w:trPr>
        <w:tc>
          <w:tcPr>
            <w:tcW w:w="2900" w:type="dxa"/>
            <w:vAlign w:val="bottom"/>
          </w:tcPr>
          <w:p>
            <w:pPr>
              <w:ind w:left="420"/>
              <w:spacing w:after="0"/>
              <w:rPr>
                <w:sz w:val="20"/>
                <w:szCs w:val="20"/>
                <w:color w:val="auto"/>
              </w:rPr>
            </w:pPr>
            <w:r>
              <w:rPr>
                <w:rFonts w:ascii="Arial" w:cs="Arial" w:eastAsia="Arial" w:hAnsi="Arial"/>
                <w:sz w:val="18"/>
                <w:szCs w:val="18"/>
                <w:color w:val="auto"/>
              </w:rPr>
              <w:t>April 26, 2008</w:t>
            </w:r>
          </w:p>
        </w:tc>
        <w:tc>
          <w:tcPr>
            <w:tcW w:w="30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8"/>
                <w:szCs w:val="18"/>
                <w:color w:val="auto"/>
              </w:rPr>
              <w:t>95,463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ind w:left="100"/>
              <w:spacing w:after="0"/>
              <w:rPr>
                <w:sz w:val="20"/>
                <w:szCs w:val="20"/>
                <w:color w:val="auto"/>
              </w:rPr>
            </w:pPr>
            <w:r>
              <w:rPr>
                <w:rFonts w:ascii="Arial" w:cs="Arial" w:eastAsia="Arial" w:hAnsi="Arial"/>
                <w:sz w:val="18"/>
                <w:szCs w:val="18"/>
                <w:color w:val="auto"/>
              </w:rPr>
              <w:t>2,060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97,523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8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options under the 2001 Incentive Stock Option Plan, the 2001 Outside Directors Option Plan (“2001 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have a seven-year life, an exercise price equal to the fair market value on the date of grant and a three-year vesting period. The restricted stock granted to the Board of Directors vests in one year, provided that they remain on the board. As with stock options, restricted stock ownership cannot be transferred during the vesting period.</w:t>
      </w:r>
    </w:p>
    <w:p>
      <w:pPr>
        <w:spacing w:after="0" w:line="2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total number of shares of stock reserved and available for distribution under the 2007 Plan is 4,000.</w:t>
      </w:r>
    </w:p>
    <w:p>
      <w:pPr>
        <w:sectPr>
          <w:pgSz w:w="11900" w:h="16838" w:orient="portrait"/>
          <w:cols w:equalWidth="0" w:num="1">
            <w:col w:w="10219"/>
          </w:cols>
          <w:pgMar w:left="240" w:top="125" w:right="1440" w:bottom="0" w:gutter="0" w:footer="0" w:header="0"/>
          <w:type w:val="continuous"/>
        </w:sectPr>
      </w:pPr>
    </w:p>
    <w:bookmarkStart w:id="10" w:name="page11"/>
    <w:bookmarkEnd w:id="10"/>
    <w:p>
      <w:pPr>
        <w:jc w:val="both"/>
        <w:ind w:right="2099"/>
        <w:spacing w:after="0" w:line="256" w:lineRule="auto"/>
        <w:rPr>
          <w:sz w:val="20"/>
          <w:szCs w:val="20"/>
          <w:color w:val="auto"/>
        </w:rPr>
      </w:pPr>
      <w:r>
        <w:rPr>
          <w:rFonts w:ascii="Arial" w:cs="Arial" w:eastAsia="Arial" w:hAnsi="Arial"/>
          <w:sz w:val="18"/>
          <w:szCs w:val="18"/>
          <w:color w:val="auto"/>
        </w:rPr>
        <w:t>We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2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u w:val="single" w:color="auto"/>
          <w:color w:val="auto"/>
        </w:rPr>
        <w:t>Share-Based Compensation Expense.</w:t>
      </w:r>
      <w:r>
        <w:rPr>
          <w:rFonts w:ascii="Arial" w:cs="Arial" w:eastAsia="Arial" w:hAnsi="Arial"/>
          <w:sz w:val="16"/>
          <w:szCs w:val="16"/>
          <w:color w:val="auto"/>
        </w:rPr>
        <w:t>A summary of the share-based compensation expense for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and our ESPP that we recorded in accordance with SFAS No. 123(R)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b w:val="1"/>
                <w:bCs w:val="1"/>
                <w:color w:val="auto"/>
              </w:rPr>
              <w:t>July 28,</w:t>
            </w:r>
          </w:p>
        </w:tc>
      </w:tr>
      <w:tr>
        <w:trPr>
          <w:trHeight w:val="229"/>
        </w:trPr>
        <w:tc>
          <w:tcPr>
            <w:tcW w:w="3800" w:type="dxa"/>
            <w:vAlign w:val="bottom"/>
            <w:tcBorders>
              <w:bottom w:val="single" w:sz="8" w:color="C2F3F2"/>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r>
      <w:tr>
        <w:trPr>
          <w:trHeight w:val="211"/>
        </w:trPr>
        <w:tc>
          <w:tcPr>
            <w:tcW w:w="38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2F3F2"/>
          </w:tcPr>
          <w:p>
            <w:pPr>
              <w:spacing w:after="0"/>
              <w:rPr>
                <w:sz w:val="18"/>
                <w:szCs w:val="18"/>
                <w:color w:val="auto"/>
              </w:rPr>
            </w:pPr>
          </w:p>
        </w:tc>
        <w:tc>
          <w:tcPr>
            <w:tcW w:w="340" w:type="dxa"/>
            <w:vAlign w:val="bottom"/>
            <w:shd w:val="clear" w:color="auto" w:fill="C2F3F2"/>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2F3F2"/>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3800" w:type="dxa"/>
            <w:vAlign w:val="bottom"/>
          </w:tcPr>
          <w:p>
            <w:pPr>
              <w:ind w:left="100"/>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1"/>
        </w:trPr>
        <w:tc>
          <w:tcPr>
            <w:tcW w:w="38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2F3F2"/>
          </w:tcPr>
          <w:p>
            <w:pPr>
              <w:spacing w:after="0"/>
              <w:rPr>
                <w:sz w:val="20"/>
                <w:szCs w:val="20"/>
                <w:color w:val="auto"/>
              </w:rPr>
            </w:pPr>
          </w:p>
        </w:tc>
        <w:tc>
          <w:tcPr>
            <w:tcW w:w="10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2F3F2"/>
          </w:tcPr>
          <w:p>
            <w:pPr>
              <w:spacing w:after="0"/>
              <w:rPr>
                <w:sz w:val="20"/>
                <w:szCs w:val="20"/>
                <w:color w:val="auto"/>
              </w:rPr>
            </w:pPr>
          </w:p>
        </w:tc>
        <w:tc>
          <w:tcPr>
            <w:tcW w:w="340" w:type="dxa"/>
            <w:vAlign w:val="bottom"/>
            <w:shd w:val="clear" w:color="auto" w:fill="C2F3F2"/>
          </w:tcPr>
          <w:p>
            <w:pPr>
              <w:spacing w:after="0"/>
              <w:rPr>
                <w:sz w:val="20"/>
                <w:szCs w:val="20"/>
                <w:color w:val="auto"/>
              </w:rPr>
            </w:pPr>
          </w:p>
        </w:tc>
        <w:tc>
          <w:tcPr>
            <w:tcW w:w="118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380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Product development and design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w:t>
            </w:r>
          </w:p>
        </w:tc>
        <w:tc>
          <w:tcPr>
            <w:tcW w:w="280" w:type="dxa"/>
            <w:vAlign w:val="bottom"/>
            <w:tcBorders>
              <w:bottom w:val="single" w:sz="8" w:color="C2F3F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11"/>
        </w:trPr>
        <w:tc>
          <w:tcPr>
            <w:tcW w:w="3800" w:type="dxa"/>
            <w:vAlign w:val="bottom"/>
            <w:shd w:val="clear" w:color="auto" w:fill="C2F3F2"/>
          </w:tcPr>
          <w:p>
            <w:pPr>
              <w:ind w:left="420"/>
              <w:spacing w:after="0"/>
              <w:rPr>
                <w:sz w:val="20"/>
                <w:szCs w:val="20"/>
                <w:color w:val="auto"/>
              </w:rPr>
            </w:pPr>
            <w:r>
              <w:rPr>
                <w:rFonts w:ascii="Arial" w:cs="Arial" w:eastAsia="Arial" w:hAnsi="Arial"/>
                <w:sz w:val="18"/>
                <w:szCs w:val="18"/>
                <w:color w:val="auto"/>
              </w:rPr>
              <w:t>Decrease in net income before taxes</w:t>
            </w:r>
          </w:p>
        </w:tc>
        <w:tc>
          <w:tcPr>
            <w:tcW w:w="24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2F3F2"/>
          </w:tcPr>
          <w:p>
            <w:pPr>
              <w:spacing w:after="0"/>
              <w:rPr>
                <w:sz w:val="18"/>
                <w:szCs w:val="18"/>
                <w:color w:val="auto"/>
              </w:rPr>
            </w:pPr>
          </w:p>
        </w:tc>
        <w:tc>
          <w:tcPr>
            <w:tcW w:w="340" w:type="dxa"/>
            <w:vAlign w:val="bottom"/>
            <w:tcBorders>
              <w:bottom w:val="single" w:sz="8" w:color="auto"/>
            </w:tcBorders>
            <w:shd w:val="clear" w:color="auto" w:fill="C2F3F2"/>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608</w:t>
            </w:r>
          </w:p>
        </w:tc>
      </w:tr>
      <w:tr>
        <w:trPr>
          <w:trHeight w:val="210"/>
        </w:trPr>
        <w:tc>
          <w:tcPr>
            <w:tcW w:w="3800" w:type="dxa"/>
            <w:vAlign w:val="bottom"/>
          </w:tcPr>
          <w:p>
            <w:pPr>
              <w:ind w:left="420"/>
              <w:spacing w:after="0"/>
              <w:rPr>
                <w:sz w:val="20"/>
                <w:szCs w:val="20"/>
                <w:color w:val="auto"/>
              </w:rPr>
            </w:pPr>
            <w:r>
              <w:rPr>
                <w:rFonts w:ascii="Arial" w:cs="Arial" w:eastAsia="Arial" w:hAnsi="Arial"/>
                <w:sz w:val="18"/>
                <w:szCs w:val="18"/>
                <w:color w:val="auto"/>
                <w:w w:val="91"/>
              </w:rPr>
              <w:t>Effect on basic and diluted earnings per 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66" w:lineRule="auto"/>
        <w:rPr>
          <w:sz w:val="20"/>
          <w:szCs w:val="20"/>
          <w:color w:val="auto"/>
        </w:rPr>
      </w:pPr>
      <w:r>
        <w:rPr>
          <w:rFonts w:ascii="Arial" w:cs="Arial" w:eastAsia="Arial" w:hAnsi="Arial"/>
          <w:sz w:val="18"/>
          <w:szCs w:val="18"/>
          <w:color w:val="auto"/>
        </w:rPr>
        <w:t>As of August 2, 2008, there was $6,706 of total unrecognized compensation cost related to non-vested share-based compensation arrangements granted under all of our equity compensation plans. Total unrecognized compensation cost will be adjusted for future changes in estimated forfeitures. We expect to recognize that cost over a weighted average period of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85"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 xml:space="preserve">We follow the provisions of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as applicable. The foreign currency translation adjustment included in comprehensive income has not been tax affected, as the investments in foreign affiliates is deemed to be permanent. In accordance with SFAS No. 130, we have chosen to disclose comprehensive income in the consolidated statement of shareholders’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 summary of comprehensive income that we recorded in accordance with SFAS No. 130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w:t>
            </w:r>
          </w:p>
        </w:tc>
        <w:tc>
          <w:tcPr>
            <w:tcW w:w="28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b w:val="1"/>
                <w:bCs w:val="1"/>
                <w:color w:val="auto"/>
              </w:rPr>
              <w:t>July 28,</w:t>
            </w:r>
          </w:p>
        </w:tc>
      </w:tr>
      <w:tr>
        <w:trPr>
          <w:trHeight w:val="229"/>
        </w:trPr>
        <w:tc>
          <w:tcPr>
            <w:tcW w:w="4100" w:type="dxa"/>
            <w:vAlign w:val="bottom"/>
            <w:tcBorders>
              <w:bottom w:val="single" w:sz="8" w:color="C2F3F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C2F3F2"/>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2007</w:t>
            </w:r>
          </w:p>
        </w:tc>
      </w:tr>
      <w:tr>
        <w:trPr>
          <w:trHeight w:val="211"/>
        </w:trPr>
        <w:tc>
          <w:tcPr>
            <w:tcW w:w="4100" w:type="dxa"/>
            <w:vAlign w:val="bottom"/>
            <w:shd w:val="clear" w:color="auto" w:fill="C2F3F2"/>
          </w:tcPr>
          <w:p>
            <w:pPr>
              <w:ind w:left="10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9,727</w:t>
            </w:r>
          </w:p>
        </w:tc>
        <w:tc>
          <w:tcPr>
            <w:tcW w:w="320" w:type="dxa"/>
            <w:vAlign w:val="bottom"/>
            <w:shd w:val="clear" w:color="auto" w:fill="C2F3F2"/>
          </w:tcPr>
          <w:p>
            <w:pPr>
              <w:spacing w:after="0"/>
              <w:rPr>
                <w:sz w:val="18"/>
                <w:szCs w:val="18"/>
                <w:color w:val="auto"/>
              </w:rPr>
            </w:pPr>
          </w:p>
        </w:tc>
        <w:tc>
          <w:tcPr>
            <w:tcW w:w="28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7,111</w:t>
            </w:r>
          </w:p>
        </w:tc>
      </w:tr>
      <w:tr>
        <w:trPr>
          <w:trHeight w:val="229"/>
        </w:trPr>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1"/>
        </w:trPr>
        <w:tc>
          <w:tcPr>
            <w:tcW w:w="4100" w:type="dxa"/>
            <w:vAlign w:val="bottom"/>
            <w:shd w:val="clear" w:color="auto" w:fill="C2F3F2"/>
          </w:tcPr>
          <w:p>
            <w:pPr>
              <w:ind w:left="38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110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95</w:t>
            </w:r>
          </w:p>
        </w:tc>
      </w:tr>
      <w:tr>
        <w:trPr>
          <w:trHeight w:val="229"/>
        </w:trPr>
        <w:tc>
          <w:tcPr>
            <w:tcW w:w="4100" w:type="dxa"/>
            <w:vAlign w:val="bottom"/>
            <w:tcBorders>
              <w:bottom w:val="single" w:sz="8" w:color="C2F3F2"/>
            </w:tcBorders>
          </w:tcPr>
          <w:p>
            <w:pPr>
              <w:ind w:left="380"/>
              <w:spacing w:after="0"/>
              <w:rPr>
                <w:sz w:val="20"/>
                <w:szCs w:val="20"/>
                <w:color w:val="auto"/>
              </w:rPr>
            </w:pPr>
            <w:r>
              <w:rPr>
                <w:rFonts w:ascii="Arial" w:cs="Arial" w:eastAsia="Arial" w:hAnsi="Arial"/>
                <w:sz w:val="18"/>
                <w:szCs w:val="18"/>
                <w:color w:val="auto"/>
              </w:rPr>
              <w:t>Net gain (loss) on derivatives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2F3F2"/>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11"/>
        </w:trPr>
        <w:tc>
          <w:tcPr>
            <w:tcW w:w="4100" w:type="dxa"/>
            <w:vAlign w:val="bottom"/>
            <w:tcBorders>
              <w:bottom w:val="single" w:sz="8" w:color="C2F3F2"/>
            </w:tcBorders>
            <w:shd w:val="clear" w:color="auto" w:fill="C2F3F2"/>
          </w:tcPr>
          <w:p>
            <w:pPr>
              <w:ind w:left="7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9,671</w:t>
            </w:r>
          </w:p>
        </w:tc>
        <w:tc>
          <w:tcPr>
            <w:tcW w:w="320" w:type="dxa"/>
            <w:vAlign w:val="bottom"/>
            <w:tcBorders>
              <w:bottom w:val="single" w:sz="8" w:color="C2F3F2"/>
            </w:tcBorders>
            <w:shd w:val="clear" w:color="auto" w:fill="C2F3F2"/>
          </w:tcPr>
          <w:p>
            <w:pPr>
              <w:spacing w:after="0"/>
              <w:rPr>
                <w:sz w:val="18"/>
                <w:szCs w:val="18"/>
                <w:color w:val="auto"/>
              </w:rPr>
            </w:pPr>
          </w:p>
        </w:tc>
        <w:tc>
          <w:tcPr>
            <w:tcW w:w="2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7,211</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221" w:lineRule="exact"/>
        <w:rPr>
          <w:sz w:val="20"/>
          <w:szCs w:val="20"/>
          <w:color w:val="auto"/>
        </w:rPr>
      </w:pPr>
    </w:p>
    <w:p>
      <w:pPr>
        <w:jc w:val="both"/>
        <w:ind w:right="2119"/>
        <w:spacing w:after="0" w:line="252" w:lineRule="auto"/>
        <w:rPr>
          <w:sz w:val="20"/>
          <w:szCs w:val="20"/>
          <w:color w:val="auto"/>
        </w:rPr>
      </w:pPr>
      <w:r>
        <w:rPr>
          <w:rFonts w:ascii="Arial" w:cs="Arial" w:eastAsia="Arial" w:hAnsi="Arial"/>
          <w:sz w:val="18"/>
          <w:szCs w:val="18"/>
          <w:color w:val="auto"/>
        </w:rPr>
        <w:t>In connection with the sale of equipment to a financial institution, we entered into a contractual arrangement whereby we agreed to repurchase equipment at the end of the lease term at a fixed price of approximately $1,100. We have recognized a guarantee liability in the amount of $200 under the provisions of FIN No. 45, “Guarantor’s Accounting and Disclosure Requirements for Guarantees, Including Indirect Guarantees of Indebtedness of Others” in the accompanying financial statements.</w:t>
      </w:r>
    </w:p>
    <w:p>
      <w:pPr>
        <w:ind w:left="386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offer a standard parts coverage warranty for periods varying from one to five years for all of our 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warranties for the three months ended August 2, 2008 consisted of the following:</w:t>
      </w:r>
    </w:p>
    <w:p>
      <w:pPr>
        <w:spacing w:after="0" w:line="28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87725" cy="121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7725" cy="121920"/>
                    </a:xfrm>
                    <a:prstGeom prst="rect">
                      <a:avLst/>
                    </a:prstGeom>
                    <a:noFill/>
                  </pic:spPr>
                </pic:pic>
              </a:graphicData>
            </a:graphic>
          </wp:anchor>
        </w:drawing>
      </w:r>
    </w:p>
    <w:p>
      <w:pPr>
        <w:sectPr>
          <w:pgSz w:w="11900" w:h="16838" w:orient="portrait"/>
          <w:cols w:equalWidth="0" w:num="1">
            <w:col w:w="10219"/>
          </w:cols>
          <w:pgMar w:left="240" w:top="374" w:right="1440" w:bottom="0" w:gutter="0" w:footer="0" w:header="0"/>
        </w:sectPr>
      </w:pPr>
    </w:p>
    <w:bookmarkStart w:id="11" w:name="page12"/>
    <w:bookmarkEnd w:id="11"/>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Beginning accrued warranty costs</w:t>
            </w:r>
          </w:p>
        </w:tc>
        <w:tc>
          <w:tcPr>
            <w:tcW w:w="440" w:type="dxa"/>
            <w:vAlign w:val="bottom"/>
            <w:shd w:val="clear" w:color="auto" w:fill="C2F3F2"/>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12,431</w:t>
            </w:r>
          </w:p>
        </w:tc>
      </w:tr>
      <w:tr>
        <w:trPr>
          <w:trHeight w:val="229"/>
        </w:trPr>
        <w:tc>
          <w:tcPr>
            <w:tcW w:w="4040" w:type="dxa"/>
            <w:vAlign w:val="bottom"/>
          </w:tcPr>
          <w:p>
            <w:pPr>
              <w:ind w:left="460"/>
              <w:spacing w:after="0"/>
              <w:rPr>
                <w:sz w:val="20"/>
                <w:szCs w:val="20"/>
                <w:color w:val="auto"/>
              </w:rPr>
            </w:pPr>
            <w:r>
              <w:rPr>
                <w:rFonts w:ascii="Arial" w:cs="Arial" w:eastAsia="Arial" w:hAnsi="Arial"/>
                <w:sz w:val="18"/>
                <w:szCs w:val="18"/>
                <w:color w:val="auto"/>
              </w:rPr>
              <w:t>Warranties issued during the period</w:t>
            </w:r>
          </w:p>
        </w:tc>
        <w:tc>
          <w:tcPr>
            <w:tcW w:w="4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3,152</w:t>
            </w:r>
          </w:p>
        </w:tc>
      </w:tr>
      <w:tr>
        <w:trPr>
          <w:trHeight w:val="231"/>
        </w:trPr>
        <w:tc>
          <w:tcPr>
            <w:tcW w:w="4040" w:type="dxa"/>
            <w:vAlign w:val="bottom"/>
            <w:shd w:val="clear" w:color="auto" w:fill="C2F3F2"/>
          </w:tcPr>
          <w:p>
            <w:pPr>
              <w:ind w:left="460"/>
              <w:spacing w:after="0"/>
              <w:rPr>
                <w:sz w:val="20"/>
                <w:szCs w:val="20"/>
                <w:color w:val="auto"/>
              </w:rPr>
            </w:pPr>
            <w:r>
              <w:rPr>
                <w:rFonts w:ascii="Arial" w:cs="Arial" w:eastAsia="Arial" w:hAnsi="Arial"/>
                <w:sz w:val="18"/>
                <w:szCs w:val="18"/>
                <w:color w:val="auto"/>
              </w:rPr>
              <w:t>Settlements made during the period</w:t>
            </w:r>
          </w:p>
        </w:tc>
        <w:tc>
          <w:tcPr>
            <w:tcW w:w="440" w:type="dxa"/>
            <w:vAlign w:val="bottom"/>
            <w:shd w:val="clear" w:color="auto" w:fill="C2F3F2"/>
          </w:tcPr>
          <w:p>
            <w:pPr>
              <w:spacing w:after="0"/>
              <w:rPr>
                <w:sz w:val="20"/>
                <w:szCs w:val="20"/>
                <w:color w:val="auto"/>
              </w:rPr>
            </w:pPr>
          </w:p>
        </w:tc>
        <w:tc>
          <w:tcPr>
            <w:tcW w:w="8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(3,990)</w:t>
            </w:r>
          </w:p>
        </w:tc>
      </w:tr>
      <w:tr>
        <w:trPr>
          <w:trHeight w:val="229"/>
        </w:trPr>
        <w:tc>
          <w:tcPr>
            <w:tcW w:w="4040" w:type="dxa"/>
            <w:vAlign w:val="bottom"/>
          </w:tcPr>
          <w:p>
            <w:pPr>
              <w:ind w:left="460"/>
              <w:spacing w:after="0"/>
              <w:rPr>
                <w:sz w:val="20"/>
                <w:szCs w:val="20"/>
                <w:color w:val="auto"/>
              </w:rPr>
            </w:pPr>
            <w:r>
              <w:rPr>
                <w:rFonts w:ascii="Arial" w:cs="Arial" w:eastAsia="Arial" w:hAnsi="Arial"/>
                <w:sz w:val="18"/>
                <w:szCs w:val="18"/>
                <w:color w:val="auto"/>
              </w:rPr>
              <w:t>Changes in accrued warranty costs for pre-</w:t>
            </w:r>
          </w:p>
        </w:tc>
        <w:tc>
          <w:tcPr>
            <w:tcW w:w="4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2,161</w:t>
            </w:r>
          </w:p>
        </w:tc>
      </w:tr>
      <w:tr>
        <w:trPr>
          <w:trHeight w:val="231"/>
        </w:trPr>
        <w:tc>
          <w:tcPr>
            <w:tcW w:w="4040" w:type="dxa"/>
            <w:vAlign w:val="bottom"/>
            <w:shd w:val="clear" w:color="auto" w:fill="C2F3F2"/>
          </w:tcPr>
          <w:p>
            <w:pPr>
              <w:ind w:left="840"/>
              <w:spacing w:after="0"/>
              <w:rPr>
                <w:sz w:val="20"/>
                <w:szCs w:val="20"/>
                <w:color w:val="auto"/>
              </w:rPr>
            </w:pPr>
            <w:r>
              <w:rPr>
                <w:rFonts w:ascii="Arial" w:cs="Arial" w:eastAsia="Arial" w:hAnsi="Arial"/>
                <w:sz w:val="18"/>
                <w:szCs w:val="18"/>
                <w:color w:val="auto"/>
              </w:rPr>
              <w:t>existing warranties during the period,</w:t>
            </w:r>
          </w:p>
        </w:tc>
        <w:tc>
          <w:tcPr>
            <w:tcW w:w="440" w:type="dxa"/>
            <w:vAlign w:val="bottom"/>
            <w:shd w:val="clear" w:color="auto" w:fill="C2F3F2"/>
          </w:tcPr>
          <w:p>
            <w:pPr>
              <w:spacing w:after="0"/>
              <w:rPr>
                <w:sz w:val="20"/>
                <w:szCs w:val="20"/>
                <w:color w:val="auto"/>
              </w:rPr>
            </w:pPr>
          </w:p>
        </w:tc>
        <w:tc>
          <w:tcPr>
            <w:tcW w:w="860" w:type="dxa"/>
            <w:vAlign w:val="bottom"/>
            <w:shd w:val="clear" w:color="auto" w:fill="C2F3F2"/>
          </w:tcPr>
          <w:p>
            <w:pPr>
              <w:spacing w:after="0"/>
              <w:rPr>
                <w:sz w:val="20"/>
                <w:szCs w:val="20"/>
                <w:color w:val="auto"/>
              </w:rPr>
            </w:pPr>
          </w:p>
        </w:tc>
      </w:tr>
      <w:tr>
        <w:trPr>
          <w:trHeight w:val="229"/>
        </w:trPr>
        <w:tc>
          <w:tcPr>
            <w:tcW w:w="4040" w:type="dxa"/>
            <w:vAlign w:val="bottom"/>
            <w:tcBorders>
              <w:bottom w:val="single" w:sz="8" w:color="C2F3F2"/>
            </w:tcBorders>
          </w:tcPr>
          <w:p>
            <w:pPr>
              <w:ind w:left="840"/>
              <w:spacing w:after="0"/>
              <w:rPr>
                <w:sz w:val="20"/>
                <w:szCs w:val="20"/>
                <w:color w:val="auto"/>
              </w:rPr>
            </w:pPr>
            <w:r>
              <w:rPr>
                <w:rFonts w:ascii="Arial" w:cs="Arial" w:eastAsia="Arial" w:hAnsi="Arial"/>
                <w:sz w:val="18"/>
                <w:szCs w:val="18"/>
                <w:color w:val="auto"/>
              </w:rPr>
              <w:t>including expirations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1"/>
        </w:trPr>
        <w:tc>
          <w:tcPr>
            <w:tcW w:w="4040" w:type="dxa"/>
            <w:vAlign w:val="bottom"/>
            <w:tcBorders>
              <w:bottom w:val="single" w:sz="8" w:color="C2F3F2"/>
            </w:tcBorders>
            <w:shd w:val="clear" w:color="auto" w:fill="C2F3F2"/>
          </w:tcPr>
          <w:p>
            <w:pPr>
              <w:ind w:left="100"/>
              <w:spacing w:after="0"/>
              <w:rPr>
                <w:sz w:val="20"/>
                <w:szCs w:val="20"/>
                <w:color w:val="auto"/>
              </w:rPr>
            </w:pPr>
            <w:r>
              <w:rPr>
                <w:rFonts w:ascii="Arial" w:cs="Arial" w:eastAsia="Arial" w:hAnsi="Arial"/>
                <w:sz w:val="18"/>
                <w:szCs w:val="18"/>
                <w:color w:val="auto"/>
              </w:rPr>
              <w:t>Ending accrued warranty costs</w:t>
            </w:r>
          </w:p>
        </w:tc>
        <w:tc>
          <w:tcPr>
            <w:tcW w:w="440" w:type="dxa"/>
            <w:vAlign w:val="bottom"/>
            <w:tcBorders>
              <w:bottom w:val="single" w:sz="8" w:color="auto"/>
            </w:tcBorders>
            <w:shd w:val="clear" w:color="auto" w:fill="C2F3F2"/>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13,754</w:t>
            </w:r>
          </w:p>
        </w:tc>
      </w:tr>
      <w:tr>
        <w:trPr>
          <w:trHeight w:val="20"/>
        </w:trPr>
        <w:tc>
          <w:tcPr>
            <w:tcW w:w="4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lease office space for sales and service locations, vehicles and equipment, primarily office equipment. Rental expense for operating leases was $779 and $634 for the three months ended August 2, 2008 and July 28, 2007, respectively. Future minimum payments under noncancelable operating leases, excluding executory costs such as management and maintenance fees, with initial or remaining terms of one year or more consisted of the following at August 2, 2008: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 years ending</w:t>
            </w:r>
          </w:p>
        </w:tc>
        <w:tc>
          <w:tcPr>
            <w:tcW w:w="280" w:type="dxa"/>
            <w:vAlign w:val="bottom"/>
          </w:tcPr>
          <w:p>
            <w:pPr>
              <w:spacing w:after="0"/>
              <w:rPr>
                <w:sz w:val="19"/>
                <w:szCs w:val="19"/>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Amount</w:t>
            </w:r>
          </w:p>
        </w:tc>
      </w:tr>
      <w:tr>
        <w:trPr>
          <w:trHeight w:val="211"/>
        </w:trPr>
        <w:tc>
          <w:tcPr>
            <w:tcW w:w="1760" w:type="dxa"/>
            <w:vAlign w:val="bottom"/>
            <w:tcBorders>
              <w:top w:val="single" w:sz="8" w:color="auto"/>
            </w:tcBorders>
            <w:shd w:val="clear" w:color="auto" w:fill="C2F3F2"/>
          </w:tcPr>
          <w:p>
            <w:pPr>
              <w:jc w:val="center"/>
              <w:spacing w:after="0"/>
              <w:rPr>
                <w:sz w:val="20"/>
                <w:szCs w:val="20"/>
                <w:color w:val="auto"/>
              </w:rPr>
            </w:pPr>
            <w:r>
              <w:rPr>
                <w:rFonts w:ascii="Arial" w:cs="Arial" w:eastAsia="Arial" w:hAnsi="Arial"/>
                <w:sz w:val="18"/>
                <w:szCs w:val="18"/>
                <w:color w:val="auto"/>
                <w:w w:val="84"/>
              </w:rPr>
              <w:t>2009</w:t>
            </w:r>
          </w:p>
        </w:tc>
        <w:tc>
          <w:tcPr>
            <w:tcW w:w="360" w:type="dxa"/>
            <w:vAlign w:val="bottom"/>
            <w:tcBorders>
              <w:top w:val="single" w:sz="8" w:color="C2F3F2"/>
            </w:tcBorders>
            <w:shd w:val="clear" w:color="auto" w:fill="C2F3F2"/>
          </w:tcPr>
          <w:p>
            <w:pPr>
              <w:spacing w:after="0"/>
              <w:rPr>
                <w:sz w:val="18"/>
                <w:szCs w:val="18"/>
                <w:color w:val="auto"/>
              </w:rPr>
            </w:pPr>
          </w:p>
        </w:tc>
        <w:tc>
          <w:tcPr>
            <w:tcW w:w="28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1,978</w:t>
            </w:r>
          </w:p>
        </w:tc>
      </w:tr>
      <w:tr>
        <w:trPr>
          <w:trHeight w:val="229"/>
        </w:trPr>
        <w:tc>
          <w:tcPr>
            <w:tcW w:w="176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31"/>
        </w:trPr>
        <w:tc>
          <w:tcPr>
            <w:tcW w:w="1760" w:type="dxa"/>
            <w:vAlign w:val="bottom"/>
            <w:shd w:val="clear" w:color="auto" w:fill="C2F3F2"/>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11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1,775</w:t>
            </w:r>
          </w:p>
        </w:tc>
      </w:tr>
      <w:tr>
        <w:trPr>
          <w:trHeight w:val="229"/>
        </w:trPr>
        <w:tc>
          <w:tcPr>
            <w:tcW w:w="176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974</w:t>
            </w:r>
          </w:p>
        </w:tc>
      </w:tr>
      <w:tr>
        <w:trPr>
          <w:trHeight w:val="231"/>
        </w:trPr>
        <w:tc>
          <w:tcPr>
            <w:tcW w:w="1760" w:type="dxa"/>
            <w:vAlign w:val="bottom"/>
            <w:shd w:val="clear" w:color="auto" w:fill="C2F3F2"/>
          </w:tcPr>
          <w:p>
            <w:pPr>
              <w:jc w:val="center"/>
              <w:spacing w:after="0"/>
              <w:rPr>
                <w:sz w:val="20"/>
                <w:szCs w:val="20"/>
                <w:color w:val="auto"/>
              </w:rPr>
            </w:pPr>
            <w:r>
              <w:rPr>
                <w:rFonts w:ascii="Arial" w:cs="Arial" w:eastAsia="Arial" w:hAnsi="Arial"/>
                <w:sz w:val="18"/>
                <w:szCs w:val="18"/>
                <w:color w:val="auto"/>
                <w:w w:val="84"/>
              </w:rPr>
              <w:t>2013</w:t>
            </w:r>
          </w:p>
        </w:tc>
        <w:tc>
          <w:tcPr>
            <w:tcW w:w="360" w:type="dxa"/>
            <w:vAlign w:val="bottom"/>
            <w:shd w:val="clear" w:color="auto" w:fill="C2F3F2"/>
          </w:tcPr>
          <w:p>
            <w:pPr>
              <w:spacing w:after="0"/>
              <w:rPr>
                <w:sz w:val="20"/>
                <w:szCs w:val="20"/>
                <w:color w:val="auto"/>
              </w:rPr>
            </w:pPr>
          </w:p>
        </w:tc>
        <w:tc>
          <w:tcPr>
            <w:tcW w:w="280" w:type="dxa"/>
            <w:vAlign w:val="bottom"/>
            <w:shd w:val="clear" w:color="auto" w:fill="C2F3F2"/>
          </w:tcPr>
          <w:p>
            <w:pPr>
              <w:spacing w:after="0"/>
              <w:rPr>
                <w:sz w:val="20"/>
                <w:szCs w:val="20"/>
                <w:color w:val="auto"/>
              </w:rPr>
            </w:pPr>
          </w:p>
        </w:tc>
        <w:tc>
          <w:tcPr>
            <w:tcW w:w="11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539</w:t>
            </w:r>
          </w:p>
        </w:tc>
      </w:tr>
      <w:tr>
        <w:trPr>
          <w:trHeight w:val="229"/>
        </w:trPr>
        <w:tc>
          <w:tcPr>
            <w:tcW w:w="2120" w:type="dxa"/>
            <w:vAlign w:val="bottom"/>
            <w:tcBorders>
              <w:bottom w:val="single" w:sz="8" w:color="C2F3F2"/>
            </w:tcBorders>
            <w:gridSpan w:val="2"/>
          </w:tcPr>
          <w:p>
            <w:pPr>
              <w:jc w:val="center"/>
              <w:ind w:right="340"/>
              <w:spacing w:after="0"/>
              <w:rPr>
                <w:sz w:val="20"/>
                <w:szCs w:val="20"/>
                <w:color w:val="auto"/>
              </w:rPr>
            </w:pPr>
            <w:r>
              <w:rPr>
                <w:rFonts w:ascii="Arial" w:cs="Arial" w:eastAsia="Arial" w:hAnsi="Arial"/>
                <w:sz w:val="18"/>
                <w:szCs w:val="18"/>
                <w:color w:val="auto"/>
                <w:w w:val="89"/>
              </w:rPr>
              <w:t>Thereafter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358</w:t>
            </w:r>
          </w:p>
        </w:tc>
      </w:tr>
      <w:tr>
        <w:trPr>
          <w:trHeight w:val="211"/>
        </w:trPr>
        <w:tc>
          <w:tcPr>
            <w:tcW w:w="2120" w:type="dxa"/>
            <w:vAlign w:val="bottom"/>
            <w:tcBorders>
              <w:bottom w:val="single" w:sz="8" w:color="C2F3F2"/>
            </w:tcBorders>
            <w:gridSpan w:val="2"/>
            <w:shd w:val="clear" w:color="auto" w:fill="C2F3F2"/>
          </w:tcPr>
          <w:p>
            <w:pPr>
              <w:jc w:val="center"/>
              <w:ind w:right="360"/>
              <w:spacing w:after="0"/>
              <w:rPr>
                <w:sz w:val="20"/>
                <w:szCs w:val="20"/>
                <w:color w:val="auto"/>
              </w:rPr>
            </w:pPr>
            <w:r>
              <w:rPr>
                <w:rFonts w:ascii="Arial" w:cs="Arial" w:eastAsia="Arial" w:hAnsi="Arial"/>
                <w:sz w:val="18"/>
                <w:szCs w:val="18"/>
                <w:color w:val="auto"/>
                <w:w w:val="89"/>
              </w:rPr>
              <w:t>Total</w:t>
            </w:r>
          </w:p>
        </w:tc>
        <w:tc>
          <w:tcPr>
            <w:tcW w:w="28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7,639</w:t>
            </w:r>
          </w:p>
        </w:tc>
      </w:tr>
      <w:tr>
        <w:trPr>
          <w:trHeight w:val="20"/>
        </w:trPr>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From time to time, we commit to purchase inventory and advertising rights over periods that extend over a year. As of August 2, 2008, we were obligated to purchase inventory and advertising rights through fiscal 2013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Fiscal years ending</w:t>
            </w:r>
          </w:p>
        </w:tc>
        <w:tc>
          <w:tcPr>
            <w:tcW w:w="300" w:type="dxa"/>
            <w:vAlign w:val="bottom"/>
          </w:tcPr>
          <w:p>
            <w:pPr>
              <w:spacing w:after="0"/>
              <w:rPr>
                <w:sz w:val="19"/>
                <w:szCs w:val="19"/>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rPr>
              <w:t>Amount</w:t>
            </w:r>
          </w:p>
        </w:tc>
      </w:tr>
      <w:tr>
        <w:trPr>
          <w:trHeight w:val="211"/>
        </w:trPr>
        <w:tc>
          <w:tcPr>
            <w:tcW w:w="1680" w:type="dxa"/>
            <w:vAlign w:val="bottom"/>
            <w:tcBorders>
              <w:top w:val="single" w:sz="8" w:color="auto"/>
            </w:tcBorders>
            <w:shd w:val="clear" w:color="auto" w:fill="C2F3F2"/>
          </w:tcPr>
          <w:p>
            <w:pPr>
              <w:jc w:val="center"/>
              <w:spacing w:after="0"/>
              <w:rPr>
                <w:sz w:val="20"/>
                <w:szCs w:val="20"/>
                <w:color w:val="auto"/>
              </w:rPr>
            </w:pPr>
            <w:r>
              <w:rPr>
                <w:rFonts w:ascii="Arial" w:cs="Arial" w:eastAsia="Arial" w:hAnsi="Arial"/>
                <w:sz w:val="18"/>
                <w:szCs w:val="18"/>
                <w:color w:val="auto"/>
                <w:w w:val="89"/>
              </w:rPr>
              <w:t>2009</w:t>
            </w:r>
          </w:p>
        </w:tc>
        <w:tc>
          <w:tcPr>
            <w:tcW w:w="200" w:type="dxa"/>
            <w:vAlign w:val="bottom"/>
            <w:tcBorders>
              <w:top w:val="single" w:sz="8" w:color="C2F3F2"/>
            </w:tcBorders>
            <w:shd w:val="clear" w:color="auto" w:fill="C2F3F2"/>
          </w:tcPr>
          <w:p>
            <w:pPr>
              <w:spacing w:after="0"/>
              <w:rPr>
                <w:sz w:val="18"/>
                <w:szCs w:val="18"/>
                <w:color w:val="auto"/>
              </w:rPr>
            </w:pPr>
          </w:p>
        </w:tc>
        <w:tc>
          <w:tcPr>
            <w:tcW w:w="30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852</w:t>
            </w:r>
          </w:p>
        </w:tc>
      </w:tr>
      <w:tr>
        <w:trPr>
          <w:trHeight w:val="229"/>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31"/>
        </w:trPr>
        <w:tc>
          <w:tcPr>
            <w:tcW w:w="1680" w:type="dxa"/>
            <w:vAlign w:val="bottom"/>
            <w:shd w:val="clear" w:color="auto" w:fill="C2F3F2"/>
          </w:tcPr>
          <w:p>
            <w:pPr>
              <w:jc w:val="center"/>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2F3F2"/>
          </w:tcPr>
          <w:p>
            <w:pPr>
              <w:spacing w:after="0"/>
              <w:rPr>
                <w:sz w:val="20"/>
                <w:szCs w:val="20"/>
                <w:color w:val="auto"/>
              </w:rPr>
            </w:pPr>
          </w:p>
        </w:tc>
        <w:tc>
          <w:tcPr>
            <w:tcW w:w="300" w:type="dxa"/>
            <w:vAlign w:val="bottom"/>
            <w:shd w:val="clear" w:color="auto" w:fill="C2F3F2"/>
          </w:tcPr>
          <w:p>
            <w:pPr>
              <w:spacing w:after="0"/>
              <w:rPr>
                <w:sz w:val="20"/>
                <w:szCs w:val="20"/>
                <w:color w:val="auto"/>
              </w:rPr>
            </w:pPr>
          </w:p>
        </w:tc>
        <w:tc>
          <w:tcPr>
            <w:tcW w:w="11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70</w:t>
            </w:r>
          </w:p>
        </w:tc>
      </w:tr>
      <w:tr>
        <w:trPr>
          <w:trHeight w:val="229"/>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30"/>
        </w:trPr>
        <w:tc>
          <w:tcPr>
            <w:tcW w:w="1680" w:type="dxa"/>
            <w:vAlign w:val="bottom"/>
            <w:shd w:val="clear" w:color="auto" w:fill="C2F3F2"/>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shd w:val="clear" w:color="auto" w:fill="C2F3F2"/>
          </w:tcPr>
          <w:p>
            <w:pPr>
              <w:spacing w:after="0"/>
              <w:rPr>
                <w:sz w:val="19"/>
                <w:szCs w:val="19"/>
                <w:color w:val="auto"/>
              </w:rPr>
            </w:pPr>
          </w:p>
        </w:tc>
        <w:tc>
          <w:tcPr>
            <w:tcW w:w="300" w:type="dxa"/>
            <w:vAlign w:val="bottom"/>
            <w:tcBorders>
              <w:bottom w:val="single" w:sz="8" w:color="auto"/>
            </w:tcBorders>
            <w:shd w:val="clear" w:color="auto" w:fill="C2F3F2"/>
          </w:tcPr>
          <w:p>
            <w:pPr>
              <w:spacing w:after="0"/>
              <w:rPr>
                <w:sz w:val="19"/>
                <w:szCs w:val="19"/>
                <w:color w:val="auto"/>
              </w:rPr>
            </w:pPr>
          </w:p>
        </w:tc>
        <w:tc>
          <w:tcPr>
            <w:tcW w:w="11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13</w:t>
            </w:r>
          </w:p>
        </w:tc>
      </w:tr>
      <w:tr>
        <w:trPr>
          <w:trHeight w:val="211"/>
        </w:trPr>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1,223</w:t>
            </w:r>
          </w:p>
        </w:tc>
      </w:tr>
      <w:tr>
        <w:trPr>
          <w:trHeight w:val="20"/>
        </w:trPr>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 fiscal 2007, we committed to purchase a building in Brookings, South Dakota, on or before September 30, 2008, subject to availability by seller, for approximately $3,000. The building would be used for both manufacturing and office expansion and is located adjacent to our existing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As of August 2, 2008, we had approximately $578 of unrecognized tax benefits, which would affect our effective tax rate if recognized. We recognize interest and penalties related to income tax matters in income tax expense. We do not expect our unrecognized tax benefits to change significantly over the next 12 months.</w:t>
      </w:r>
    </w:p>
    <w:p>
      <w:pPr>
        <w:spacing w:after="0" w:line="188"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Our company, along with our subsidiaries, is subject to U.S. Federal income tax as well as income taxes of multiple state jurisdictions. As a result of the completion of IRS exams on prior years, fiscal years 2006 and 2007 are the only years remaining open under statutes of limitations. Certain subsidiaries are also subject to income tax in several foreign jurisdictions which have open tax years varying by jurisdiction back to 2003. We operate under a tax holiday in China that will expire in fiscal year 2012. We are unable to predict how the expiration of the tax holiday will impact us in the future.</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8"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In September 2006, the FASB issued SFAS No. 157 which defines fair value, establishes a framework for measuring fair value in generally accepted accounting principles and establishes a hierarchy that categorizes and prioritizes the sources to be used to estimate fair value. SFAS No. 157 also expands disclosures about fair-value measurements. We adopted SFAS No. 157 effective April 27, 2008 for all financial assets and liabilities and any other assets and liabilities that are recognized or disclosed at fair value on a recurring basis. Although the adoption of SFAS No. 157 did not impact our financial condition, results of operations or cash flows, we are required to provide additional disclosures within our condensed consolidated financial statements.</w:t>
      </w:r>
    </w:p>
    <w:p>
      <w:pPr>
        <w:spacing w:after="0" w:line="199" w:lineRule="exact"/>
        <w:rPr>
          <w:sz w:val="20"/>
          <w:szCs w:val="20"/>
          <w:color w:val="auto"/>
        </w:rPr>
      </w:pPr>
    </w:p>
    <w:p>
      <w:pPr>
        <w:ind w:right="2239"/>
        <w:spacing w:after="0" w:line="312" w:lineRule="auto"/>
        <w:rPr>
          <w:sz w:val="20"/>
          <w:szCs w:val="20"/>
          <w:color w:val="auto"/>
        </w:rPr>
      </w:pPr>
      <w:r>
        <w:rPr>
          <w:rFonts w:ascii="Arial" w:cs="Arial" w:eastAsia="Arial" w:hAnsi="Arial"/>
          <w:sz w:val="15"/>
          <w:szCs w:val="15"/>
          <w:color w:val="auto"/>
        </w:rPr>
        <w:t>SFAS No. 157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SFAS No. 157 distinguishes between three levels of inputs that may be utilized when measuring fair value, including level 1 inputs (using quoted prices in active markets for identical assets or liabilities), level 2 inputs (using inputs other than level 1 prices such as quoted prices for similar assets and liabilities in active markets or inputs that are observable for the asset or liability) and</w:t>
      </w:r>
    </w:p>
    <w:p>
      <w:pPr>
        <w:sectPr>
          <w:pgSz w:w="11900" w:h="16946" w:orient="portrait"/>
          <w:cols w:equalWidth="0" w:num="1">
            <w:col w:w="10219"/>
          </w:cols>
          <w:pgMar w:left="240" w:top="140" w:right="1440" w:bottom="0" w:gutter="0" w:footer="0" w:header="0"/>
        </w:sectPr>
      </w:pPr>
    </w:p>
    <w:bookmarkStart w:id="12" w:name="page13"/>
    <w:bookmarkEnd w:id="12"/>
    <w:p>
      <w:pPr>
        <w:spacing w:after="0" w:line="54" w:lineRule="exact"/>
        <w:rPr>
          <w:sz w:val="20"/>
          <w:szCs w:val="20"/>
          <w:color w:val="auto"/>
        </w:rPr>
      </w:pPr>
    </w:p>
    <w:p>
      <w:pPr>
        <w:ind w:right="2179"/>
        <w:spacing w:after="0" w:line="306" w:lineRule="auto"/>
        <w:rPr>
          <w:sz w:val="20"/>
          <w:szCs w:val="20"/>
          <w:color w:val="auto"/>
        </w:rPr>
      </w:pPr>
      <w:r>
        <w:rPr>
          <w:rFonts w:ascii="Arial" w:cs="Arial" w:eastAsia="Arial" w:hAnsi="Arial"/>
          <w:sz w:val="16"/>
          <w:szCs w:val="16"/>
          <w:color w:val="auto"/>
        </w:rPr>
        <w:t>level 3 inputs (unobservable inputs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188" w:lineRule="exact"/>
        <w:rPr>
          <w:sz w:val="20"/>
          <w:szCs w:val="20"/>
          <w:color w:val="auto"/>
        </w:rPr>
      </w:pPr>
    </w:p>
    <w:p>
      <w:pPr>
        <w:ind w:right="2299"/>
        <w:spacing w:after="0" w:line="332" w:lineRule="auto"/>
        <w:rPr>
          <w:sz w:val="20"/>
          <w:szCs w:val="20"/>
          <w:color w:val="auto"/>
        </w:rPr>
      </w:pPr>
      <w:r>
        <w:rPr>
          <w:rFonts w:ascii="Arial" w:cs="Arial" w:eastAsia="Arial" w:hAnsi="Arial"/>
          <w:sz w:val="16"/>
          <w:szCs w:val="16"/>
          <w:color w:val="auto"/>
        </w:rPr>
        <w:t>Our financial assets measured at fair value on a recurring basis of $779 as of August 2, 2008 consisted of money market funds. We used level 1 inputs to determine the fair value of our financial assets.</w:t>
      </w:r>
    </w:p>
    <w:p>
      <w:pPr>
        <w:spacing w:after="0" w:line="160"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business units, geographical regions and products. The primary business units consist of live events, commercial, schools and theatres, international and transportation.</w:t>
      </w:r>
    </w:p>
    <w:p>
      <w:pPr>
        <w:spacing w:after="0" w:line="18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year 2009 contains 53 weeks and fiscal year 2008 contained 52 weeks.</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240"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i w:val="1"/>
          <w:iCs w:val="1"/>
          <w:color w:val="auto"/>
        </w:rPr>
        <w:t xml:space="preserve">Revenue recognition on construction-type contracts. </w:t>
      </w:r>
      <w:r>
        <w:rPr>
          <w:rFonts w:ascii="Arial" w:cs="Arial" w:eastAsia="Arial" w:hAnsi="Arial"/>
          <w:sz w:val="15"/>
          <w:szCs w:val="15"/>
          <w:color w:val="auto"/>
        </w:rPr>
        <w:t>Earnings on construction-type contracts (“construction-type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are recognized 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w:t>
      </w:r>
    </w:p>
    <w:p>
      <w:pPr>
        <w:sectPr>
          <w:pgSz w:w="11900" w:h="16893" w:orient="portrait"/>
          <w:cols w:equalWidth="0" w:num="1">
            <w:col w:w="10219"/>
          </w:cols>
          <w:pgMar w:left="240" w:top="131" w:right="1440" w:bottom="0" w:gutter="0" w:footer="0" w:header="0"/>
        </w:sectPr>
      </w:pPr>
    </w:p>
    <w:bookmarkStart w:id="13" w:name="page14"/>
    <w:bookmarkEnd w:id="13"/>
    <w:p>
      <w:pPr>
        <w:jc w:val="both"/>
        <w:ind w:right="2119"/>
        <w:spacing w:after="0" w:line="306" w:lineRule="auto"/>
        <w:rPr>
          <w:sz w:val="20"/>
          <w:szCs w:val="20"/>
          <w:color w:val="auto"/>
        </w:rPr>
      </w:pPr>
      <w:r>
        <w:rPr>
          <w:rFonts w:ascii="Arial" w:cs="Arial" w:eastAsia="Arial" w:hAnsi="Arial"/>
          <w:sz w:val="16"/>
          <w:szCs w:val="16"/>
          <w:color w:val="auto"/>
        </w:rPr>
        <w:t>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August 2, 2008 and April 26, 2008, we had an allowance for doubtful accounts balance of approximately $1.6 million and $1.7 million, respectively.</w:t>
      </w:r>
    </w:p>
    <w:p>
      <w:pPr>
        <w:spacing w:after="0" w:line="23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August 2, 2008 and April 26, 2008, we had approximately $13.8 million and $12.4 million reserved for these costs, respectively.</w:t>
      </w:r>
    </w:p>
    <w:p>
      <w:pPr>
        <w:spacing w:after="0" w:line="226"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August 2, 2008 and April 26, 2008, we had $9.7 million and $7.0 million of deferred revenue related to extended warranty and product maintenance, respectively.</w:t>
      </w:r>
    </w:p>
    <w:p>
      <w:pPr>
        <w:spacing w:after="0" w:line="22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that could be material.</w:t>
      </w:r>
    </w:p>
    <w:p>
      <w:pPr>
        <w:spacing w:after="0" w:line="23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24" w:lineRule="exact"/>
        <w:rPr>
          <w:sz w:val="20"/>
          <w:szCs w:val="20"/>
          <w:color w:val="auto"/>
        </w:rPr>
      </w:pPr>
    </w:p>
    <w:p>
      <w:pPr>
        <w:jc w:val="both"/>
        <w:ind w:right="2119"/>
        <w:spacing w:after="0" w:line="312" w:lineRule="auto"/>
        <w:rPr>
          <w:sz w:val="20"/>
          <w:szCs w:val="20"/>
          <w:color w:val="auto"/>
        </w:rPr>
      </w:pPr>
      <w:r>
        <w:rPr>
          <w:rFonts w:ascii="Arial" w:cs="Arial" w:eastAsia="Arial" w:hAnsi="Arial"/>
          <w:sz w:val="15"/>
          <w:szCs w:val="15"/>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w:t>
      </w:r>
      <w:r>
        <w:rPr>
          <w:rFonts w:ascii="Arial" w:cs="Arial" w:eastAsia="Arial" w:hAnsi="Arial"/>
          <w:sz w:val="15"/>
          <w:szCs w:val="15"/>
          <w:i w:val="1"/>
          <w:iCs w:val="1"/>
          <w:color w:val="auto"/>
        </w:rPr>
        <w:t>Accounting for Uncertainty in Income Taxes, an Interpretation of SFAS No. 109.</w:t>
      </w:r>
      <w:r>
        <w:rPr>
          <w:rFonts w:ascii="Arial" w:cs="Arial" w:eastAsia="Arial" w:hAnsi="Arial"/>
          <w:sz w:val="15"/>
          <w:szCs w:val="15"/>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statue of limitations expires for the relevant taxing authority to examine the tax position, or when more information become available. Our tax contingencies reserve contains uncertainties because management is required to make assumptions and to apply judgment to estimate the</w:t>
      </w:r>
    </w:p>
    <w:p>
      <w:pPr>
        <w:sectPr>
          <w:pgSz w:w="11900" w:h="16838" w:orient="portrait"/>
          <w:cols w:equalWidth="0" w:num="1">
            <w:col w:w="10219"/>
          </w:cols>
          <w:pgMar w:left="240" w:top="131" w:right="1440" w:bottom="0" w:gutter="0" w:footer="0" w:header="0"/>
        </w:sectPr>
      </w:pPr>
    </w:p>
    <w:bookmarkStart w:id="14" w:name="page15"/>
    <w:bookmarkEnd w:id="14"/>
    <w:p>
      <w:pPr>
        <w:spacing w:after="0" w:line="6"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0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use the Black-Scholes standard option pricing model (“Black-Scholes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197"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revise those estimates in subsequent periods if actual forfeitures differ from those estimates.</w:t>
      </w:r>
    </w:p>
    <w:p>
      <w:pPr>
        <w:spacing w:after="0" w:line="20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30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25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b w:val="1"/>
                <w:bCs w:val="1"/>
                <w:color w:val="auto"/>
              </w:rPr>
              <w:t>August 2,</w:t>
            </w:r>
          </w:p>
        </w:tc>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July 28,</w:t>
            </w:r>
          </w:p>
        </w:tc>
      </w:tr>
      <w:tr>
        <w:trPr>
          <w:trHeight w:val="229"/>
        </w:trPr>
        <w:tc>
          <w:tcPr>
            <w:tcW w:w="2540" w:type="dxa"/>
            <w:vAlign w:val="bottom"/>
            <w:tcBorders>
              <w:bottom w:val="single" w:sz="8" w:color="C2F3F2"/>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C2F3F2"/>
            </w:tcBorders>
          </w:tcPr>
          <w:p>
            <w:pPr>
              <w:spacing w:after="0"/>
              <w:rPr>
                <w:sz w:val="19"/>
                <w:szCs w:val="19"/>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2007</w:t>
            </w:r>
          </w:p>
        </w:tc>
      </w:tr>
      <w:tr>
        <w:trPr>
          <w:trHeight w:val="211"/>
        </w:trPr>
        <w:tc>
          <w:tcPr>
            <w:tcW w:w="25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Net sales</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100.0%</w:t>
            </w:r>
          </w:p>
        </w:tc>
      </w:tr>
      <w:tr>
        <w:trPr>
          <w:trHeight w:val="229"/>
        </w:trPr>
        <w:tc>
          <w:tcPr>
            <w:tcW w:w="2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Cost of goods sold</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71.9%</w:t>
            </w:r>
          </w:p>
        </w:tc>
        <w:tc>
          <w:tcPr>
            <w:tcW w:w="360" w:type="dxa"/>
            <w:vAlign w:val="bottom"/>
            <w:tcBorders>
              <w:bottom w:val="single" w:sz="8" w:color="C2F3F2"/>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69.5%</w:t>
            </w:r>
          </w:p>
        </w:tc>
      </w:tr>
      <w:tr>
        <w:trPr>
          <w:trHeight w:val="211"/>
        </w:trPr>
        <w:tc>
          <w:tcPr>
            <w:tcW w:w="25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28.1%</w:t>
            </w: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30.5%</w:t>
            </w:r>
          </w:p>
        </w:tc>
      </w:tr>
      <w:tr>
        <w:trPr>
          <w:trHeight w:val="229"/>
        </w:trPr>
        <w:tc>
          <w:tcPr>
            <w:tcW w:w="2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Operating expenses</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w:t>
            </w:r>
          </w:p>
        </w:tc>
        <w:tc>
          <w:tcPr>
            <w:tcW w:w="360" w:type="dxa"/>
            <w:vAlign w:val="bottom"/>
            <w:tcBorders>
              <w:bottom w:val="single" w:sz="8" w:color="C2F3F2"/>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21.2%</w:t>
            </w:r>
          </w:p>
        </w:tc>
      </w:tr>
      <w:tr>
        <w:trPr>
          <w:trHeight w:val="211"/>
        </w:trPr>
        <w:tc>
          <w:tcPr>
            <w:tcW w:w="25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9.3%</w:t>
            </w:r>
          </w:p>
        </w:tc>
      </w:tr>
      <w:tr>
        <w:trPr>
          <w:trHeight w:val="229"/>
        </w:trPr>
        <w:tc>
          <w:tcPr>
            <w:tcW w:w="25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31"/>
        </w:trPr>
        <w:tc>
          <w:tcPr>
            <w:tcW w:w="25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2F3F2"/>
          </w:tcPr>
          <w:p>
            <w:pPr>
              <w:spacing w:after="0"/>
              <w:rPr>
                <w:sz w:val="20"/>
                <w:szCs w:val="20"/>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-0.4%</w:t>
            </w:r>
          </w:p>
        </w:tc>
      </w:tr>
      <w:tr>
        <w:trPr>
          <w:trHeight w:val="229"/>
        </w:trPr>
        <w:tc>
          <w:tcPr>
            <w:tcW w:w="2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Other income (expense), net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2F3F2"/>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11"/>
        </w:trPr>
        <w:tc>
          <w:tcPr>
            <w:tcW w:w="2540" w:type="dxa"/>
            <w:vAlign w:val="bottom"/>
            <w:shd w:val="clear" w:color="auto" w:fill="C2F3F2"/>
          </w:tcPr>
          <w:p>
            <w:pPr>
              <w:ind w:left="100"/>
              <w:spacing w:after="0"/>
              <w:rPr>
                <w:sz w:val="20"/>
                <w:szCs w:val="20"/>
                <w:color w:val="auto"/>
              </w:rPr>
            </w:pPr>
            <w:r>
              <w:rPr>
                <w:rFonts w:ascii="Arial" w:cs="Arial" w:eastAsia="Arial" w:hAnsi="Arial"/>
                <w:sz w:val="18"/>
                <w:szCs w:val="18"/>
                <w:color w:val="auto"/>
              </w:rPr>
              <w:t>Income before income taxes</w:t>
            </w:r>
          </w:p>
        </w:tc>
        <w:tc>
          <w:tcPr>
            <w:tcW w:w="13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2F3F2"/>
          </w:tcPr>
          <w:p>
            <w:pPr>
              <w:spacing w:after="0"/>
              <w:rPr>
                <w:sz w:val="18"/>
                <w:szCs w:val="18"/>
                <w:color w:val="auto"/>
              </w:rPr>
            </w:pPr>
          </w:p>
        </w:tc>
        <w:tc>
          <w:tcPr>
            <w:tcW w:w="132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9.0%</w:t>
            </w:r>
          </w:p>
        </w:tc>
      </w:tr>
      <w:tr>
        <w:trPr>
          <w:trHeight w:val="229"/>
        </w:trPr>
        <w:tc>
          <w:tcPr>
            <w:tcW w:w="2540" w:type="dxa"/>
            <w:vAlign w:val="bottom"/>
            <w:tcBorders>
              <w:bottom w:val="single" w:sz="8" w:color="C2F3F2"/>
            </w:tcBorders>
          </w:tcPr>
          <w:p>
            <w:pPr>
              <w:ind w:left="10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2F3F2"/>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r>
      <w:tr>
        <w:trPr>
          <w:trHeight w:val="211"/>
        </w:trPr>
        <w:tc>
          <w:tcPr>
            <w:tcW w:w="2540" w:type="dxa"/>
            <w:vAlign w:val="bottom"/>
            <w:tcBorders>
              <w:bottom w:val="single" w:sz="8" w:color="C2F3F2"/>
            </w:tcBorders>
            <w:shd w:val="clear" w:color="auto" w:fill="C2F3F2"/>
          </w:tcPr>
          <w:p>
            <w:pPr>
              <w:ind w:left="10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C2F3F2"/>
            </w:tcBorders>
            <w:shd w:val="clear" w:color="auto" w:fill="C2F3F2"/>
          </w:tcPr>
          <w:p>
            <w:pPr>
              <w:spacing w:after="0"/>
              <w:rPr>
                <w:sz w:val="18"/>
                <w:szCs w:val="18"/>
                <w:color w:val="auto"/>
              </w:rPr>
            </w:pPr>
          </w:p>
        </w:tc>
        <w:tc>
          <w:tcPr>
            <w:tcW w:w="132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5.8%</w:t>
            </w:r>
          </w:p>
        </w:tc>
      </w:tr>
      <w:tr>
        <w:trPr>
          <w:trHeight w:val="20"/>
        </w:trPr>
        <w:tc>
          <w:tcPr>
            <w:tcW w:w="2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Net sales increased 33.3% to $161.2 million for the first quarter of fiscal 2009 as compared to $120.9 million for the first quarter of fiscal 2008.</w:t>
      </w:r>
    </w:p>
    <w:p>
      <w:pPr>
        <w:spacing w:after="0" w:line="240"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Net sales in the Commercial business unit increased approximately 14% to $48.4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first quarter of fiscal 2009 as compared to the same period of fiscal 2008. The largest growth in terms of dollars and as a percentage is attributable to increases in our outdoor advertising niche, which increased by more than 36%, followed by an increase in sales to national accounts, primarily in our Galaxy® product line.</w:t>
      </w:r>
    </w:p>
    <w:p>
      <w:pPr>
        <w:sectPr>
          <w:pgSz w:w="11900" w:h="16844" w:orient="portrait"/>
          <w:cols w:equalWidth="0" w:num="1">
            <w:col w:w="10219"/>
          </w:cols>
          <w:pgMar w:left="240" w:top="131" w:right="1440" w:bottom="0" w:gutter="0" w:footer="0" w:header="0"/>
        </w:sectPr>
      </w:pPr>
    </w:p>
    <w:bookmarkStart w:id="15" w:name="page16"/>
    <w:bookmarkEnd w:id="15"/>
    <w:p>
      <w:pPr>
        <w:spacing w:after="0" w:line="42"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This increase was offset by a decline of approximately 16% in sales in our reseller niche, all of which involved a decline in large custom projects. The increase in the outdoor advertising niche was the result of the expanding market for digital billboards, primarily to a limited number of large customers. The decline in sales within our reseller niche was due to the inherent volatility in the timing of large contracts. In addition, the rate of growth of sales of Galaxy products within the reseller niche was lower than expected, which we believe was primarily the result of economic conditions where customers are postponing purchasing electronic displays for retail establishments.</w:t>
      </w:r>
    </w:p>
    <w:p>
      <w:pPr>
        <w:spacing w:after="0" w:line="228" w:lineRule="exact"/>
        <w:rPr>
          <w:sz w:val="20"/>
          <w:szCs w:val="20"/>
          <w:color w:val="auto"/>
        </w:rPr>
      </w:pPr>
    </w:p>
    <w:p>
      <w:pPr>
        <w:jc w:val="both"/>
        <w:ind w:right="2099"/>
        <w:spacing w:after="0" w:line="292" w:lineRule="auto"/>
        <w:rPr>
          <w:sz w:val="20"/>
          <w:szCs w:val="20"/>
          <w:color w:val="auto"/>
        </w:rPr>
      </w:pPr>
      <w:r>
        <w:rPr>
          <w:rFonts w:ascii="Arial" w:cs="Arial" w:eastAsia="Arial" w:hAnsi="Arial"/>
          <w:sz w:val="16"/>
          <w:szCs w:val="16"/>
          <w:color w:val="auto"/>
        </w:rPr>
        <w:t>Overall, the Commercial business unit continues to benefit from increasing product acceptance, lower cost of displays, our expanding distribution network and a better understanding by our customers of the product as a revenue generation tool. The most significant factor for increasing sales has been the order volume of digital displays for outdoor advertising companies. This occurred primarily due to an increase in our customer base and the increasing number of displays being purchased by existing customers. We also believe that our Valo™ digital billboard product line will help us maintain and potentially grow our market share due to its features and functions. We believe that the outdoor advertising business has a number of constraints, primarily economic and regulatory, which to date our customers have been successful at overcoming. We expect that the Commercial business unit will continue to grow for the rest of fiscal 2009 at 15% to 20%, subject to economic conditions.</w:t>
      </w:r>
    </w:p>
    <w:p>
      <w:pPr>
        <w:spacing w:after="0" w:line="200"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As the outdoor advertising business has become a larger percent of our mix, we believe that the seasonality of that business could become a factor in the fluctuation of our net sales because the deployment of displays slows in the winter months in the colder climate regions of the U.S. Generally speaking, seasonality is not a material factor in the rest of the Commercial business. Our rate of growth in the Commercial business unit could vary significantly depending on our success in retaining the business of the major billboard companies as well as on their rate of deployment and our ability to capture business in our national account niche if it were to develop materially.</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Our growth in the Commercial business unit also depends to some degree on the state of the economy, which negatively impacted net sales and is expected to continue to impact it until we see improvement in the economy. To date, we have not experienced adverse effects of the economy on the outdoor advertising portion of our business. We believe that this will sustain economic downturns to some degree given the economics of the technology for advertising.</w:t>
      </w:r>
    </w:p>
    <w:p>
      <w:pPr>
        <w:spacing w:after="0" w:line="224"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Order bookings in the Commercial business unit were up 30% in the first quarter of fiscal 2009 as compared to the same period of fiscal 2008. Although order bookings were up in the billboard niche in the first quarter of fiscal 2009 as compared to the same period of fiscal 2008, they were down sequentially from the fourth quarter of fiscal 2008. This is evidence of the declining rate of percentage growth in the digital billboard market.</w:t>
      </w:r>
    </w:p>
    <w:p>
      <w:pPr>
        <w:spacing w:after="0" w:line="221" w:lineRule="exact"/>
        <w:rPr>
          <w:sz w:val="20"/>
          <w:szCs w:val="20"/>
          <w:color w:val="auto"/>
        </w:rPr>
      </w:pPr>
    </w:p>
    <w:p>
      <w:pPr>
        <w:jc w:val="both"/>
        <w:ind w:right="2119"/>
        <w:spacing w:after="0" w:line="282"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Net sales in the Live Events business unit increased by approximately 33%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2009 as compared to the same quarter of last year. This increase is primarily the result of the impact of large contracts booked in fiscal 2008 and increased orders booked during the first quarter of fiscal 2009. Orders increased approximately 12% in the first quarter of fiscal 2009 as compared to the same period one year ago. The increase in orders does not reflect the award of the New Meadowlands Stadium in New Jersey, which should exceed $45 million. At the beginning of the second quarter of fiscal 2009, we booked a portion of that contract (approximately $13 million), and the remainder is expected to book in the second quarter of fiscal 2009. We have also been awarded two large contracts that are pending final contract execution, which should exceed $17 million in total.</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At the beginning of fiscal 2009, we had a higher level of backlog than is customary as a result of a greater percentage of new construction projects as opposed to upgrades and enhancements. It is expected that this higher level of backlog will contribute to higher sales, assuming, however, that new order volume meets expectations. Achieving increased sales is also dependent on additional large contracts that are expected to be awarded in the current fiscal year. Overall, we believe that we are on track to meet our net sales growth objectives of more than 20% for the entire 2009 fiscal year. In the first quarter of fiscal 2009, our bookings were on track to achieve this increase.</w:t>
      </w:r>
    </w:p>
    <w:p>
      <w:pPr>
        <w:spacing w:after="0" w:line="22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Growth over the long term in the large sports venues is due to a number of factors, including the expanding market, with facilities spending more on larger display systems; our product and services offering, which remains the most integrated and comprehensive offering in the industry; and our network of field sales and service offices,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and mobile and modular portion of this business unit were not significant in the first quarter of fiscal 2009 or 2008. Net sales in both these areas were less than 5% of total sales for both periods.</w:t>
      </w:r>
    </w:p>
    <w:p>
      <w:pPr>
        <w:spacing w:after="0" w:line="20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As described above, an important factor in orders for the remainder of fiscal 2009 will be our success in winning a limited number of large contracts expected to be awarded in the large sports venue niche over the remainder of the fiscal year. There are a number of transactions, each exceeding $8 million, which could have a significant impact on both orders and sales.</w:t>
      </w:r>
    </w:p>
    <w:p>
      <w:pPr>
        <w:sectPr>
          <w:pgSz w:w="11900" w:h="16881" w:orient="portrait"/>
          <w:cols w:equalWidth="0" w:num="1">
            <w:col w:w="10219"/>
          </w:cols>
          <w:pgMar w:left="240" w:top="131" w:right="1440" w:bottom="0" w:gutter="0" w:footer="0" w:header="0"/>
        </w:sectPr>
      </w:pPr>
    </w:p>
    <w:bookmarkStart w:id="16" w:name="page17"/>
    <w:bookmarkEnd w:id="16"/>
    <w:p>
      <w:pPr>
        <w:jc w:val="both"/>
        <w:ind w:right="2119"/>
        <w:spacing w:after="0" w:line="289"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declined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 in the first quarter of fiscal 2009 as compared to the same quarter in fiscal 2008. The decline was generally due to delays in manufacturing due primarily to inventory availability. This has caused lead times to lengthen, deliveries to be delayed and backlog to increase. We believe that we have the issues addressed and that the second quarter of fiscal 2009 will improve and demonstrate growth over fiscal 2008 on a year-to-date basis. Depending on the success in orders for the second quarter, however, our net sales growth rate for the year as a whole may not achieve our goal of greater than 15%. The growth of this business is driven by the depth, quality and performance of the product and the related service we provide.</w:t>
      </w:r>
    </w:p>
    <w:p>
      <w:pPr>
        <w:spacing w:after="0" w:line="199"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Net sales in the Transportation business unit increased approximately 22%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2009 as compared to the same period in fiscal 2008. Orders for the first quarter of fiscal 2009 are up approximately 16% over the same period in fiscal 2008. We believe that the increases in net sales and orders in this business are due to legislation passed during calendar year 2005 by the United States Congress that provided for increased spending on transportation projects, including large increases associated with intelligent transportation systems, and to our gaining market share. For fiscal 2009 as a whole, we expect that sales will grow in excess of 15%.</w:t>
      </w:r>
    </w:p>
    <w:p>
      <w:pPr>
        <w:spacing w:after="0" w:line="226"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Net sales in the International business unit in the first quarter of fiscal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first quarter of fiscal 2008 were up 285%. Orders were down approximately 3% in the same period. The increase in net sales in the first quarter was attributable to large orders booked in the fourth quarter of fiscal 2008 for a rail station in Beijing and a network of displays in the U.K. that converted to sales in the first quarter of fiscal 2009. Due to the focus on large contracts in this business unit and the small number of contracts actually booked, volatility is not unusual. We expect international sales in the second quarter of fiscal 2009 to decline and then increase again in the second half of the fiscal year. Overall, we are making considerable investments in growing our business internationally, where we do not have the same market share as we do domestically, and we believe net sales will increase significantly in fiscal 2009 as compared to 2008. We continue to see success with our efforts in Asia and, as a result of our expanding line of ProTour® products and the relationships we have developed with large repeat customers, we expect that European sales will also increase.</w:t>
      </w:r>
    </w:p>
    <w:p>
      <w:pPr>
        <w:spacing w:after="0" w:line="23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These sales represented 1.6% and 1.1% of net sales for the first quarter of fiscal 2009 and 2008, respectively. The gross profit percent on these transactions have typically been higher than the gross profit percent on other transactions of similar size, although the selling expenses associated with these transactions are typically higher.</w:t>
      </w:r>
    </w:p>
    <w:p>
      <w:pPr>
        <w:spacing w:after="0" w:line="251" w:lineRule="exact"/>
        <w:rPr>
          <w:sz w:val="20"/>
          <w:szCs w:val="20"/>
          <w:color w:val="auto"/>
        </w:rPr>
      </w:pPr>
    </w:p>
    <w:p>
      <w:pPr>
        <w:jc w:val="both"/>
        <w:ind w:right="2119"/>
        <w:spacing w:after="0" w:line="252"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order backlog as of August 2, 2008 was approximately $173 million as compared to $142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of July 28, 2007 and $175 million at the beginning of the first quarter of fiscal 2009. Historically, our backlog varies due to the timing of large orders. The changes in the backlog were the result of the combination of the changes in orders and net sales discussed above.</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Gross profit increased 23.0% to $45.3 million for the first quarter of fiscal 2009 as compared to $36.8 million for the first quarter of fiscal 2008. As a percent of net sales, gross profit was 28.1% for the quarter ended August 2, 2008 as compared to 30.5% for the quarter ended July 28, 2007.</w:t>
      </w:r>
    </w:p>
    <w:p>
      <w:pPr>
        <w:spacing w:after="0" w:line="221"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The decline in gross profit percentage is the result of higher costs of manufacturing infrastructure, warranty costs, inventory write-downs, the reorganization of our field services infrastructure and lower gross margins in our Commercial and Schools and Theatres business units. These increases have been partially offset by a gain of approximately $1 million on the sale of a building in Tampa, Florida. Increasing warranty costs have caused gross profit percentages to decline by more than 1 percentage point. This decline is due to issues with new product designs and other factors. We are and have been over the past year investing significant resources into standardizing our display product line, which we believe contained too much custom design, increasing our risk of warranty costs. In addition, we have and will continue to invest in more sophisticated product reliability test equipment and personnel and to implement more sophisticated quality processes in manufacturing to reduce the level of warranty exposure. We believe that although there will be additional volatility issues related to warranty costs over fiscal 2009, we have made progress in gaining control over our warranty costs. Increased inventory write-downs are resulting from our more aggressive approach to address slower moving raw materials. The reorganization of our field services department adversely impacted gross profit percentages by approximately 0.5 points as described in previous filings. Finally, the higher costs of manufacturing infrastructure, which approximated a 0.5 point decline in gross profit percent, resulted from a greater proportion of indirect labor. This includes additional personnel in quality, manufacturing engineering and inventory management. These factors, excluding warranty costs, impacted all business units.</w:t>
      </w:r>
    </w:p>
    <w:p>
      <w:pPr>
        <w:spacing w:after="0" w:line="202"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Gross profit in our Commercial business unit declined from approximately 32% in the first quarter of fiscal 2008 to approximately 28% in the same period of fiscal 2009 as a result of a decline in margin in our reseller niche. The decline resulted from lower margins in our small order business, primarily Galaxy® displays, which is being impacted by the economic conditions and the factors described above.</w:t>
      </w:r>
    </w:p>
    <w:p>
      <w:pPr>
        <w:sectPr>
          <w:pgSz w:w="11900" w:h="16838" w:orient="portrait"/>
          <w:cols w:equalWidth="0" w:num="1">
            <w:col w:w="10219"/>
          </w:cols>
          <w:pgMar w:left="240" w:top="401" w:right="1440" w:bottom="130" w:gutter="0" w:footer="0" w:header="0"/>
        </w:sectPr>
      </w:pPr>
    </w:p>
    <w:bookmarkStart w:id="17" w:name="page18"/>
    <w:bookmarkEnd w:id="17"/>
    <w:p>
      <w:pPr>
        <w:jc w:val="both"/>
        <w:ind w:right="2099"/>
        <w:spacing w:after="0" w:line="256" w:lineRule="auto"/>
        <w:rPr>
          <w:sz w:val="20"/>
          <w:szCs w:val="20"/>
          <w:color w:val="auto"/>
        </w:rPr>
      </w:pPr>
      <w:r>
        <w:rPr>
          <w:rFonts w:ascii="Arial" w:cs="Arial" w:eastAsia="Arial" w:hAnsi="Arial"/>
          <w:sz w:val="18"/>
          <w:szCs w:val="18"/>
          <w:color w:val="auto"/>
        </w:rPr>
        <w:t>Gross profit in our Schools and Theatres business unit declined from approximately 37% in the first quarter of fiscal 2008 to approximately 27% in the first quarter of fiscal 2009. This decline resulted from underutilization of our plant, as sales were less than expected for the reasons described above, and the reclassification of our field services infrastructure to cost of goods sold.</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Gross profit in our Live Events business unit increased to approximately 30% in the first quarter of fiscal 2009 as compared to approximately 29% in the first quarter of fiscal 2008. The increase was primarily the result of the gain on the sale of our production studio in Tampa, Florida of approximately $1 million.</w:t>
      </w:r>
    </w:p>
    <w:p>
      <w:pPr>
        <w:spacing w:after="0" w:line="1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Gross profit in the International business unit increased to approximately 27% in the first quarter of fiscal 2009 as compared to approximately 23% in the same period one year ago. The increase was the result of higher gross profit on several large projects and the overall level of sales, which improved cost absorption.</w:t>
      </w:r>
    </w:p>
    <w:p>
      <w:pPr>
        <w:spacing w:after="0" w:line="18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We strive toward higher gross margins as a percent of net sales, although depending on the actual mix, the performance of larger projects, and our ability to execute on the business and level of future sales, margin percentages may not increase and are likely to remain below the levels of the last fiscal year due to the impact of the larger contracts and the increased manufacturing infrastructure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5"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Operating expenses, which are comprised of selling, general and administrative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design and development costs, increased by approximately 19.5% from $25.6 million in the first quarter of fiscal 2008 to $30.6 million in the first quarter of fiscal 2009. As a percent of net sales, operating expenses decreased from 21.2% of net sales in the first quarter of fiscal 2008 to 19.0% of net sales for the first quarter of fiscal 2009. All areas of operating expenses were impacted as a result of the first quarter of fiscal 2009 including 14 weeks as opposed to the more common 13 weeks. The first quarter of fiscal 2008 contained 13 weeks.</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 facilities-related costs for sales and service offices, and expenditures for marketing efforts, including collateral materials, conventions and trade shows, product demos and supplies.</w:t>
      </w:r>
    </w:p>
    <w:p>
      <w:pPr>
        <w:spacing w:after="0" w:line="18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Selling expenses increased 10.3% to $16.4 million for first quarter of fiscal 2009 as compared to $14.8 million for the same period in fiscal 2008. Selling expenses decreased to 10.1% of net sales for the first quarter of fiscal 2009 from 12.3% of net sales for the first quarter of fiscal 2008.</w:t>
      </w:r>
    </w:p>
    <w:p>
      <w:pPr>
        <w:ind w:left="386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As described in previous filings, we reorganized our field services organization and, as a result, approximately $0.8 million of expenses incurred in the first quarter of fiscal 2009 that would have previously been in selling expense were classified in cost of goods sold. Had this change not been made, selling expense as a percentage of sales would have still declined significantly. Selling expenses for the quarter ended August 2, 2008 were higher than selling expenses in the quarter ended July 28, 2007 as a result of an increase in personnel costs, which comprised over 35% of the increase; higher payroll taxes and benefits, which comprised over 30% of the increase; increased facilities and infrastructure cost, which was approximately 15% of the increase; commissions, primarily related to international business, which were approximately 20% of the increase; and various other items, which on a net basis were offset with areas of savings. The increase in personnel, payroll taxes and benefits was across all business units. The increase in the number of employees was planned to cover growth expectations across all markets and included the impact of hiring additional personnel to support various other investments made into growing areas, such as our services business and commercial sales. The increase in facilities and infrastructure costs incurred with the facilities expansion is related to the growth in personnel.</w:t>
      </w:r>
    </w:p>
    <w:p>
      <w:pPr>
        <w:spacing w:after="0" w:line="202" w:lineRule="exact"/>
        <w:rPr>
          <w:sz w:val="20"/>
          <w:szCs w:val="20"/>
          <w:color w:val="auto"/>
        </w:rPr>
      </w:pPr>
    </w:p>
    <w:p>
      <w:pPr>
        <w:jc w:val="both"/>
        <w:ind w:right="2119"/>
        <w:spacing w:after="0" w:line="303" w:lineRule="auto"/>
        <w:rPr>
          <w:sz w:val="20"/>
          <w:szCs w:val="20"/>
          <w:color w:val="auto"/>
        </w:rPr>
      </w:pPr>
      <w:r>
        <w:rPr>
          <w:rFonts w:ascii="Arial" w:cs="Arial" w:eastAsia="Arial" w:hAnsi="Arial"/>
          <w:sz w:val="16"/>
          <w:szCs w:val="16"/>
          <w:color w:val="auto"/>
        </w:rPr>
        <w:t>We expect to continue to invest in organic growth, and therefore the dollar amount of selling expenses will increase in fiscal 2009 as compared to fiscal 2008. However, as a percentage of net sales, we believe that selling expenses should decrease. We typically evaluate selling expenses as a percentage of orders rather than sales. Based on this comparison to orders, selling expenses have declined to 10.4% in the first quarter of fiscal 2009 as opposed to 10.8% for the same period in fiscal 2008.</w:t>
      </w:r>
    </w:p>
    <w:p>
      <w:pPr>
        <w:spacing w:after="0" w:line="216"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 costs, professional fees, shareholder relations fees, facilities and equipment-related costs for administration departments, amortization of intangibles and supplies.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General and administrative expenses increased 28.0% to $7.7 million for the first quarter of fiscal 2009 as compared to $6.0 million for the first quarter of fiscal 2008. General and administrative expenses decreased to 4.8% as a percent of net sales for the first quarter of fiscal 2009 from 5.0% of net sales for the first quarter of fiscal 2008.</w:t>
      </w:r>
    </w:p>
    <w:p>
      <w:pPr>
        <w:spacing w:after="0" w:line="224"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General and administrative expenses increased due to increases in personnel and related payroll and benefits, which comprised approximately 50% of the increase, software and hardware costs, which comprised approximately 20% of the increase, higher professional fees, which comprised approximately 15% of the increase, and various other items such as amortization, depreciation, and facilities costs. We expect that for fiscal 2009, general and administrative expenses will decline as a percent of sales and that their dollar amount will increase for the year as a whole.</w:t>
      </w:r>
    </w:p>
    <w:p>
      <w:pPr>
        <w:sectPr>
          <w:pgSz w:w="11900" w:h="16838" w:orient="portrait"/>
          <w:cols w:equalWidth="0" w:num="1">
            <w:col w:w="10219"/>
          </w:cols>
          <w:pgMar w:left="240" w:top="131" w:right="1440" w:bottom="0" w:gutter="0" w:footer="0" w:header="0"/>
        </w:sectPr>
      </w:pPr>
    </w:p>
    <w:bookmarkStart w:id="18" w:name="page19"/>
    <w:bookmarkEnd w:id="18"/>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213"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Product design and development expenses increased 37.6% to $6.5 million for the first quarter of fiscal 2009 as compared to $4.8 million for the same period in fiscal 2008. Product design and development expenses were 4.1% of net sales for the first quarter of fiscal 2009 and 3.9% of net sales for first quarter of fiscal 2008.</w:t>
      </w:r>
    </w:p>
    <w:p>
      <w:pPr>
        <w:spacing w:after="0" w:line="18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Our focus on product development for fiscal 2009 will be on developing common module platforms and various other initiatives to standardize display components; enhancing our display technology and control systems for both single-site and networked displays spread over a geographical area; and driving decreases in product costs and improving the manufacturing of products. We expect that product design and development expenses will approximate 4% of net sales for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 by Segment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income (loss) by segment:</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6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3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3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b w:val="1"/>
                <w:bCs w:val="1"/>
                <w:color w:val="auto"/>
              </w:rPr>
              <w:t>August 2, 2008</w:t>
            </w:r>
          </w:p>
        </w:tc>
        <w:tc>
          <w:tcPr>
            <w:tcW w:w="16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July 28, 2007</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600" w:type="dxa"/>
            <w:vAlign w:val="bottom"/>
            <w:tcBorders>
              <w:bottom w:val="single" w:sz="8" w:color="C2F3F2"/>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C2F3F2"/>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2F3F2"/>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2F3F2"/>
          </w:tcPr>
          <w:p>
            <w:pPr>
              <w:ind w:left="10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shd w:val="clear" w:color="auto" w:fill="C2F3F2"/>
          </w:tcPr>
          <w:p>
            <w:pPr>
              <w:spacing w:after="0"/>
              <w:rPr>
                <w:sz w:val="19"/>
                <w:szCs w:val="19"/>
                <w:color w:val="auto"/>
              </w:rPr>
            </w:pPr>
          </w:p>
        </w:tc>
        <w:tc>
          <w:tcPr>
            <w:tcW w:w="1740" w:type="dxa"/>
            <w:vAlign w:val="bottom"/>
            <w:shd w:val="clear" w:color="auto" w:fill="C2F3F2"/>
          </w:tcPr>
          <w:p>
            <w:pPr>
              <w:spacing w:after="0"/>
              <w:rPr>
                <w:sz w:val="19"/>
                <w:szCs w:val="19"/>
                <w:color w:val="auto"/>
              </w:rPr>
            </w:pPr>
          </w:p>
        </w:tc>
        <w:tc>
          <w:tcPr>
            <w:tcW w:w="360" w:type="dxa"/>
            <w:vAlign w:val="bottom"/>
            <w:shd w:val="clear" w:color="auto" w:fill="C2F3F2"/>
          </w:tcPr>
          <w:p>
            <w:pPr>
              <w:spacing w:after="0"/>
              <w:rPr>
                <w:sz w:val="19"/>
                <w:szCs w:val="19"/>
                <w:color w:val="auto"/>
              </w:rPr>
            </w:pPr>
          </w:p>
        </w:tc>
        <w:tc>
          <w:tcPr>
            <w:tcW w:w="760" w:type="dxa"/>
            <w:vAlign w:val="bottom"/>
            <w:shd w:val="clear" w:color="auto" w:fill="C2F3F2"/>
          </w:tcPr>
          <w:p>
            <w:pPr>
              <w:spacing w:after="0"/>
              <w:rPr>
                <w:sz w:val="19"/>
                <w:szCs w:val="19"/>
                <w:color w:val="auto"/>
              </w:rPr>
            </w:pPr>
          </w:p>
        </w:tc>
        <w:tc>
          <w:tcPr>
            <w:tcW w:w="860" w:type="dxa"/>
            <w:vAlign w:val="bottom"/>
            <w:shd w:val="clear" w:color="auto" w:fill="C2F3F2"/>
          </w:tcPr>
          <w:p>
            <w:pPr>
              <w:spacing w:after="0"/>
              <w:rPr>
                <w:sz w:val="19"/>
                <w:szCs w:val="19"/>
                <w:color w:val="auto"/>
              </w:rPr>
            </w:pPr>
          </w:p>
        </w:tc>
        <w:tc>
          <w:tcPr>
            <w:tcW w:w="360" w:type="dxa"/>
            <w:vAlign w:val="bottom"/>
            <w:shd w:val="clear" w:color="auto" w:fill="C2F3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5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4,318</w:t>
            </w:r>
          </w:p>
        </w:tc>
        <w:tc>
          <w:tcPr>
            <w:tcW w:w="360" w:type="dxa"/>
            <w:vAlign w:val="bottom"/>
          </w:tcPr>
          <w:p>
            <w:pPr>
              <w:spacing w:after="0"/>
              <w:rPr>
                <w:sz w:val="19"/>
                <w:szCs w:val="19"/>
                <w:color w:val="auto"/>
              </w:rPr>
            </w:pPr>
          </w:p>
        </w:tc>
        <w:tc>
          <w:tcPr>
            <w:tcW w:w="7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6,524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tcBorders>
              <w:bottom w:val="single" w:sz="8" w:color="C2F3F2"/>
            </w:tcBorders>
            <w:shd w:val="clear" w:color="auto" w:fill="C2F3F2"/>
          </w:tcPr>
          <w:p>
            <w:pPr>
              <w:ind w:left="540"/>
              <w:spacing w:after="0"/>
              <w:rPr>
                <w:sz w:val="20"/>
                <w:szCs w:val="20"/>
                <w:color w:val="auto"/>
              </w:rPr>
            </w:pPr>
            <w:r>
              <w:rPr>
                <w:rFonts w:ascii="Arial" w:cs="Arial" w:eastAsia="Arial" w:hAnsi="Arial"/>
                <w:sz w:val="18"/>
                <w:szCs w:val="18"/>
                <w:color w:val="auto"/>
              </w:rPr>
              <w:t>Live Events</w:t>
            </w:r>
          </w:p>
        </w:tc>
        <w:tc>
          <w:tcPr>
            <w:tcW w:w="420" w:type="dxa"/>
            <w:vAlign w:val="bottom"/>
            <w:tcBorders>
              <w:bottom w:val="single" w:sz="8" w:color="C2F3F2"/>
            </w:tcBorders>
            <w:shd w:val="clear" w:color="auto" w:fill="C2F3F2"/>
          </w:tcPr>
          <w:p>
            <w:pPr>
              <w:spacing w:after="0"/>
              <w:rPr>
                <w:sz w:val="19"/>
                <w:szCs w:val="19"/>
                <w:color w:val="auto"/>
              </w:rPr>
            </w:pPr>
          </w:p>
        </w:tc>
        <w:tc>
          <w:tcPr>
            <w:tcW w:w="1740" w:type="dxa"/>
            <w:vAlign w:val="bottom"/>
            <w:tcBorders>
              <w:bottom w:val="single" w:sz="8" w:color="C2F3F2"/>
            </w:tcBorders>
            <w:shd w:val="clear" w:color="auto" w:fill="C2F3F2"/>
          </w:tcPr>
          <w:p>
            <w:pPr>
              <w:jc w:val="right"/>
              <w:ind w:right="12"/>
              <w:spacing w:after="0"/>
              <w:rPr>
                <w:sz w:val="20"/>
                <w:szCs w:val="20"/>
                <w:color w:val="auto"/>
              </w:rPr>
            </w:pPr>
            <w:r>
              <w:rPr>
                <w:rFonts w:ascii="Arial" w:cs="Arial" w:eastAsia="Arial" w:hAnsi="Arial"/>
                <w:sz w:val="18"/>
                <w:szCs w:val="18"/>
                <w:color w:val="auto"/>
              </w:rPr>
              <w:t>8,854</w:t>
            </w:r>
          </w:p>
        </w:tc>
        <w:tc>
          <w:tcPr>
            <w:tcW w:w="360" w:type="dxa"/>
            <w:vAlign w:val="bottom"/>
            <w:tcBorders>
              <w:bottom w:val="single" w:sz="8" w:color="C2F3F2"/>
            </w:tcBorders>
            <w:shd w:val="clear" w:color="auto" w:fill="C2F3F2"/>
          </w:tcPr>
          <w:p>
            <w:pPr>
              <w:spacing w:after="0"/>
              <w:rPr>
                <w:sz w:val="19"/>
                <w:szCs w:val="19"/>
                <w:color w:val="auto"/>
              </w:rPr>
            </w:pPr>
          </w:p>
        </w:tc>
        <w:tc>
          <w:tcPr>
            <w:tcW w:w="760" w:type="dxa"/>
            <w:vAlign w:val="bottom"/>
            <w:tcBorders>
              <w:bottom w:val="single" w:sz="8" w:color="C2F3F2"/>
            </w:tcBorders>
            <w:shd w:val="clear" w:color="auto" w:fill="C2F3F2"/>
          </w:tcPr>
          <w:p>
            <w:pPr>
              <w:spacing w:after="0"/>
              <w:rPr>
                <w:sz w:val="19"/>
                <w:szCs w:val="19"/>
                <w:color w:val="auto"/>
              </w:rPr>
            </w:pPr>
          </w:p>
        </w:tc>
        <w:tc>
          <w:tcPr>
            <w:tcW w:w="860" w:type="dxa"/>
            <w:vAlign w:val="bottom"/>
            <w:tcBorders>
              <w:bottom w:val="single" w:sz="8" w:color="C2F3F2"/>
            </w:tcBorders>
            <w:shd w:val="clear" w:color="auto" w:fill="C2F3F2"/>
          </w:tcPr>
          <w:p>
            <w:pPr>
              <w:jc w:val="right"/>
              <w:ind w:right="12"/>
              <w:spacing w:after="0"/>
              <w:rPr>
                <w:sz w:val="20"/>
                <w:szCs w:val="20"/>
                <w:color w:val="auto"/>
              </w:rPr>
            </w:pPr>
            <w:r>
              <w:rPr>
                <w:rFonts w:ascii="Arial" w:cs="Arial" w:eastAsia="Arial" w:hAnsi="Arial"/>
                <w:sz w:val="18"/>
                <w:szCs w:val="18"/>
                <w:color w:val="auto"/>
              </w:rPr>
              <w:t>4,045</w:t>
            </w:r>
          </w:p>
        </w:tc>
        <w:tc>
          <w:tcPr>
            <w:tcW w:w="360" w:type="dxa"/>
            <w:vAlign w:val="bottom"/>
            <w:tcBorders>
              <w:bottom w:val="single" w:sz="8" w:color="C2F3F2"/>
            </w:tcBorders>
            <w:shd w:val="clear" w:color="auto" w:fill="C2F3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540"/>
              <w:spacing w:after="0"/>
              <w:rPr>
                <w:sz w:val="20"/>
                <w:szCs w:val="20"/>
                <w:color w:val="auto"/>
              </w:rPr>
            </w:pPr>
            <w:r>
              <w:rPr>
                <w:rFonts w:ascii="Arial" w:cs="Arial" w:eastAsia="Arial" w:hAnsi="Arial"/>
                <w:sz w:val="18"/>
                <w:szCs w:val="18"/>
                <w:color w:val="auto"/>
              </w:rPr>
              <w:t>Schools &amp; Theatres</w:t>
            </w:r>
          </w:p>
        </w:tc>
        <w:tc>
          <w:tcPr>
            <w:tcW w:w="420" w:type="dxa"/>
            <w:vAlign w:val="bottom"/>
          </w:tcPr>
          <w:p>
            <w:pPr>
              <w:spacing w:after="0"/>
              <w:rPr>
                <w:sz w:val="19"/>
                <w:szCs w:val="19"/>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tcBorders>
              <w:bottom w:val="single" w:sz="8" w:color="C2F3F2"/>
            </w:tcBorders>
            <w:shd w:val="clear" w:color="auto" w:fill="C2F3F2"/>
          </w:tcPr>
          <w:p>
            <w:pPr>
              <w:ind w:left="540"/>
              <w:spacing w:after="0"/>
              <w:rPr>
                <w:sz w:val="20"/>
                <w:szCs w:val="20"/>
                <w:color w:val="auto"/>
              </w:rPr>
            </w:pPr>
            <w:r>
              <w:rPr>
                <w:rFonts w:ascii="Arial" w:cs="Arial" w:eastAsia="Arial" w:hAnsi="Arial"/>
                <w:sz w:val="18"/>
                <w:szCs w:val="18"/>
                <w:color w:val="auto"/>
              </w:rPr>
              <w:t>Transportation</w:t>
            </w:r>
          </w:p>
        </w:tc>
        <w:tc>
          <w:tcPr>
            <w:tcW w:w="420" w:type="dxa"/>
            <w:vAlign w:val="bottom"/>
            <w:tcBorders>
              <w:bottom w:val="single" w:sz="8" w:color="C2F3F2"/>
            </w:tcBorders>
            <w:shd w:val="clear" w:color="auto" w:fill="C2F3F2"/>
          </w:tcPr>
          <w:p>
            <w:pPr>
              <w:spacing w:after="0"/>
              <w:rPr>
                <w:sz w:val="19"/>
                <w:szCs w:val="19"/>
                <w:color w:val="auto"/>
              </w:rPr>
            </w:pPr>
          </w:p>
        </w:tc>
        <w:tc>
          <w:tcPr>
            <w:tcW w:w="1740" w:type="dxa"/>
            <w:vAlign w:val="bottom"/>
            <w:tcBorders>
              <w:bottom w:val="single" w:sz="8" w:color="C2F3F2"/>
            </w:tcBorders>
            <w:shd w:val="clear" w:color="auto" w:fill="C2F3F2"/>
          </w:tcPr>
          <w:p>
            <w:pPr>
              <w:jc w:val="right"/>
              <w:ind w:right="12"/>
              <w:spacing w:after="0"/>
              <w:rPr>
                <w:sz w:val="20"/>
                <w:szCs w:val="20"/>
                <w:color w:val="auto"/>
              </w:rPr>
            </w:pPr>
            <w:r>
              <w:rPr>
                <w:rFonts w:ascii="Arial" w:cs="Arial" w:eastAsia="Arial" w:hAnsi="Arial"/>
                <w:sz w:val="18"/>
                <w:szCs w:val="18"/>
                <w:color w:val="auto"/>
              </w:rPr>
              <w:t>(358)</w:t>
            </w:r>
          </w:p>
        </w:tc>
        <w:tc>
          <w:tcPr>
            <w:tcW w:w="360" w:type="dxa"/>
            <w:vAlign w:val="bottom"/>
            <w:tcBorders>
              <w:bottom w:val="single" w:sz="8" w:color="C2F3F2"/>
            </w:tcBorders>
            <w:shd w:val="clear" w:color="auto" w:fill="C2F3F2"/>
          </w:tcPr>
          <w:p>
            <w:pPr>
              <w:spacing w:after="0"/>
              <w:rPr>
                <w:sz w:val="19"/>
                <w:szCs w:val="19"/>
                <w:color w:val="auto"/>
              </w:rPr>
            </w:pPr>
          </w:p>
        </w:tc>
        <w:tc>
          <w:tcPr>
            <w:tcW w:w="760" w:type="dxa"/>
            <w:vAlign w:val="bottom"/>
            <w:tcBorders>
              <w:bottom w:val="single" w:sz="8" w:color="C2F3F2"/>
            </w:tcBorders>
            <w:shd w:val="clear" w:color="auto" w:fill="C2F3F2"/>
          </w:tcPr>
          <w:p>
            <w:pPr>
              <w:spacing w:after="0"/>
              <w:rPr>
                <w:sz w:val="19"/>
                <w:szCs w:val="19"/>
                <w:color w:val="auto"/>
              </w:rPr>
            </w:pPr>
          </w:p>
        </w:tc>
        <w:tc>
          <w:tcPr>
            <w:tcW w:w="860" w:type="dxa"/>
            <w:vAlign w:val="bottom"/>
            <w:tcBorders>
              <w:bottom w:val="single" w:sz="8" w:color="C2F3F2"/>
            </w:tcBorders>
            <w:shd w:val="clear" w:color="auto" w:fill="C2F3F2"/>
          </w:tcPr>
          <w:p>
            <w:pPr>
              <w:jc w:val="right"/>
              <w:ind w:right="12"/>
              <w:spacing w:after="0"/>
              <w:rPr>
                <w:sz w:val="20"/>
                <w:szCs w:val="20"/>
                <w:color w:val="auto"/>
              </w:rPr>
            </w:pPr>
            <w:r>
              <w:rPr>
                <w:rFonts w:ascii="Arial" w:cs="Arial" w:eastAsia="Arial" w:hAnsi="Arial"/>
                <w:sz w:val="18"/>
                <w:szCs w:val="18"/>
                <w:color w:val="auto"/>
              </w:rPr>
              <w:t>243</w:t>
            </w:r>
          </w:p>
        </w:tc>
        <w:tc>
          <w:tcPr>
            <w:tcW w:w="360" w:type="dxa"/>
            <w:vAlign w:val="bottom"/>
            <w:tcBorders>
              <w:bottom w:val="single" w:sz="8" w:color="C2F3F2"/>
            </w:tcBorders>
            <w:shd w:val="clear" w:color="auto" w:fill="C2F3F2"/>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tcPr>
          <w:p>
            <w:pPr>
              <w:ind w:left="54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19"/>
                <w:szCs w:val="19"/>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2,896</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(1,138)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600" w:type="dxa"/>
            <w:vAlign w:val="bottom"/>
            <w:tcBorders>
              <w:bottom w:val="single" w:sz="8" w:color="C2F3F2"/>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C2F3F2"/>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2F3F2"/>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2F3F2"/>
            </w:tcBorders>
            <w:shd w:val="clear" w:color="auto" w:fill="C2F3F2"/>
          </w:tcPr>
          <w:p>
            <w:pPr>
              <w:ind w:left="960"/>
              <w:spacing w:after="0"/>
              <w:rPr>
                <w:sz w:val="20"/>
                <w:szCs w:val="20"/>
                <w:color w:val="auto"/>
              </w:rPr>
            </w:pPr>
            <w:r>
              <w:rPr>
                <w:rFonts w:ascii="Arial" w:cs="Arial" w:eastAsia="Arial" w:hAnsi="Arial"/>
                <w:sz w:val="18"/>
                <w:szCs w:val="18"/>
                <w:color w:val="auto"/>
              </w:rPr>
              <w:t>Segment Operating Income</w:t>
            </w:r>
          </w:p>
        </w:tc>
        <w:tc>
          <w:tcPr>
            <w:tcW w:w="420" w:type="dxa"/>
            <w:vAlign w:val="bottom"/>
            <w:tcBorders>
              <w:bottom w:val="single" w:sz="8" w:color="auto"/>
            </w:tcBorders>
            <w:shd w:val="clear" w:color="auto" w:fill="C2F3F2"/>
          </w:tcPr>
          <w:p>
            <w:pPr>
              <w:jc w:val="right"/>
              <w:ind w:right="15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14,755</w:t>
            </w:r>
          </w:p>
        </w:tc>
        <w:tc>
          <w:tcPr>
            <w:tcW w:w="360" w:type="dxa"/>
            <w:vAlign w:val="bottom"/>
            <w:tcBorders>
              <w:bottom w:val="single" w:sz="8" w:color="C2F3F2"/>
            </w:tcBorders>
            <w:shd w:val="clear" w:color="auto" w:fill="C2F3F2"/>
          </w:tcPr>
          <w:p>
            <w:pPr>
              <w:spacing w:after="0"/>
              <w:rPr>
                <w:sz w:val="20"/>
                <w:szCs w:val="20"/>
                <w:color w:val="auto"/>
              </w:rPr>
            </w:pPr>
          </w:p>
        </w:tc>
        <w:tc>
          <w:tcPr>
            <w:tcW w:w="760" w:type="dxa"/>
            <w:vAlign w:val="bottom"/>
            <w:tcBorders>
              <w:bottom w:val="single" w:sz="8" w:color="auto"/>
            </w:tcBorders>
            <w:shd w:val="clear" w:color="auto" w:fill="C2F3F2"/>
          </w:tcPr>
          <w:p>
            <w:pPr>
              <w:jc w:val="right"/>
              <w:ind w:right="3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2F3F2"/>
          </w:tcPr>
          <w:p>
            <w:pPr>
              <w:jc w:val="right"/>
              <w:ind w:right="12"/>
              <w:spacing w:after="0"/>
              <w:rPr>
                <w:sz w:val="20"/>
                <w:szCs w:val="20"/>
                <w:color w:val="auto"/>
              </w:rPr>
            </w:pPr>
            <w:r>
              <w:rPr>
                <w:rFonts w:ascii="Arial" w:cs="Arial" w:eastAsia="Arial" w:hAnsi="Arial"/>
                <w:sz w:val="18"/>
                <w:szCs w:val="18"/>
                <w:color w:val="auto"/>
              </w:rPr>
              <w:t>11,277</w:t>
            </w:r>
          </w:p>
        </w:tc>
        <w:tc>
          <w:tcPr>
            <w:tcW w:w="360" w:type="dxa"/>
            <w:vAlign w:val="bottom"/>
            <w:tcBorders>
              <w:bottom w:val="single" w:sz="8" w:color="C2F3F2"/>
            </w:tcBorders>
            <w:shd w:val="clear" w:color="auto" w:fill="C2F3F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301" w:lineRule="auto"/>
        <w:rPr>
          <w:sz w:val="20"/>
          <w:szCs w:val="20"/>
          <w:color w:val="auto"/>
        </w:rPr>
      </w:pPr>
      <w:r>
        <w:rPr>
          <w:rFonts w:ascii="Arial" w:cs="Arial" w:eastAsia="Arial" w:hAnsi="Arial"/>
          <w:sz w:val="15"/>
          <w:szCs w:val="15"/>
          <w:color w:val="auto"/>
        </w:rPr>
        <w:t>Operating income (loss) by segment is based on the direct costs associated with each segment plus allocations of various expenses on a discretionary basis that are not necessarily indicative of the segment’s operating income on a stand-alone basis. Certain items are allocated based on management’s judgment as to the best methods to achieve company-wide goals. Therefore, we caution making conclusions as to performance based on these disclosures, which are required under generally accepted accounting principles. All business units were adversely impacted by increases in general and administrative expenses and product development, which are allocated to the various business units. The following describes the changes in those areas that are directly related to the business unit.</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Within the Commercial business unit, operating income decreased as a result of the decline in gross profit, primarily in the reseller niche, which includes custom contracts as described above and the increase in selling expense.</w:t>
      </w:r>
    </w:p>
    <w:p>
      <w:pPr>
        <w:spacing w:after="0" w:line="221" w:lineRule="exact"/>
        <w:rPr>
          <w:sz w:val="20"/>
          <w:szCs w:val="20"/>
          <w:color w:val="auto"/>
        </w:rPr>
      </w:pPr>
    </w:p>
    <w:p>
      <w:pPr>
        <w:ind w:right="2179"/>
        <w:spacing w:after="0" w:line="268" w:lineRule="auto"/>
        <w:rPr>
          <w:sz w:val="20"/>
          <w:szCs w:val="20"/>
          <w:color w:val="auto"/>
        </w:rPr>
      </w:pPr>
      <w:r>
        <w:rPr>
          <w:rFonts w:ascii="Arial" w:cs="Arial" w:eastAsia="Arial" w:hAnsi="Arial"/>
          <w:sz w:val="18"/>
          <w:szCs w:val="18"/>
          <w:color w:val="auto"/>
        </w:rPr>
        <w:t>Operating income increased in the Live Events business unit as a result of an increase in sales and improvement in gross margin percents, which were offset by an increase in selling expense.</w:t>
      </w:r>
    </w:p>
    <w:p>
      <w:pPr>
        <w:spacing w:after="0" w:line="2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operating income in the Schools and Theatres business unit decreased in the first quarter of fiscal 2009 as compared to the first quarter of fiscal 2008 as a result of lower sales and gross profit percents as described above. Selling expenses also increased slightly.</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Within the Transportation business unit, operating income decreased as a result of a growth in sales being offset by a decline in gross profit percentage.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224"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Interest income increased 39.6% to $0.5 million for the first quarter of fiscal 2009 compared to $0.4 million for the first quarter of fiscal 2008. The increase was the result of higher levels of temporary cash investments and higher levels of interest bearing long-term receivables. We expect that the amount of interest income will increase in fiscal 2009 over fiscal 2008 due to higher levels of these items.</w:t>
      </w:r>
    </w:p>
    <w:p>
      <w:pPr>
        <w:spacing w:after="0" w:line="19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Interest expense decreased to $0.1 million for the first quarter of fiscal 2009 as compared to $0.4 million for the first quarter of fiscal 2008. The decrease is due to lower average borrowings outstanding during the first quarter of fiscal 2009. Due to the reduction in debt during the third quarter of fiscal 2008, we expect that interest expense will decline in fiscal 2009 as compared to fiscal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ectPr>
          <w:pgSz w:w="11900" w:h="16838" w:orient="portrait"/>
          <w:cols w:equalWidth="0" w:num="1">
            <w:col w:w="10219"/>
          </w:cols>
          <w:pgMar w:left="240" w:top="158" w:right="1440" w:bottom="0" w:gutter="0" w:footer="0" w:header="0"/>
        </w:sectPr>
      </w:pPr>
    </w:p>
    <w:bookmarkStart w:id="19" w:name="page20"/>
    <w:bookmarkEnd w:id="19"/>
    <w:p>
      <w:pPr>
        <w:jc w:val="both"/>
        <w:ind w:right="2119"/>
        <w:spacing w:after="0" w:line="255" w:lineRule="auto"/>
        <w:rPr>
          <w:sz w:val="20"/>
          <w:szCs w:val="20"/>
          <w:color w:val="auto"/>
        </w:rPr>
      </w:pPr>
      <w:r>
        <w:rPr>
          <w:rFonts w:ascii="Arial" w:cs="Arial" w:eastAsia="Arial" w:hAnsi="Arial"/>
          <w:sz w:val="18"/>
          <w:szCs w:val="18"/>
          <w:color w:val="auto"/>
        </w:rPr>
        <w:t>Other income (expense) of $0.3 million remained flat for the first quarter of fiscal 2009 as compared to the same period one year ago. The amount of other income (expense) results from the effects of earnings attributable to unconsolidated affiliates and currency gains and losses. We expect that other income (expense) will decline for fiscal 2009 as compared to fiscal 2008 primarily due to the inclusion of a large gain in the third quarter of fiscal 2008 related to the sale of an investment in an affiliate.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Income taxes were approximately $5.1 million in the first quarter of fiscal 2009 and $3.8 million for the first quarter of fiscal 2008. The effective tax rate for the first quarter of fiscal 2009 was 34.5% as compared to 34.9% for the first quarter of fiscal 2008. The effective rate was lower, as a greater amount of net income was recognized in lower-rate tax jurisdictions such as China and Europe. We expect that the effective tax rate for fiscal 2008 will approximate 35% but could vary depending on the mix of income in foreign jurisdictions and whether the research and development tax credit in the United States is reinstated beyond calendar year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MANUFACTURING OPERATIONS IN CANADA</w:t>
      </w:r>
    </w:p>
    <w:p>
      <w:pPr>
        <w:spacing w:after="0" w:line="258"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During the second quarter of fiscal 2009, we decided to cease sales and manufacturing of our portable display trailer for the Transportation business unit. The closing of manufacturing operation in Montreal where these displays were made will adversely impact cost of goods sold in the second and third quarter. While we are still evaluating the costs to be incurred, we expect that severance costs will be less than $0.35 million and lease termination, equipment disposition costs and other items will be less than $0.2 million. We are still determining the implications on inventory as we expect to consume much of the remaining inventory in product sales during the rest of the fiscal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Working capital was $72.2 million at August 2, 2008 and $62.5 million at April 26, 2008. We have historically financed working capital needs through a combination of cash flow from operations and borrowings under bank credit agreements.</w:t>
      </w:r>
    </w:p>
    <w:p>
      <w:pPr>
        <w:spacing w:after="0" w:line="22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Cash provided by operations for the first fiscal quarter of fiscal 2009 was $3.7 million. Net income of $9.7 million plus depreciation and amortization of $6.0 million, the add-back of equity in net losses of equity investments, and stock-based compensation, less $12.5 million in changes in net operating assets, and gain on sale of property and equipment generated the cash provided by operations.</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most significant drivers of the change in net operating assets were the increases in accounts receivable and inventories. These increases were partially offset by increases in customer deposits and accounts payable. The increase in accounts receivables was the result of higher billings during the quarter resulting from the higher level of net sales and an increase in days sales outstanding of approximately 10 days. When determining days sales outstanding, costs and estimated earnings in excess of profits, which is our key indicator, it increased by 11 days. The lengthening was adversely impacted by one large customer that negotiated an extension to pay approximately $4 million after 2009 first fiscal quarter end. This money has been subsequently received. Days inventory outstanding also increased by nine days. The increase in accounts payable corresponds to the increase in inventory.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w:t>
      </w:r>
    </w:p>
    <w:p>
      <w:pPr>
        <w:spacing w:after="0" w:line="202"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Cash used by investing activities of $4.8 million for the first quarter of fiscal 2009 included $7.5 million for purchases of property and equipment, which was offset by $2.7 million of proceeds from the sale of property and equipment. During the first quarter of fiscal 2009, we invested approximately $2.7 million in manufacturing equipment, $0.6 million in product demonstration equipment, $2.8 million in information systems infrastructure, including software, $0.6 million in facilities, $0.6 million in rental equipment and $0.2 million in office equipment and various other items. These investments were made to support our continued growth and to replace obsolete equipment. As of the end of the first quarter of fiscal 2009, capital expenditures were 4.6% of net sales.</w:t>
      </w:r>
    </w:p>
    <w:p>
      <w:pPr>
        <w:spacing w:after="0" w:line="199"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Cash used by financing activities of $3.4 million for the first quarter of fiscal 2009 consisted of the dividend paid to shareholders of $3.6 million on June 24, 2008, which was offset by option exercises and excess tax benefits from equity-based compensation.</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Included in receivables as of August 2, 2008 was approximately $3.9 million of retainage on long-term contracts, all of which is expected to be collected in one year.</w:t>
      </w:r>
    </w:p>
    <w:p>
      <w:pPr>
        <w:spacing w:after="0" w:line="213"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and progress payments on these product orders. To the extent that these</w:t>
      </w:r>
    </w:p>
    <w:p>
      <w:pPr>
        <w:sectPr>
          <w:pgSz w:w="11900" w:h="16838" w:orient="portrait"/>
          <w:cols w:equalWidth="0" w:num="1">
            <w:col w:w="10219"/>
          </w:cols>
          <w:pgMar w:left="240" w:top="131" w:right="1440" w:bottom="0" w:gutter="0" w:footer="0" w:header="0"/>
        </w:sectPr>
      </w:pPr>
    </w:p>
    <w:bookmarkStart w:id="20" w:name="page21"/>
    <w:bookmarkEnd w:id="20"/>
    <w:p>
      <w:pPr>
        <w:jc w:val="both"/>
        <w:ind w:right="2119"/>
        <w:spacing w:after="0" w:line="268" w:lineRule="auto"/>
        <w:rPr>
          <w:sz w:val="20"/>
          <w:szCs w:val="20"/>
          <w:color w:val="auto"/>
        </w:rPr>
      </w:pPr>
      <w:r>
        <w:rPr>
          <w:rFonts w:ascii="Arial" w:cs="Arial" w:eastAsia="Arial" w:hAnsi="Arial"/>
          <w:sz w:val="18"/>
          <w:szCs w:val="18"/>
          <w:color w:val="auto"/>
        </w:rPr>
        <w:t>payments are not sufficient to fund the costs and other expenses associated with these orders, we use working capital and bank borrowings to finance these cash requirements.</w:t>
      </w:r>
    </w:p>
    <w:p>
      <w:pPr>
        <w:spacing w:after="0" w:line="213"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design and development expenses were $6.5 million for the first quarter of fiscal 2009 as compared to $4.8 million for the first quarter of fiscal 2008. We intend to continue to incur expenditures to develop new display products using various display technologies to offer higher resolution and more cost effective and energy efficient displays at a rate of 4.0% of net sales. We also intend to continue developing software applications for our display systems to enable these products to continue to meet the needs and expectations of the marketplace.</w:t>
      </w:r>
    </w:p>
    <w:p>
      <w:pPr>
        <w:spacing w:after="0" w:line="199"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3.2% at August 2, 2008. We are assessed a loan fee equal to 0.1% per annum of any non-used portion of the loan. As of August 2, 2008, there were no advances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$0.3 million line of credit. The line of credit is due on February 1, 2009. The interest rate on the line of credit is equal to 1.5% above the prime rate of interest and was 4.8% on August 2, 2008. As of August 2, 2008, no advances under the line of credit were outstanding. The line of credit is secured primarily by accounts receivable, inventory and other assets of the subsidiary. Daktronics Shanghai, Ltd, has established a line of credit for $7.2 million to facilitate the issuance of bank guarantees in connection with orders it receives. The fees on the line are equal to 3% of the outstanding bank guarantees, and the line of credit is secured by a letter of credit issue by us. The line expires on February 28, 2010.</w:t>
      </w:r>
    </w:p>
    <w:p>
      <w:pPr>
        <w:spacing w:after="0" w:line="211"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On May 29, 2008, our Board declared an annual dividend payment of $0.09 per share on our common stock for the year ended April 26, 2008. Although we intend to pay regular annual dividends for the foreseeable future, all subsequent dividends will be reviewed annually and declared by our Board of Directors at its discretion.</w:t>
      </w:r>
    </w:p>
    <w:p>
      <w:pPr>
        <w:spacing w:after="0" w:line="1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$100 million in bonded work outstanding. At August 2, 2008, we had approximately $32.3 million of bonded work outstanding against this line.</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our existing or increased credit facility and our current working capital will be adequate to meet the cash requirements of our operations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Through August 2, 2008, most of our net sales were denominated in United States dollars, and our exposure to foreign currency exchange rate changes has not been significant. Net sales originating outside the United States for the first quarter of fiscal 2009 were approximately 14% of total net sales, of which a portion was denominated in Canadian dollars, euros, Chinese renminbi or British pounds. If we believed that currency risk in any foreign location was significant, we would utilize foreign exchange hedging contracts to manage our exposure to the currency fluctuations. In fiscal 2009, net sales to international markets are expected to increase as a percentage of net sales and, consequently, a greater portion of this business could be denominated in foreign currencies. In addition, we fund operating cash to foreign subsidiaries in the form of loans denominated in U.S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August 2, 2008, our outstanding debt approximated $0.5 million, substantially all of which was in variable rate obligations. Each 100</w:t>
      </w:r>
    </w:p>
    <w:p>
      <w:pPr>
        <w:sectPr>
          <w:pgSz w:w="11900" w:h="16838" w:orient="portrait"/>
          <w:cols w:equalWidth="0" w:num="1">
            <w:col w:w="10219"/>
          </w:cols>
          <w:pgMar w:left="240" w:top="131" w:right="1440" w:bottom="0" w:gutter="0" w:footer="0" w:header="0"/>
        </w:sectPr>
      </w:pPr>
    </w:p>
    <w:bookmarkStart w:id="21" w:name="page22"/>
    <w:bookmarkEnd w:id="21"/>
    <w:p>
      <w:pPr>
        <w:jc w:val="both"/>
        <w:ind w:right="2119"/>
        <w:spacing w:after="0" w:line="259" w:lineRule="auto"/>
        <w:rPr>
          <w:sz w:val="20"/>
          <w:szCs w:val="20"/>
          <w:color w:val="auto"/>
        </w:rPr>
      </w:pPr>
      <w:r>
        <w:rPr>
          <w:rFonts w:ascii="Arial" w:cs="Arial" w:eastAsia="Arial" w:hAnsi="Arial"/>
          <w:sz w:val="18"/>
          <w:szCs w:val="18"/>
          <w:color w:val="auto"/>
        </w:rPr>
        <w:t>basis point increase or decrease in interest rates would have an insignificant annual effect on variable rate debt interest based on the balances of such debt as of August 2, 2008. For fixed-rate debt, interest rate changes affect its fair market value but do not affect earnings or cash flows.</w:t>
      </w:r>
    </w:p>
    <w:p>
      <w:pPr>
        <w:spacing w:after="0" w:line="22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August 2, 2008, our outstanding long-term receivables were approximately $25.2 million. Each 25 basis point increase in interest rates would have an associated annual opportunity cost to us of approximately $0.1 million.</w:t>
      </w:r>
    </w:p>
    <w:p>
      <w:pPr>
        <w:spacing w:after="0" w:line="22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table provides information about our financial instruments that are sensitive to changes in interest rates, including debt obligations, for the three quarters ended May 2, 2009 and subsequent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w w:val="99"/>
              </w:rPr>
              <w:t>Fiscal Years (dollars in thousands)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There-</w:t>
            </w:r>
          </w:p>
        </w:tc>
      </w:tr>
      <w:tr>
        <w:trPr>
          <w:trHeight w:val="212"/>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after</w:t>
            </w:r>
          </w:p>
        </w:tc>
      </w:tr>
      <w:tr>
        <w:trPr>
          <w:trHeight w:val="209"/>
        </w:trPr>
        <w:tc>
          <w:tcPr>
            <w:tcW w:w="2580" w:type="dxa"/>
            <w:vAlign w:val="bottom"/>
          </w:tcPr>
          <w:p>
            <w:pPr>
              <w:ind w:left="10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1"/>
        </w:trPr>
        <w:tc>
          <w:tcPr>
            <w:tcW w:w="25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Long-term receivables,</w:t>
            </w: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66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680" w:type="dxa"/>
            <w:vAlign w:val="bottom"/>
            <w:shd w:val="clear" w:color="auto" w:fill="C2F3F2"/>
          </w:tcPr>
          <w:p>
            <w:pPr>
              <w:spacing w:after="0"/>
              <w:rPr>
                <w:sz w:val="20"/>
                <w:szCs w:val="20"/>
                <w:color w:val="auto"/>
              </w:rPr>
            </w:pPr>
          </w:p>
        </w:tc>
      </w:tr>
      <w:tr>
        <w:trPr>
          <w:trHeight w:val="229"/>
        </w:trPr>
        <w:tc>
          <w:tcPr>
            <w:tcW w:w="2580" w:type="dxa"/>
            <w:vAlign w:val="bottom"/>
          </w:tcPr>
          <w:p>
            <w:pPr>
              <w:ind w:left="46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1"/>
        </w:trPr>
        <w:tc>
          <w:tcPr>
            <w:tcW w:w="2580" w:type="dxa"/>
            <w:vAlign w:val="bottom"/>
            <w:shd w:val="clear" w:color="auto" w:fill="C2F3F2"/>
          </w:tcPr>
          <w:p>
            <w:pPr>
              <w:ind w:left="46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6,893</w:t>
            </w: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4,424</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3,317</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3,201</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2,582</w:t>
            </w: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2F3F2"/>
          </w:tcPr>
          <w:p>
            <w:pPr>
              <w:jc w:val="right"/>
              <w:spacing w:after="0"/>
              <w:rPr>
                <w:sz w:val="20"/>
                <w:szCs w:val="20"/>
                <w:color w:val="auto"/>
              </w:rPr>
            </w:pPr>
            <w:r>
              <w:rPr>
                <w:rFonts w:ascii="Arial" w:cs="Arial" w:eastAsia="Arial" w:hAnsi="Arial"/>
                <w:sz w:val="18"/>
                <w:szCs w:val="18"/>
                <w:color w:val="auto"/>
              </w:rPr>
              <w:t>4,797</w:t>
            </w:r>
          </w:p>
        </w:tc>
      </w:tr>
      <w:tr>
        <w:trPr>
          <w:trHeight w:val="229"/>
        </w:trPr>
        <w:tc>
          <w:tcPr>
            <w:tcW w:w="258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1"/>
        </w:trPr>
        <w:tc>
          <w:tcPr>
            <w:tcW w:w="2580" w:type="dxa"/>
            <w:vAlign w:val="bottom"/>
            <w:shd w:val="clear" w:color="auto" w:fill="C2F3F2"/>
          </w:tcPr>
          <w:p>
            <w:pPr>
              <w:ind w:left="10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66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680" w:type="dxa"/>
            <w:vAlign w:val="bottom"/>
            <w:shd w:val="clear" w:color="auto" w:fill="C2F3F2"/>
          </w:tcPr>
          <w:p>
            <w:pPr>
              <w:spacing w:after="0"/>
              <w:rPr>
                <w:sz w:val="20"/>
                <w:szCs w:val="20"/>
                <w:color w:val="auto"/>
              </w:rPr>
            </w:pPr>
          </w:p>
        </w:tc>
      </w:tr>
      <w:tr>
        <w:trPr>
          <w:trHeight w:val="229"/>
        </w:trPr>
        <w:tc>
          <w:tcPr>
            <w:tcW w:w="2580" w:type="dxa"/>
            <w:vAlign w:val="bottom"/>
          </w:tcPr>
          <w:p>
            <w:pPr>
              <w:ind w:left="10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1"/>
        </w:trPr>
        <w:tc>
          <w:tcPr>
            <w:tcW w:w="2580" w:type="dxa"/>
            <w:vAlign w:val="bottom"/>
            <w:shd w:val="clear" w:color="auto" w:fill="C2F3F2"/>
          </w:tcPr>
          <w:p>
            <w:pPr>
              <w:ind w:left="46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2F3F2"/>
          </w:tcPr>
          <w:p>
            <w:pPr>
              <w:jc w:val="right"/>
              <w:ind w:right="72"/>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1"/>
        </w:trPr>
        <w:tc>
          <w:tcPr>
            <w:tcW w:w="2580" w:type="dxa"/>
            <w:vAlign w:val="bottom"/>
            <w:shd w:val="clear" w:color="auto" w:fill="C2F3F2"/>
          </w:tcPr>
          <w:p>
            <w:pPr>
              <w:ind w:left="100"/>
              <w:spacing w:after="0"/>
              <w:rPr>
                <w:sz w:val="20"/>
                <w:szCs w:val="20"/>
                <w:color w:val="auto"/>
              </w:rPr>
            </w:pPr>
            <w:r>
              <w:rPr>
                <w:rFonts w:ascii="Arial" w:cs="Arial" w:eastAsia="Arial" w:hAnsi="Arial"/>
                <w:sz w:val="18"/>
                <w:szCs w:val="18"/>
                <w:color w:val="auto"/>
                <w:w w:val="93"/>
              </w:rPr>
              <w:t>Long-term marketing obligations,</w:t>
            </w: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spacing w:after="0"/>
              <w:rPr>
                <w:sz w:val="20"/>
                <w:szCs w:val="20"/>
                <w:color w:val="auto"/>
              </w:rPr>
            </w:pPr>
          </w:p>
        </w:tc>
        <w:tc>
          <w:tcPr>
            <w:tcW w:w="66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spacing w:after="0"/>
              <w:rPr>
                <w:sz w:val="20"/>
                <w:szCs w:val="20"/>
                <w:color w:val="auto"/>
              </w:rPr>
            </w:pPr>
          </w:p>
        </w:tc>
        <w:tc>
          <w:tcPr>
            <w:tcW w:w="64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spacing w:after="0"/>
              <w:rPr>
                <w:sz w:val="20"/>
                <w:szCs w:val="20"/>
                <w:color w:val="auto"/>
              </w:rPr>
            </w:pPr>
          </w:p>
        </w:tc>
        <w:tc>
          <w:tcPr>
            <w:tcW w:w="680" w:type="dxa"/>
            <w:vAlign w:val="bottom"/>
            <w:shd w:val="clear" w:color="auto" w:fill="C2F3F2"/>
          </w:tcPr>
          <w:p>
            <w:pPr>
              <w:spacing w:after="0"/>
              <w:rPr>
                <w:sz w:val="20"/>
                <w:szCs w:val="20"/>
                <w:color w:val="auto"/>
              </w:rPr>
            </w:pPr>
          </w:p>
        </w:tc>
      </w:tr>
      <w:tr>
        <w:trPr>
          <w:trHeight w:val="229"/>
        </w:trPr>
        <w:tc>
          <w:tcPr>
            <w:tcW w:w="2580" w:type="dxa"/>
            <w:vAlign w:val="bottom"/>
          </w:tcPr>
          <w:p>
            <w:pPr>
              <w:ind w:left="46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1"/>
        </w:trPr>
        <w:tc>
          <w:tcPr>
            <w:tcW w:w="2580" w:type="dxa"/>
            <w:vAlign w:val="bottom"/>
            <w:shd w:val="clear" w:color="auto" w:fill="C2F3F2"/>
          </w:tcPr>
          <w:p>
            <w:pPr>
              <w:ind w:left="46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2F3F2"/>
          </w:tcPr>
          <w:p>
            <w:pPr>
              <w:spacing w:after="0"/>
              <w:rPr>
                <w:sz w:val="20"/>
                <w:szCs w:val="20"/>
                <w:color w:val="auto"/>
              </w:rPr>
            </w:pPr>
          </w:p>
        </w:tc>
        <w:tc>
          <w:tcPr>
            <w:tcW w:w="22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ind w:right="12"/>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2F3F2"/>
          </w:tcPr>
          <w:p>
            <w:pPr>
              <w:spacing w:after="0"/>
              <w:rPr>
                <w:sz w:val="20"/>
                <w:szCs w:val="20"/>
                <w:color w:val="auto"/>
              </w:rPr>
            </w:pPr>
          </w:p>
        </w:tc>
        <w:tc>
          <w:tcPr>
            <w:tcW w:w="2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2F3F2"/>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2F3F2"/>
          </w:tcPr>
          <w:p>
            <w:pPr>
              <w:spacing w:after="0"/>
              <w:rPr>
                <w:sz w:val="20"/>
                <w:szCs w:val="20"/>
                <w:color w:val="auto"/>
              </w:rPr>
            </w:pPr>
          </w:p>
        </w:tc>
        <w:tc>
          <w:tcPr>
            <w:tcW w:w="200" w:type="dxa"/>
            <w:vAlign w:val="bottom"/>
            <w:shd w:val="clear" w:color="auto" w:fill="C2F3F2"/>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2F3F2"/>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258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13" w:lineRule="exact"/>
        <w:rPr>
          <w:sz w:val="20"/>
          <w:szCs w:val="20"/>
          <w:color w:val="auto"/>
        </w:rPr>
      </w:pPr>
    </w:p>
    <w:p>
      <w:pPr>
        <w:jc w:val="both"/>
        <w:ind w:right="2119"/>
        <w:spacing w:after="0" w:line="284" w:lineRule="auto"/>
        <w:rPr>
          <w:sz w:val="20"/>
          <w:szCs w:val="20"/>
          <w:color w:val="auto"/>
        </w:rPr>
      </w:pPr>
      <w:r>
        <w:rPr>
          <w:rFonts w:ascii="Arial" w:cs="Arial" w:eastAsia="Arial" w:hAnsi="Arial"/>
          <w:sz w:val="16"/>
          <w:szCs w:val="16"/>
          <w:color w:val="auto"/>
        </w:rPr>
        <w:t>Approximately $2.9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2, 2008, which is the end of the period covered by this report. Based upon that evaluation, the Chief Executive Officer and Chief Financial Officer concluded that as of August 2, 2008, our disclosure controls and procedures were effective.</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2, 2008, there was no change in our internal control over financial reporting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year ended April 26, 2008.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31" w:right="1440"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jc w:val="right"/>
        <w:ind w:right="2119"/>
        <w:spacing w:after="0" w:line="286" w:lineRule="auto"/>
        <w:rPr>
          <w:sz w:val="20"/>
          <w:szCs w:val="20"/>
          <w:color w:val="auto"/>
        </w:rPr>
      </w:pPr>
      <w:r>
        <w:rPr>
          <w:rFonts w:ascii="Arial" w:cs="Arial" w:eastAsia="Arial" w:hAnsi="Arial"/>
          <w:sz w:val="16"/>
          <w:szCs w:val="16"/>
          <w:color w:val="auto"/>
        </w:rPr>
        <w:t>31.1    Certification of the Chief Executive Officer required by Rule 13a-14(a) or Rule 15d-14(a) under the Securities Exchange Act of 1934, as adopted pursuant to Section 302 of the Sarbanes-Oxley Act of 2002.</w:t>
      </w:r>
    </w:p>
    <w:p>
      <w:pPr>
        <w:ind w:left="660" w:right="2099" w:hanging="647"/>
        <w:spacing w:after="0" w:line="300"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 U.S.C. Section 1350).</w:t>
      </w:r>
    </w:p>
    <w:p>
      <w:pPr>
        <w:spacing w:after="0" w:line="27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2008</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219"/>
          </w:cols>
          <w:pgMar w:left="240" w:top="368" w:right="1440" w:bottom="1440" w:gutter="0" w:footer="0" w:header="0"/>
        </w:sectPr>
      </w:pPr>
    </w:p>
    <w:bookmarkStart w:id="23" w:name="page24"/>
    <w:bookmarkEnd w:id="23"/>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August 2, 2008 of Daktronics, Inc.;</w:t>
      </w:r>
    </w:p>
    <w:p>
      <w:pPr>
        <w:spacing w:after="0" w:line="27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4" w:name="page25"/>
    <w:bookmarkEnd w:id="24"/>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August 2, 2008 of Daktronics, Inc.;</w:t>
      </w:r>
    </w:p>
    <w:p>
      <w:pPr>
        <w:spacing w:after="0" w:line="27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5" w:name="page26"/>
    <w:bookmarkEnd w:id="25"/>
    <w:p>
      <w:pPr>
        <w:jc w:val="right"/>
        <w:ind w:right="2099"/>
        <w:spacing w:after="0"/>
        <w:rPr>
          <w:sz w:val="20"/>
          <w:szCs w:val="20"/>
          <w:color w:val="auto"/>
        </w:rPr>
      </w:pPr>
      <w:r>
        <w:rPr>
          <w:rFonts w:ascii="Arial" w:cs="Arial" w:eastAsia="Arial" w:hAnsi="Arial"/>
          <w:sz w:val="18"/>
          <w:szCs w:val="18"/>
          <w:color w:val="auto"/>
        </w:rPr>
        <w:t>EXHIBIT 32.1</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45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August 2, 2008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27, 2008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6" w:name="page27"/>
    <w:bookmarkEnd w:id="26"/>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27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August 2, 2008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27, 2008</w:t>
      </w:r>
    </w:p>
    <w:p>
      <w:pPr>
        <w:spacing w:after="0" w:line="200" w:lineRule="exact"/>
        <w:rPr>
          <w:sz w:val="20"/>
          <w:szCs w:val="20"/>
          <w:color w:val="auto"/>
        </w:rPr>
      </w:pPr>
    </w:p>
    <w:p>
      <w:pPr>
        <w:spacing w:after="0" w:line="2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endash "/>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2019-12-14T02:19:13Z</dcterms:created>
  <dcterms:modified xsi:type="dcterms:W3CDTF">2019-12-14T02:19:13Z</dcterms:modified>
</cp:coreProperties>
</file>