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864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864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55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Kurtenbach Matthew John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201 DAKTRONICS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DAKTRONICS INC /SD/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DAKT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01/30/2026</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45"/>
        <w:spacing w:after="0"/>
        <w:rPr>
          <w:sz w:val="20"/>
          <w:szCs w:val="20"/>
          <w:color w:val="auto"/>
        </w:rPr>
      </w:pPr>
      <w:r>
        <w:rPr>
          <w:rFonts w:ascii="Times New Roman" w:cs="Times New Roman" w:eastAsia="Times New Roman" w:hAnsi="Times New Roman"/>
          <w:sz w:val="17"/>
          <w:szCs w:val="17"/>
          <w:color w:val="0000FF"/>
        </w:rPr>
        <w:t>VP of Manufacturing</w:t>
      </w:r>
    </w:p>
    <w:p>
      <w:pPr>
        <w:spacing w:after="0" w:line="333" w:lineRule="exact"/>
        <w:rPr>
          <w:sz w:val="24"/>
          <w:szCs w:val="24"/>
          <w:color w:val="auto"/>
        </w:rPr>
      </w:pPr>
    </w:p>
    <w:p>
      <w:pPr>
        <w:sectPr>
          <w:pgSz w:w="11900" w:h="16838" w:orient="portrait"/>
          <w:cols w:equalWidth="0" w:num="3">
            <w:col w:w="3200" w:space="720"/>
            <w:col w:w="3095" w:space="720"/>
            <w:col w:w="3265"/>
          </w:cols>
          <w:pgMar w:left="460" w:top="219" w:right="439" w:bottom="553"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1760" w:type="dxa"/>
            <w:vAlign w:val="bottom"/>
            <w:tcBorders>
              <w:bottom w:val="single" w:sz="8" w:color="9A9A9A"/>
            </w:tcBorders>
          </w:tcPr>
          <w:p>
            <w:pPr>
              <w:spacing w:after="0"/>
              <w:rPr>
                <w:sz w:val="3"/>
                <w:szCs w:val="3"/>
                <w:color w:val="auto"/>
              </w:rPr>
            </w:pPr>
          </w:p>
        </w:tc>
        <w:tc>
          <w:tcPr>
            <w:tcW w:w="36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580" w:type="dxa"/>
            <w:vAlign w:val="bottom"/>
            <w:gridSpan w:val="6"/>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358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BROOKINGS</w:t>
            </w:r>
          </w:p>
        </w:tc>
        <w:tc>
          <w:tcPr>
            <w:tcW w:w="7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SD</w:t>
            </w:r>
          </w:p>
        </w:tc>
        <w:tc>
          <w:tcPr>
            <w:tcW w:w="1760" w:type="dxa"/>
            <w:vAlign w:val="bottom"/>
          </w:tcPr>
          <w:p>
            <w:pPr>
              <w:ind w:left="560"/>
              <w:spacing w:after="0"/>
              <w:rPr>
                <w:sz w:val="20"/>
                <w:szCs w:val="20"/>
                <w:color w:val="auto"/>
              </w:rPr>
            </w:pPr>
            <w:r>
              <w:rPr>
                <w:rFonts w:ascii="Times New Roman" w:cs="Times New Roman" w:eastAsia="Times New Roman" w:hAnsi="Times New Roman"/>
                <w:sz w:val="17"/>
                <w:szCs w:val="17"/>
                <w:color w:val="0000FF"/>
              </w:rPr>
              <w:t>57006</w:t>
            </w: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920" w:type="dxa"/>
            <w:vAlign w:val="bottom"/>
            <w:gridSpan w:val="4"/>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760" w:type="dxa"/>
            <w:vAlign w:val="bottom"/>
            <w:tcBorders>
              <w:bottom w:val="single" w:sz="8" w:color="9A9A9A"/>
            </w:tcBorders>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920" w:type="dxa"/>
            <w:vAlign w:val="bottom"/>
            <w:gridSpan w:val="4"/>
          </w:tcPr>
          <w:p>
            <w:pPr>
              <w:ind w:left="20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auto"/>
              </w:rPr>
              <w:t>(State)</w:t>
            </w:r>
          </w:p>
        </w:tc>
        <w:tc>
          <w:tcPr>
            <w:tcW w:w="218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ind w:left="2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2180" w:type="dxa"/>
            <w:vAlign w:val="bottom"/>
            <w:gridSpan w:val="2"/>
            <w:vMerge w:val="continue"/>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4260" w:type="dxa"/>
            <w:vAlign w:val="bottom"/>
            <w:tcBorders>
              <w:bottom w:val="single" w:sz="8" w:color="2C2C2C"/>
            </w:tcBorders>
            <w:gridSpan w:val="6"/>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9"/>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1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80" w:type="dxa"/>
            <w:vAlign w:val="bottom"/>
            <w:gridSpan w:val="2"/>
          </w:tcPr>
          <w:p>
            <w:pPr>
              <w:ind w:left="1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80" w:type="dxa"/>
            <w:vAlign w:val="bottom"/>
            <w:gridSpan w:val="2"/>
          </w:tcPr>
          <w:p>
            <w:pPr>
              <w:ind w:left="11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80" w:type="dxa"/>
            <w:vAlign w:val="bottom"/>
            <w:gridSpan w:val="2"/>
          </w:tcPr>
          <w:p>
            <w:pPr>
              <w:ind w:left="1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1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1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2"/>
          </w:tcPr>
          <w:p>
            <w:pPr>
              <w:ind w:left="1220"/>
              <w:spacing w:after="0"/>
              <w:rPr>
                <w:sz w:val="20"/>
                <w:szCs w:val="20"/>
                <w:color w:val="auto"/>
              </w:rPr>
            </w:pPr>
            <w:r>
              <w:rPr>
                <w:rFonts w:ascii="Times New Roman" w:cs="Times New Roman" w:eastAsia="Times New Roman" w:hAnsi="Times New Roman"/>
                <w:sz w:val="17"/>
                <w:szCs w:val="17"/>
                <w:color w:val="0000FF"/>
              </w:rPr>
              <w:t>01/30/2026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23,362</w:t>
            </w:r>
            <w:r>
              <w:rPr>
                <w:rFonts w:ascii="Times New Roman" w:cs="Times New Roman" w:eastAsia="Times New Roman" w:hAnsi="Times New Roman"/>
                <w:sz w:val="22"/>
                <w:szCs w:val="22"/>
                <w:color w:val="008000"/>
                <w:vertAlign w:val="superscript"/>
              </w:rPr>
              <w:t>(1)</w:t>
            </w:r>
          </w:p>
        </w:tc>
        <w:tc>
          <w:tcPr>
            <w:tcW w:w="4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335,264.7</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6"/>
                <w:vertAlign w:val="subscript"/>
              </w:rPr>
              <w:t>5,000</w:t>
            </w:r>
            <w:r>
              <w:rPr>
                <w:rFonts w:ascii="Times New Roman" w:cs="Times New Roman" w:eastAsia="Times New Roman" w:hAnsi="Times New Roman"/>
                <w:sz w:val="11"/>
                <w:szCs w:val="11"/>
                <w:color w:val="008000"/>
                <w:w w:val="86"/>
              </w:rPr>
              <w:t>(2)(3)</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By Trust</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As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custodian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for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1"/>
              </w:rPr>
              <w:t>21,000</w:t>
            </w:r>
            <w:r>
              <w:rPr>
                <w:rFonts w:ascii="Times New Roman" w:cs="Times New Roman" w:eastAsia="Times New Roman" w:hAnsi="Times New Roman"/>
                <w:sz w:val="22"/>
                <w:szCs w:val="22"/>
                <w:color w:val="008000"/>
                <w:w w:val="91"/>
                <w:vertAlign w:val="superscript"/>
              </w:rPr>
              <w:t>(2)(4)</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UTMA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Accounts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for</w:t>
            </w: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minors</w:t>
            </w:r>
            <w:r>
              <w:rPr>
                <w:rFonts w:ascii="Times New Roman" w:cs="Times New Roman" w:eastAsia="Times New Roman" w:hAnsi="Times New Roman"/>
                <w:sz w:val="22"/>
                <w:szCs w:val="22"/>
                <w:color w:val="008000"/>
                <w:vertAlign w:val="superscript"/>
              </w:rPr>
              <w:t>(2)(4)</w:t>
            </w: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Gift received from Grantor Retained Annuity Trust. 11,681 shares had a cost basis of $1.27 per share, and the remaining 11,681 shares had a cost basis of $0.02 per share.</w:t>
      </w:r>
    </w:p>
    <w:p>
      <w:pPr>
        <w:spacing w:after="0" w:line="5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For purposes of Section 16 of the Securities Exchange Act of 1934, as amended ("Section 16"), the Reporting Person disclaims beneficial ownership of any securities reported in this filing, except to the extent of his pecuniary interest therein, if any, and this Amendment shall not be deemed an admission that such Reporting Person is the beneficial owner of such securities for purposes of Section 16 or otherwise.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As a trustee of a trust formed for the benefit of a child of the Reporting Person (the "Trust"), the Reporting Person may be deemed to exercise voting and investment power over the shares of common stock of Daktronics, Inc. ("Common Stock") held by the Trust.</w:t>
      </w:r>
    </w:p>
    <w:p>
      <w:pPr>
        <w:spacing w:after="0" w:line="7" w:lineRule="exact"/>
        <w:rPr>
          <w:rFonts w:ascii="Times New Roman" w:cs="Times New Roman" w:eastAsia="Times New Roman" w:hAnsi="Times New Roman"/>
          <w:sz w:val="13"/>
          <w:szCs w:val="13"/>
          <w:color w:val="008000"/>
        </w:rPr>
      </w:pPr>
    </w:p>
    <w:p>
      <w:pPr>
        <w:ind w:left="40" w:right="1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held in 3 separate custodial accounts under the Uniform Transfers to Minors Act (the "UTMA"). The Reporting Person is the custodian of the UTMA accounts held for the benefit of his children.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Matthew J. Kurtenbach</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02/10/2026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55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85065" TargetMode="External"/><Relationship Id="rId14" Type="http://schemas.openxmlformats.org/officeDocument/2006/relationships/hyperlink" Target="http://www.sec.gov/cgi-bin/browse-edgar?action=getcompany&amp;CIK=00009157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2026-02-10T17:03:12Z</dcterms:created>
  <dcterms:modified xsi:type="dcterms:W3CDTF">2026-02-10T17:03:12Z</dcterms:modified>
</cp:coreProperties>
</file>