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3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378460</wp:posOffset>
            </wp:positionV>
            <wp:extent cx="516699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6699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483235</wp:posOffset>
            </wp:positionV>
            <wp:extent cx="51625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62550" cy="8890"/>
                    </a:xfrm>
                    <a:prstGeom prst="rect">
                      <a:avLst/>
                    </a:prstGeom>
                    <a:noFill/>
                  </pic:spPr>
                </pic:pic>
              </a:graphicData>
            </a:graphic>
          </wp:anchor>
        </w:drawing>
        <w:t>UNITED STATES</w:t>
      </w:r>
    </w:p>
    <w:p>
      <w:pPr>
        <w:spacing w:after="0" w:line="312"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SECURITIES AND EXCHANGE COMMISSION</w:t>
      </w:r>
    </w:p>
    <w:p>
      <w:pPr>
        <w:spacing w:after="0" w:line="225" w:lineRule="exact"/>
        <w:rPr>
          <w:sz w:val="24"/>
          <w:szCs w:val="24"/>
          <w:color w:val="auto"/>
        </w:rPr>
      </w:pPr>
    </w:p>
    <w:p>
      <w:pPr>
        <w:ind w:left="3200"/>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51625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62550"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FORM 10-Q</w:t>
      </w:r>
    </w:p>
    <w:p>
      <w:pPr>
        <w:spacing w:after="0" w:line="225" w:lineRule="exact"/>
        <w:rPr>
          <w:sz w:val="24"/>
          <w:szCs w:val="24"/>
          <w:color w:val="auto"/>
        </w:rPr>
      </w:pPr>
    </w:p>
    <w:p>
      <w:pPr>
        <w:ind w:left="140"/>
        <w:spacing w:after="0"/>
        <w:rPr>
          <w:sz w:val="20"/>
          <w:szCs w:val="20"/>
          <w:color w:val="auto"/>
        </w:rPr>
      </w:pPr>
      <w:r>
        <w:rPr>
          <w:rFonts w:ascii="Arial" w:cs="Arial" w:eastAsia="Arial" w:hAnsi="Arial"/>
          <w:sz w:val="18"/>
          <w:szCs w:val="18"/>
          <w:color w:val="auto"/>
        </w:rPr>
        <w:t>(Mark One)</w:t>
      </w:r>
    </w:p>
    <w:p>
      <w:pPr>
        <w:spacing w:after="0" w:line="219" w:lineRule="exact"/>
        <w:rPr>
          <w:sz w:val="24"/>
          <w:szCs w:val="24"/>
          <w:color w:val="auto"/>
        </w:rPr>
      </w:pPr>
    </w:p>
    <w:p>
      <w:pPr>
        <w:jc w:val="center"/>
        <w:ind w:left="3000" w:right="2899" w:hanging="2729"/>
        <w:spacing w:after="0" w:line="604" w:lineRule="auto"/>
        <w:tabs>
          <w:tab w:leader="none" w:pos="555"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ind w:left="3000" w:right="2919" w:hanging="2729"/>
        <w:spacing w:after="0" w:line="590" w:lineRule="auto"/>
        <w:tabs>
          <w:tab w:leader="none" w:pos="414"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TRANSITION REPORT PURSUANT TO SECTION 13 OR 15(d) OF THE SECURITIES EXCHANGE ACT OF 1934</w:t>
      </w:r>
    </w:p>
    <w:p>
      <w:pPr>
        <w:spacing w:after="0" w:line="1" w:lineRule="exact"/>
        <w:rPr>
          <w:sz w:val="24"/>
          <w:szCs w:val="24"/>
          <w:color w:val="auto"/>
        </w:rPr>
      </w:pPr>
    </w:p>
    <w:p>
      <w:pPr>
        <w:ind w:left="2280"/>
        <w:spacing w:after="0"/>
        <w:rPr>
          <w:sz w:val="20"/>
          <w:szCs w:val="20"/>
          <w:color w:val="auto"/>
        </w:rPr>
      </w:pPr>
      <w:r>
        <w:rPr>
          <w:rFonts w:ascii="Arial" w:cs="Arial" w:eastAsia="Arial" w:hAnsi="Arial"/>
          <w:sz w:val="18"/>
          <w:szCs w:val="18"/>
          <w:b w:val="1"/>
          <w:bCs w:val="1"/>
          <w:i w:val="1"/>
          <w:iCs w:val="1"/>
          <w:color w:val="auto"/>
        </w:rPr>
        <w:t>For the Transition Period From _____ to _____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51625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62550" cy="8890"/>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ind w:left="2760"/>
        <w:spacing w:after="0"/>
        <w:rPr>
          <w:sz w:val="20"/>
          <w:szCs w:val="20"/>
          <w:color w:val="auto"/>
        </w:rPr>
      </w:pPr>
      <w:r>
        <w:rPr>
          <w:rFonts w:ascii="Arial" w:cs="Arial" w:eastAsia="Arial" w:hAnsi="Arial"/>
          <w:sz w:val="18"/>
          <w:szCs w:val="18"/>
          <w:b w:val="1"/>
          <w:bCs w:val="1"/>
          <w:color w:val="auto"/>
        </w:rPr>
        <w:t>Commission File Number: 0-23246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1205865</wp:posOffset>
            </wp:positionH>
            <wp:positionV relativeFrom="paragraph">
              <wp:posOffset>194945</wp:posOffset>
            </wp:positionV>
            <wp:extent cx="2752725" cy="445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52725" cy="4457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jc w:val="center"/>
        <w:ind w:right="2099"/>
        <w:spacing w:after="0"/>
        <w:rPr>
          <w:sz w:val="20"/>
          <w:szCs w:val="20"/>
          <w:color w:val="auto"/>
        </w:rPr>
      </w:pPr>
      <w:r>
        <w:rPr>
          <w:rFonts w:ascii="Arial" w:cs="Arial" w:eastAsia="Arial" w:hAnsi="Arial"/>
          <w:sz w:val="22"/>
          <w:szCs w:val="22"/>
          <w:b w:val="1"/>
          <w:bCs w:val="1"/>
          <w:color w:val="auto"/>
        </w:rPr>
        <w:t>Daktronics, Inc.</w:t>
      </w:r>
    </w:p>
    <w:p>
      <w:pPr>
        <w:spacing w:after="0" w:line="23" w:lineRule="exact"/>
        <w:rPr>
          <w:sz w:val="24"/>
          <w:szCs w:val="24"/>
          <w:color w:val="auto"/>
        </w:rPr>
      </w:pPr>
    </w:p>
    <w:p>
      <w:pPr>
        <w:ind w:left="2220"/>
        <w:spacing w:after="0"/>
        <w:rPr>
          <w:sz w:val="20"/>
          <w:szCs w:val="20"/>
          <w:color w:val="auto"/>
        </w:rPr>
      </w:pPr>
      <w:r>
        <w:rPr>
          <w:rFonts w:ascii="Arial" w:cs="Arial" w:eastAsia="Arial" w:hAnsi="Arial"/>
          <w:sz w:val="18"/>
          <w:szCs w:val="18"/>
          <w:color w:val="auto"/>
        </w:rPr>
        <w:t>(Exact name of Registrant as specified in its charter)</w:t>
      </w:r>
    </w:p>
    <w:p>
      <w:pPr>
        <w:spacing w:after="0" w:line="232" w:lineRule="exact"/>
        <w:rPr>
          <w:sz w:val="24"/>
          <w:szCs w:val="24"/>
          <w:color w:val="auto"/>
        </w:rPr>
      </w:pPr>
    </w:p>
    <w:tbl>
      <w:tblPr>
        <w:tblLayout w:type="fixed"/>
        <w:tblInd w:w="1240" w:type="dxa"/>
        <w:tblCellMar>
          <w:top w:w="0" w:type="dxa"/>
          <w:left w:w="0" w:type="dxa"/>
          <w:bottom w:w="0" w:type="dxa"/>
          <w:right w:w="0" w:type="dxa"/>
        </w:tblCellMar>
      </w:tblPr>
      <w:tr>
        <w:trPr>
          <w:trHeight w:val="222"/>
        </w:trPr>
        <w:tc>
          <w:tcPr>
            <w:tcW w:w="3200" w:type="dxa"/>
            <w:vAlign w:val="bottom"/>
          </w:tcPr>
          <w:p>
            <w:pPr>
              <w:jc w:val="center"/>
              <w:ind w:right="992"/>
              <w:spacing w:after="0"/>
              <w:rPr>
                <w:sz w:val="20"/>
                <w:szCs w:val="20"/>
                <w:color w:val="auto"/>
              </w:rPr>
            </w:pPr>
            <w:r>
              <w:rPr>
                <w:rFonts w:ascii="Arial" w:cs="Arial" w:eastAsia="Arial" w:hAnsi="Arial"/>
                <w:sz w:val="18"/>
                <w:szCs w:val="18"/>
                <w:b w:val="1"/>
                <w:bCs w:val="1"/>
                <w:color w:val="auto"/>
                <w:w w:val="89"/>
              </w:rPr>
              <w:t>South Dakota</w:t>
            </w:r>
          </w:p>
        </w:tc>
        <w:tc>
          <w:tcPr>
            <w:tcW w:w="2720" w:type="dxa"/>
            <w:vAlign w:val="bottom"/>
          </w:tcPr>
          <w:p>
            <w:pPr>
              <w:jc w:val="center"/>
              <w:ind w:left="1012"/>
              <w:spacing w:after="0"/>
              <w:rPr>
                <w:sz w:val="20"/>
                <w:szCs w:val="20"/>
                <w:color w:val="auto"/>
              </w:rPr>
            </w:pPr>
            <w:r>
              <w:rPr>
                <w:rFonts w:ascii="Arial" w:cs="Arial" w:eastAsia="Arial" w:hAnsi="Arial"/>
                <w:sz w:val="18"/>
                <w:szCs w:val="18"/>
                <w:b w:val="1"/>
                <w:bCs w:val="1"/>
                <w:color w:val="auto"/>
                <w:w w:val="89"/>
              </w:rPr>
              <w:t>46-0306862</w:t>
            </w:r>
          </w:p>
        </w:tc>
      </w:tr>
      <w:tr>
        <w:trPr>
          <w:trHeight w:val="216"/>
        </w:trPr>
        <w:tc>
          <w:tcPr>
            <w:tcW w:w="3200" w:type="dxa"/>
            <w:vAlign w:val="bottom"/>
          </w:tcPr>
          <w:p>
            <w:pPr>
              <w:jc w:val="center"/>
              <w:ind w:right="992"/>
              <w:spacing w:after="0"/>
              <w:rPr>
                <w:sz w:val="20"/>
                <w:szCs w:val="20"/>
                <w:color w:val="auto"/>
              </w:rPr>
            </w:pPr>
            <w:r>
              <w:rPr>
                <w:rFonts w:ascii="Arial" w:cs="Arial" w:eastAsia="Arial" w:hAnsi="Arial"/>
                <w:sz w:val="18"/>
                <w:szCs w:val="18"/>
                <w:color w:val="auto"/>
                <w:w w:val="90"/>
              </w:rPr>
              <w:t>(State or other jurisdiction of</w:t>
            </w:r>
          </w:p>
        </w:tc>
        <w:tc>
          <w:tcPr>
            <w:tcW w:w="2720" w:type="dxa"/>
            <w:vAlign w:val="bottom"/>
          </w:tcPr>
          <w:p>
            <w:pPr>
              <w:jc w:val="center"/>
              <w:ind w:left="992"/>
              <w:spacing w:after="0"/>
              <w:rPr>
                <w:sz w:val="20"/>
                <w:szCs w:val="20"/>
                <w:color w:val="auto"/>
              </w:rPr>
            </w:pPr>
            <w:r>
              <w:rPr>
                <w:rFonts w:ascii="Arial" w:cs="Arial" w:eastAsia="Arial" w:hAnsi="Arial"/>
                <w:sz w:val="18"/>
                <w:szCs w:val="18"/>
                <w:color w:val="auto"/>
                <w:w w:val="90"/>
              </w:rPr>
              <w:t>(I.R.S. Employer</w:t>
            </w:r>
          </w:p>
        </w:tc>
      </w:tr>
      <w:tr>
        <w:trPr>
          <w:trHeight w:val="222"/>
        </w:trPr>
        <w:tc>
          <w:tcPr>
            <w:tcW w:w="3200" w:type="dxa"/>
            <w:vAlign w:val="bottom"/>
          </w:tcPr>
          <w:p>
            <w:pPr>
              <w:jc w:val="center"/>
              <w:ind w:right="992"/>
              <w:spacing w:after="0"/>
              <w:rPr>
                <w:sz w:val="20"/>
                <w:szCs w:val="20"/>
                <w:color w:val="auto"/>
              </w:rPr>
            </w:pPr>
            <w:r>
              <w:rPr>
                <w:rFonts w:ascii="Arial" w:cs="Arial" w:eastAsia="Arial" w:hAnsi="Arial"/>
                <w:sz w:val="18"/>
                <w:szCs w:val="18"/>
                <w:color w:val="auto"/>
                <w:w w:val="90"/>
              </w:rPr>
              <w:t>incorporation or organization)</w:t>
            </w:r>
          </w:p>
        </w:tc>
        <w:tc>
          <w:tcPr>
            <w:tcW w:w="2720" w:type="dxa"/>
            <w:vAlign w:val="bottom"/>
          </w:tcPr>
          <w:p>
            <w:pPr>
              <w:jc w:val="center"/>
              <w:ind w:left="1012"/>
              <w:spacing w:after="0"/>
              <w:rPr>
                <w:sz w:val="20"/>
                <w:szCs w:val="20"/>
                <w:color w:val="auto"/>
              </w:rPr>
            </w:pPr>
            <w:r>
              <w:rPr>
                <w:rFonts w:ascii="Arial" w:cs="Arial" w:eastAsia="Arial" w:hAnsi="Arial"/>
                <w:sz w:val="18"/>
                <w:szCs w:val="18"/>
                <w:color w:val="auto"/>
                <w:w w:val="91"/>
              </w:rPr>
              <w:t>Identification Number)</w:t>
            </w:r>
          </w:p>
        </w:tc>
      </w:tr>
    </w:tbl>
    <w:p>
      <w:pPr>
        <w:spacing w:after="0" w:line="234" w:lineRule="exact"/>
        <w:rPr>
          <w:sz w:val="24"/>
          <w:szCs w:val="24"/>
          <w:color w:val="auto"/>
        </w:rPr>
      </w:pPr>
    </w:p>
    <w:p>
      <w:pPr>
        <w:ind w:left="3260" w:right="5399" w:firstLine="179"/>
        <w:spacing w:after="0" w:line="257" w:lineRule="auto"/>
        <w:tabs>
          <w:tab w:leader="none" w:pos="3750" w:val="left"/>
        </w:tabs>
        <w:numPr>
          <w:ilvl w:val="0"/>
          <w:numId w:val="3"/>
        </w:numPr>
        <w:rPr>
          <w:rFonts w:ascii="Arial" w:cs="Arial" w:eastAsia="Arial" w:hAnsi="Arial"/>
          <w:sz w:val="15"/>
          <w:szCs w:val="15"/>
          <w:b w:val="1"/>
          <w:bCs w:val="1"/>
          <w:color w:val="auto"/>
        </w:rPr>
      </w:pPr>
      <w:r>
        <w:rPr>
          <w:rFonts w:ascii="Arial" w:cs="Arial" w:eastAsia="Arial" w:hAnsi="Arial"/>
          <w:sz w:val="15"/>
          <w:szCs w:val="15"/>
          <w:b w:val="1"/>
          <w:bCs w:val="1"/>
          <w:color w:val="auto"/>
        </w:rPr>
        <w:t>32</w:t>
      </w:r>
      <w:r>
        <w:rPr>
          <w:rFonts w:ascii="Arial" w:cs="Arial" w:eastAsia="Arial" w:hAnsi="Arial"/>
          <w:sz w:val="24"/>
          <w:szCs w:val="24"/>
          <w:b w:val="1"/>
          <w:bCs w:val="1"/>
          <w:color w:val="auto"/>
          <w:vertAlign w:val="superscript"/>
        </w:rPr>
        <w:t>nd</w:t>
      </w:r>
      <w:r>
        <w:rPr>
          <w:rFonts w:ascii="Arial" w:cs="Arial" w:eastAsia="Arial" w:hAnsi="Arial"/>
          <w:sz w:val="15"/>
          <w:szCs w:val="15"/>
          <w:b w:val="1"/>
          <w:bCs w:val="1"/>
          <w:color w:val="auto"/>
        </w:rPr>
        <w:t xml:space="preserve"> Avenue Brookings, SD 57006</w:t>
      </w:r>
    </w:p>
    <w:p>
      <w:pPr>
        <w:spacing w:after="0" w:line="2"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(Address of principal executive offices, Zip Code)</w:t>
      </w:r>
    </w:p>
    <w:p>
      <w:pPr>
        <w:spacing w:after="0" w:line="213"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(605) 697-4000</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(Registrant’s telephone number, including area code)</w:t>
      </w:r>
    </w:p>
    <w:p>
      <w:pPr>
        <w:spacing w:after="0" w:line="219" w:lineRule="exact"/>
        <w:rPr>
          <w:sz w:val="24"/>
          <w:szCs w:val="24"/>
          <w:color w:val="auto"/>
        </w:rPr>
      </w:pPr>
    </w:p>
    <w:p>
      <w:pPr>
        <w:ind w:right="2159"/>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91"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The number of shares of the registrant’s common stock outstanding as of February 19, 2003 was 18,459,815.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50430" cy="469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2139"/>
        <w:spacing w:after="0"/>
        <w:rPr>
          <w:sz w:val="20"/>
          <w:szCs w:val="20"/>
          <w:color w:val="auto"/>
        </w:rPr>
      </w:pPr>
      <w:r>
        <w:rPr>
          <w:rFonts w:ascii="Arial" w:cs="Arial" w:eastAsia="Arial" w:hAnsi="Arial"/>
          <w:sz w:val="18"/>
          <w:szCs w:val="18"/>
          <w:b w:val="1"/>
          <w:bCs w:val="1"/>
          <w:color w:val="auto"/>
        </w:rPr>
        <w:t>DAKTRONICS, INC. AND SUBSIDIARIES</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FORM 10-Q</w:t>
      </w:r>
    </w:p>
    <w:p>
      <w:pPr>
        <w:spacing w:after="0" w:line="9"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For the Quarterly Period Ended February 1, 2003</w:t>
      </w:r>
    </w:p>
    <w:p>
      <w:pPr>
        <w:spacing w:after="0" w:line="280"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TABLE OF CONTENTS</w:t>
      </w:r>
    </w:p>
    <w:p>
      <w:pPr>
        <w:spacing w:after="0" w:line="306"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7000" w:type="dxa"/>
            <w:vAlign w:val="bottom"/>
            <w:vMerge w:val="restart"/>
          </w:tcPr>
          <w:p>
            <w:pPr>
              <w:spacing w:after="0"/>
              <w:rPr>
                <w:sz w:val="20"/>
                <w:szCs w:val="20"/>
                <w:color w:val="auto"/>
              </w:rPr>
            </w:pPr>
            <w:r>
              <w:rPr>
                <w:rFonts w:ascii="Arial" w:cs="Arial" w:eastAsia="Arial" w:hAnsi="Arial"/>
                <w:sz w:val="18"/>
                <w:szCs w:val="18"/>
                <w:b w:val="1"/>
                <w:bCs w:val="1"/>
                <w:color w:val="auto"/>
              </w:rPr>
              <w:t>PART I. FINANCIAL INFORMATION</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7000" w:type="dxa"/>
            <w:vAlign w:val="bottom"/>
            <w:vMerge w:val="continue"/>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Pr>
          <w:p>
            <w:pPr>
              <w:ind w:left="100"/>
              <w:spacing w:after="0"/>
              <w:rPr>
                <w:sz w:val="20"/>
                <w:szCs w:val="20"/>
                <w:color w:val="auto"/>
              </w:rPr>
            </w:pPr>
            <w:r>
              <w:rPr>
                <w:rFonts w:ascii="Arial" w:cs="Arial" w:eastAsia="Arial" w:hAnsi="Arial"/>
                <w:sz w:val="18"/>
                <w:szCs w:val="18"/>
                <w:color w:val="auto"/>
              </w:rPr>
              <w:t>Item 1. Financial Statements</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Pr>
          <w:p>
            <w:pPr>
              <w:ind w:left="280"/>
              <w:spacing w:after="0"/>
              <w:rPr>
                <w:sz w:val="20"/>
                <w:szCs w:val="20"/>
                <w:color w:val="auto"/>
              </w:rPr>
            </w:pPr>
            <w:r>
              <w:rPr>
                <w:rFonts w:ascii="Arial" w:cs="Arial" w:eastAsia="Arial" w:hAnsi="Arial"/>
                <w:sz w:val="18"/>
                <w:szCs w:val="18"/>
                <w:color w:val="auto"/>
              </w:rPr>
              <w:t>CONSOLIDATED BALANCE SHEETS as of February 1, 2003 and April 27, 2002</w:t>
            </w: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7000" w:type="dxa"/>
            <w:vAlign w:val="bottom"/>
          </w:tcPr>
          <w:p>
            <w:pPr>
              <w:ind w:left="280"/>
              <w:spacing w:after="0"/>
              <w:rPr>
                <w:sz w:val="20"/>
                <w:szCs w:val="20"/>
                <w:color w:val="auto"/>
              </w:rPr>
            </w:pPr>
            <w:r>
              <w:rPr>
                <w:rFonts w:ascii="Arial" w:cs="Arial" w:eastAsia="Arial" w:hAnsi="Arial"/>
                <w:sz w:val="18"/>
                <w:szCs w:val="18"/>
                <w:color w:val="auto"/>
              </w:rPr>
              <w:t>CONSOLIDATED STATEMENTS OF OPERATIONS for the three and nine months</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00" w:type="dxa"/>
            <w:vAlign w:val="bottom"/>
          </w:tcPr>
          <w:p>
            <w:pPr>
              <w:ind w:left="400"/>
              <w:spacing w:after="0"/>
              <w:rPr>
                <w:sz w:val="20"/>
                <w:szCs w:val="20"/>
                <w:color w:val="auto"/>
              </w:rPr>
            </w:pPr>
            <w:r>
              <w:rPr>
                <w:rFonts w:ascii="Arial" w:cs="Arial" w:eastAsia="Arial" w:hAnsi="Arial"/>
                <w:sz w:val="18"/>
                <w:szCs w:val="18"/>
                <w:color w:val="auto"/>
              </w:rPr>
              <w:t>ended February 1, 2003 and January 26, 2002</w:t>
            </w:r>
          </w:p>
        </w:tc>
        <w:tc>
          <w:tcPr>
            <w:tcW w:w="11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bl>
    <w:p>
      <w:pPr>
        <w:sectPr>
          <w:pgSz w:w="11900" w:h="16838" w:orient="portrait"/>
          <w:cols w:equalWidth="0" w:num="1">
            <w:col w:w="10219"/>
          </w:cols>
          <w:pgMar w:left="240" w:top="1043" w:right="1440" w:bottom="0" w:gutter="0" w:footer="0" w:header="0"/>
        </w:sectPr>
      </w:pPr>
    </w:p>
    <w:bookmarkStart w:id="1" w:name="page2"/>
    <w:bookmarkEnd w:id="1"/>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60" w:type="dxa"/>
            <w:vAlign w:val="bottom"/>
            <w:gridSpan w:val="2"/>
          </w:tcPr>
          <w:p>
            <w:pPr>
              <w:ind w:left="280"/>
              <w:spacing w:after="0"/>
              <w:rPr>
                <w:sz w:val="20"/>
                <w:szCs w:val="20"/>
                <w:color w:val="auto"/>
              </w:rPr>
            </w:pPr>
            <w:r>
              <w:rPr>
                <w:rFonts w:ascii="Arial" w:cs="Arial" w:eastAsia="Arial" w:hAnsi="Arial"/>
                <w:sz w:val="18"/>
                <w:szCs w:val="18"/>
                <w:color w:val="auto"/>
              </w:rPr>
              <w:t>CONSOLIDATED STATEMENTS OF CASH FLOWS for the nine months ended</w:t>
            </w:r>
          </w:p>
        </w:tc>
        <w:tc>
          <w:tcPr>
            <w:tcW w:w="4160" w:type="dxa"/>
            <w:vAlign w:val="bottom"/>
          </w:tcPr>
          <w:p>
            <w:pPr>
              <w:spacing w:after="0"/>
              <w:rPr>
                <w:sz w:val="18"/>
                <w:szCs w:val="18"/>
                <w:color w:val="auto"/>
              </w:rPr>
            </w:pPr>
          </w:p>
        </w:tc>
      </w:tr>
      <w:tr>
        <w:trPr>
          <w:trHeight w:val="216"/>
        </w:trPr>
        <w:tc>
          <w:tcPr>
            <w:tcW w:w="7260" w:type="dxa"/>
            <w:vAlign w:val="bottom"/>
            <w:gridSpan w:val="2"/>
          </w:tcPr>
          <w:p>
            <w:pPr>
              <w:ind w:left="400"/>
              <w:spacing w:after="0"/>
              <w:rPr>
                <w:sz w:val="20"/>
                <w:szCs w:val="20"/>
                <w:color w:val="auto"/>
              </w:rPr>
            </w:pPr>
            <w:r>
              <w:rPr>
                <w:rFonts w:ascii="Arial" w:cs="Arial" w:eastAsia="Arial" w:hAnsi="Arial"/>
                <w:sz w:val="18"/>
                <w:szCs w:val="18"/>
                <w:color w:val="auto"/>
              </w:rPr>
              <w:t>February 1, 2003 and January 26, 2002</w:t>
            </w:r>
          </w:p>
        </w:tc>
        <w:tc>
          <w:tcPr>
            <w:tcW w:w="4160" w:type="dxa"/>
            <w:vAlign w:val="bottom"/>
          </w:tcPr>
          <w:p>
            <w:pPr>
              <w:jc w:val="right"/>
              <w:ind w:right="3272"/>
              <w:spacing w:after="0"/>
              <w:rPr>
                <w:sz w:val="20"/>
                <w:szCs w:val="20"/>
                <w:color w:val="auto"/>
              </w:rPr>
            </w:pPr>
            <w:r>
              <w:rPr>
                <w:rFonts w:ascii="Arial" w:cs="Arial" w:eastAsia="Arial" w:hAnsi="Arial"/>
                <w:sz w:val="18"/>
                <w:szCs w:val="18"/>
                <w:color w:val="auto"/>
              </w:rPr>
              <w:t>7</w:t>
            </w:r>
          </w:p>
        </w:tc>
      </w:tr>
      <w:tr>
        <w:trPr>
          <w:trHeight w:val="216"/>
        </w:trPr>
        <w:tc>
          <w:tcPr>
            <w:tcW w:w="7260" w:type="dxa"/>
            <w:vAlign w:val="bottom"/>
            <w:gridSpan w:val="2"/>
          </w:tcPr>
          <w:p>
            <w:pPr>
              <w:ind w:left="280"/>
              <w:spacing w:after="0"/>
              <w:rPr>
                <w:sz w:val="20"/>
                <w:szCs w:val="20"/>
                <w:color w:val="auto"/>
              </w:rPr>
            </w:pPr>
            <w:r>
              <w:rPr>
                <w:rFonts w:ascii="Arial" w:cs="Arial" w:eastAsia="Arial" w:hAnsi="Arial"/>
                <w:sz w:val="18"/>
                <w:szCs w:val="18"/>
                <w:color w:val="auto"/>
              </w:rPr>
              <w:t>Notes to the Consolidated Financial Statements</w:t>
            </w:r>
          </w:p>
        </w:tc>
        <w:tc>
          <w:tcPr>
            <w:tcW w:w="4160" w:type="dxa"/>
            <w:vAlign w:val="bottom"/>
          </w:tcPr>
          <w:p>
            <w:pPr>
              <w:jc w:val="right"/>
              <w:ind w:right="3272"/>
              <w:spacing w:after="0"/>
              <w:rPr>
                <w:sz w:val="20"/>
                <w:szCs w:val="20"/>
                <w:color w:val="auto"/>
              </w:rPr>
            </w:pPr>
            <w:r>
              <w:rPr>
                <w:rFonts w:ascii="Arial" w:cs="Arial" w:eastAsia="Arial" w:hAnsi="Arial"/>
                <w:sz w:val="18"/>
                <w:szCs w:val="18"/>
                <w:color w:val="auto"/>
              </w:rPr>
              <w:t>8</w:t>
            </w: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w w:val="90"/>
              </w:rPr>
              <w:t>Item 2.</w:t>
            </w:r>
          </w:p>
        </w:tc>
        <w:tc>
          <w:tcPr>
            <w:tcW w:w="6560" w:type="dxa"/>
            <w:vAlign w:val="bottom"/>
          </w:tcPr>
          <w:p>
            <w:pPr>
              <w:ind w:left="20"/>
              <w:spacing w:after="0"/>
              <w:rPr>
                <w:sz w:val="20"/>
                <w:szCs w:val="20"/>
                <w:color w:val="auto"/>
              </w:rPr>
            </w:pPr>
            <w:r>
              <w:rPr>
                <w:rFonts w:ascii="Arial" w:cs="Arial" w:eastAsia="Arial" w:hAnsi="Arial"/>
                <w:sz w:val="18"/>
                <w:szCs w:val="18"/>
                <w:color w:val="auto"/>
              </w:rPr>
              <w:t>Management's Discussion and Analysis of Financial Condition and Results of</w:t>
            </w:r>
          </w:p>
        </w:tc>
        <w:tc>
          <w:tcPr>
            <w:tcW w:w="4160" w:type="dxa"/>
            <w:vAlign w:val="bottom"/>
          </w:tcPr>
          <w:p>
            <w:pPr>
              <w:jc w:val="right"/>
              <w:ind w:right="3272"/>
              <w:spacing w:after="0"/>
              <w:rPr>
                <w:sz w:val="20"/>
                <w:szCs w:val="20"/>
                <w:color w:val="auto"/>
              </w:rPr>
            </w:pPr>
            <w:r>
              <w:rPr>
                <w:rFonts w:ascii="Arial" w:cs="Arial" w:eastAsia="Arial" w:hAnsi="Arial"/>
                <w:sz w:val="18"/>
                <w:szCs w:val="18"/>
                <w:color w:val="auto"/>
              </w:rPr>
              <w:t>12</w:t>
            </w:r>
          </w:p>
        </w:tc>
      </w:tr>
      <w:tr>
        <w:trPr>
          <w:trHeight w:val="216"/>
        </w:trPr>
        <w:tc>
          <w:tcPr>
            <w:tcW w:w="7260" w:type="dxa"/>
            <w:vAlign w:val="bottom"/>
            <w:gridSpan w:val="2"/>
          </w:tcPr>
          <w:p>
            <w:pPr>
              <w:ind w:left="400"/>
              <w:spacing w:after="0"/>
              <w:rPr>
                <w:sz w:val="20"/>
                <w:szCs w:val="20"/>
                <w:color w:val="auto"/>
              </w:rPr>
            </w:pPr>
            <w:r>
              <w:rPr>
                <w:rFonts w:ascii="Arial" w:cs="Arial" w:eastAsia="Arial" w:hAnsi="Arial"/>
                <w:sz w:val="18"/>
                <w:szCs w:val="18"/>
                <w:color w:val="auto"/>
              </w:rPr>
              <w:t>Operations</w:t>
            </w:r>
          </w:p>
        </w:tc>
        <w:tc>
          <w:tcPr>
            <w:tcW w:w="4160" w:type="dxa"/>
            <w:vAlign w:val="bottom"/>
          </w:tcPr>
          <w:p>
            <w:pPr>
              <w:spacing w:after="0"/>
              <w:rPr>
                <w:sz w:val="18"/>
                <w:szCs w:val="18"/>
                <w:color w:val="auto"/>
              </w:rPr>
            </w:pPr>
          </w:p>
        </w:tc>
      </w:tr>
      <w:tr>
        <w:trPr>
          <w:trHeight w:val="222"/>
        </w:trPr>
        <w:tc>
          <w:tcPr>
            <w:tcW w:w="700" w:type="dxa"/>
            <w:vAlign w:val="bottom"/>
          </w:tcPr>
          <w:p>
            <w:pPr>
              <w:ind w:left="180"/>
              <w:spacing w:after="0"/>
              <w:rPr>
                <w:sz w:val="20"/>
                <w:szCs w:val="20"/>
                <w:color w:val="auto"/>
              </w:rPr>
            </w:pPr>
            <w:r>
              <w:rPr>
                <w:rFonts w:ascii="Arial" w:cs="Arial" w:eastAsia="Arial" w:hAnsi="Arial"/>
                <w:sz w:val="18"/>
                <w:szCs w:val="18"/>
                <w:color w:val="auto"/>
                <w:w w:val="90"/>
              </w:rPr>
              <w:t>Item 3.</w:t>
            </w:r>
          </w:p>
        </w:tc>
        <w:tc>
          <w:tcPr>
            <w:tcW w:w="6560" w:type="dxa"/>
            <w:vAlign w:val="bottom"/>
          </w:tcPr>
          <w:p>
            <w:pPr>
              <w:ind w:left="20"/>
              <w:spacing w:after="0"/>
              <w:rPr>
                <w:sz w:val="20"/>
                <w:szCs w:val="20"/>
                <w:color w:val="auto"/>
              </w:rPr>
            </w:pPr>
            <w:r>
              <w:rPr>
                <w:rFonts w:ascii="Arial" w:cs="Arial" w:eastAsia="Arial" w:hAnsi="Arial"/>
                <w:sz w:val="18"/>
                <w:szCs w:val="18"/>
                <w:color w:val="auto"/>
              </w:rPr>
              <w:t>Quantitative and Qualitative Disclosures about Market Risk</w:t>
            </w:r>
          </w:p>
        </w:tc>
        <w:tc>
          <w:tcPr>
            <w:tcW w:w="4160" w:type="dxa"/>
            <w:vAlign w:val="bottom"/>
          </w:tcPr>
          <w:p>
            <w:pPr>
              <w:jc w:val="right"/>
              <w:ind w:right="3272"/>
              <w:spacing w:after="0"/>
              <w:rPr>
                <w:sz w:val="20"/>
                <w:szCs w:val="20"/>
                <w:color w:val="auto"/>
              </w:rPr>
            </w:pPr>
            <w:r>
              <w:rPr>
                <w:rFonts w:ascii="Arial" w:cs="Arial" w:eastAsia="Arial" w:hAnsi="Arial"/>
                <w:sz w:val="18"/>
                <w:szCs w:val="18"/>
                <w:color w:val="auto"/>
              </w:rPr>
              <w:t>20</w:t>
            </w:r>
          </w:p>
        </w:tc>
      </w:tr>
      <w:tr>
        <w:trPr>
          <w:trHeight w:val="426"/>
        </w:trPr>
        <w:tc>
          <w:tcPr>
            <w:tcW w:w="7260" w:type="dxa"/>
            <w:vAlign w:val="bottom"/>
            <w:gridSpan w:val="2"/>
          </w:tcPr>
          <w:p>
            <w:pPr>
              <w:spacing w:after="0"/>
              <w:rPr>
                <w:sz w:val="20"/>
                <w:szCs w:val="20"/>
                <w:color w:val="auto"/>
              </w:rPr>
            </w:pPr>
            <w:r>
              <w:rPr>
                <w:rFonts w:ascii="Arial" w:cs="Arial" w:eastAsia="Arial" w:hAnsi="Arial"/>
                <w:sz w:val="18"/>
                <w:szCs w:val="18"/>
                <w:b w:val="1"/>
                <w:bCs w:val="1"/>
                <w:color w:val="auto"/>
              </w:rPr>
              <w:t>PART II. OTHER INFORMATION</w:t>
            </w:r>
          </w:p>
        </w:tc>
        <w:tc>
          <w:tcPr>
            <w:tcW w:w="4160" w:type="dxa"/>
            <w:vAlign w:val="bottom"/>
          </w:tcPr>
          <w:p>
            <w:pPr>
              <w:spacing w:after="0"/>
              <w:rPr>
                <w:sz w:val="24"/>
                <w:szCs w:val="24"/>
                <w:color w:val="auto"/>
              </w:rPr>
            </w:pPr>
          </w:p>
        </w:tc>
      </w:tr>
      <w:tr>
        <w:trPr>
          <w:trHeight w:val="216"/>
        </w:trPr>
        <w:tc>
          <w:tcPr>
            <w:tcW w:w="700" w:type="dxa"/>
            <w:vAlign w:val="bottom"/>
          </w:tcPr>
          <w:p>
            <w:pPr>
              <w:ind w:left="180"/>
              <w:spacing w:after="0"/>
              <w:rPr>
                <w:sz w:val="20"/>
                <w:szCs w:val="20"/>
                <w:color w:val="auto"/>
              </w:rPr>
            </w:pPr>
            <w:r>
              <w:rPr>
                <w:rFonts w:ascii="Arial" w:cs="Arial" w:eastAsia="Arial" w:hAnsi="Arial"/>
                <w:sz w:val="18"/>
                <w:szCs w:val="18"/>
                <w:color w:val="auto"/>
                <w:w w:val="90"/>
              </w:rPr>
              <w:t>Item 4.</w:t>
            </w:r>
          </w:p>
        </w:tc>
        <w:tc>
          <w:tcPr>
            <w:tcW w:w="6560" w:type="dxa"/>
            <w:vAlign w:val="bottom"/>
          </w:tcPr>
          <w:p>
            <w:pPr>
              <w:ind w:left="20"/>
              <w:spacing w:after="0"/>
              <w:rPr>
                <w:sz w:val="20"/>
                <w:szCs w:val="20"/>
                <w:color w:val="auto"/>
              </w:rPr>
            </w:pPr>
            <w:r>
              <w:rPr>
                <w:rFonts w:ascii="Arial" w:cs="Arial" w:eastAsia="Arial" w:hAnsi="Arial"/>
                <w:sz w:val="18"/>
                <w:szCs w:val="18"/>
                <w:color w:val="auto"/>
              </w:rPr>
              <w:t>Controls and Procedures</w:t>
            </w:r>
          </w:p>
        </w:tc>
        <w:tc>
          <w:tcPr>
            <w:tcW w:w="4160" w:type="dxa"/>
            <w:vAlign w:val="bottom"/>
          </w:tcPr>
          <w:p>
            <w:pPr>
              <w:jc w:val="right"/>
              <w:ind w:right="3272"/>
              <w:spacing w:after="0"/>
              <w:rPr>
                <w:sz w:val="20"/>
                <w:szCs w:val="20"/>
                <w:color w:val="auto"/>
              </w:rPr>
            </w:pPr>
            <w:r>
              <w:rPr>
                <w:rFonts w:ascii="Arial" w:cs="Arial" w:eastAsia="Arial" w:hAnsi="Arial"/>
                <w:sz w:val="18"/>
                <w:szCs w:val="18"/>
                <w:color w:val="auto"/>
              </w:rPr>
              <w:t>21</w:t>
            </w:r>
          </w:p>
        </w:tc>
      </w:tr>
      <w:tr>
        <w:trPr>
          <w:trHeight w:val="222"/>
        </w:trPr>
        <w:tc>
          <w:tcPr>
            <w:tcW w:w="700" w:type="dxa"/>
            <w:vAlign w:val="bottom"/>
          </w:tcPr>
          <w:p>
            <w:pPr>
              <w:ind w:left="180"/>
              <w:spacing w:after="0"/>
              <w:rPr>
                <w:sz w:val="20"/>
                <w:szCs w:val="20"/>
                <w:color w:val="auto"/>
              </w:rPr>
            </w:pPr>
            <w:r>
              <w:rPr>
                <w:rFonts w:ascii="Arial" w:cs="Arial" w:eastAsia="Arial" w:hAnsi="Arial"/>
                <w:sz w:val="18"/>
                <w:szCs w:val="18"/>
                <w:color w:val="auto"/>
                <w:w w:val="90"/>
              </w:rPr>
              <w:t>Item 6.</w:t>
            </w:r>
          </w:p>
        </w:tc>
        <w:tc>
          <w:tcPr>
            <w:tcW w:w="6560" w:type="dxa"/>
            <w:vAlign w:val="bottom"/>
          </w:tcPr>
          <w:p>
            <w:pPr>
              <w:ind w:left="20"/>
              <w:spacing w:after="0"/>
              <w:rPr>
                <w:sz w:val="20"/>
                <w:szCs w:val="20"/>
                <w:color w:val="auto"/>
              </w:rPr>
            </w:pPr>
            <w:r>
              <w:rPr>
                <w:rFonts w:ascii="Arial" w:cs="Arial" w:eastAsia="Arial" w:hAnsi="Arial"/>
                <w:sz w:val="18"/>
                <w:szCs w:val="18"/>
                <w:color w:val="auto"/>
              </w:rPr>
              <w:t>Exhibits and Reports on Form 8-K</w:t>
            </w:r>
          </w:p>
        </w:tc>
        <w:tc>
          <w:tcPr>
            <w:tcW w:w="4160" w:type="dxa"/>
            <w:vAlign w:val="bottom"/>
          </w:tcPr>
          <w:p>
            <w:pPr>
              <w:jc w:val="right"/>
              <w:ind w:right="3272"/>
              <w:spacing w:after="0"/>
              <w:rPr>
                <w:sz w:val="20"/>
                <w:szCs w:val="20"/>
                <w:color w:val="auto"/>
              </w:rPr>
            </w:pPr>
            <w:r>
              <w:rPr>
                <w:rFonts w:ascii="Arial" w:cs="Arial" w:eastAsia="Arial" w:hAnsi="Arial"/>
                <w:sz w:val="18"/>
                <w:szCs w:val="18"/>
                <w:color w:val="auto"/>
              </w:rPr>
              <w:t>22</w:t>
            </w:r>
          </w:p>
        </w:tc>
      </w:tr>
      <w:tr>
        <w:trPr>
          <w:trHeight w:val="426"/>
        </w:trPr>
        <w:tc>
          <w:tcPr>
            <w:tcW w:w="7260" w:type="dxa"/>
            <w:vAlign w:val="bottom"/>
            <w:gridSpan w:val="2"/>
          </w:tcPr>
          <w:p>
            <w:pPr>
              <w:spacing w:after="0"/>
              <w:rPr>
                <w:sz w:val="20"/>
                <w:szCs w:val="20"/>
                <w:color w:val="auto"/>
              </w:rPr>
            </w:pPr>
            <w:r>
              <w:rPr>
                <w:rFonts w:ascii="Arial" w:cs="Arial" w:eastAsia="Arial" w:hAnsi="Arial"/>
                <w:sz w:val="18"/>
                <w:szCs w:val="18"/>
                <w:b w:val="1"/>
                <w:bCs w:val="1"/>
                <w:color w:val="auto"/>
              </w:rPr>
              <w:t>SIGNATURES</w:t>
            </w:r>
          </w:p>
        </w:tc>
        <w:tc>
          <w:tcPr>
            <w:tcW w:w="4160" w:type="dxa"/>
            <w:vAlign w:val="bottom"/>
          </w:tcPr>
          <w:p>
            <w:pPr>
              <w:jc w:val="right"/>
              <w:ind w:right="3272"/>
              <w:spacing w:after="0"/>
              <w:rPr>
                <w:sz w:val="20"/>
                <w:szCs w:val="20"/>
                <w:color w:val="auto"/>
              </w:rPr>
            </w:pPr>
            <w:r>
              <w:rPr>
                <w:rFonts w:ascii="Arial" w:cs="Arial" w:eastAsia="Arial" w:hAnsi="Arial"/>
                <w:sz w:val="18"/>
                <w:szCs w:val="18"/>
                <w:color w:val="auto"/>
              </w:rPr>
              <w:t>23</w:t>
            </w:r>
          </w:p>
        </w:tc>
      </w:tr>
      <w:tr>
        <w:trPr>
          <w:trHeight w:val="216"/>
        </w:trPr>
        <w:tc>
          <w:tcPr>
            <w:tcW w:w="7260" w:type="dxa"/>
            <w:vAlign w:val="bottom"/>
            <w:gridSpan w:val="2"/>
          </w:tcPr>
          <w:p>
            <w:pPr>
              <w:ind w:left="180"/>
              <w:spacing w:after="0"/>
              <w:rPr>
                <w:sz w:val="20"/>
                <w:szCs w:val="20"/>
                <w:color w:val="auto"/>
              </w:rPr>
            </w:pPr>
            <w:r>
              <w:rPr>
                <w:rFonts w:ascii="Arial" w:cs="Arial" w:eastAsia="Arial" w:hAnsi="Arial"/>
                <w:sz w:val="18"/>
                <w:szCs w:val="18"/>
                <w:color w:val="auto"/>
                <w:w w:val="97"/>
              </w:rPr>
              <w:t>Ex. – 99.1 Certificate of the Chief Executive Officer pursuant to 18 U.S.C. Section 1350, as</w:t>
            </w:r>
          </w:p>
        </w:tc>
        <w:tc>
          <w:tcPr>
            <w:tcW w:w="4160" w:type="dxa"/>
            <w:vAlign w:val="bottom"/>
          </w:tcPr>
          <w:p>
            <w:pPr>
              <w:jc w:val="right"/>
              <w:ind w:right="3272"/>
              <w:spacing w:after="0"/>
              <w:rPr>
                <w:sz w:val="20"/>
                <w:szCs w:val="20"/>
                <w:color w:val="auto"/>
              </w:rPr>
            </w:pPr>
            <w:r>
              <w:rPr>
                <w:rFonts w:ascii="Arial" w:cs="Arial" w:eastAsia="Arial" w:hAnsi="Arial"/>
                <w:sz w:val="18"/>
                <w:szCs w:val="18"/>
                <w:color w:val="auto"/>
              </w:rPr>
              <w:t>26</w:t>
            </w:r>
          </w:p>
        </w:tc>
      </w:tr>
      <w:tr>
        <w:trPr>
          <w:trHeight w:val="216"/>
        </w:trPr>
        <w:tc>
          <w:tcPr>
            <w:tcW w:w="7260" w:type="dxa"/>
            <w:vAlign w:val="bottom"/>
            <w:gridSpan w:val="2"/>
          </w:tcPr>
          <w:p>
            <w:pPr>
              <w:ind w:left="540"/>
              <w:spacing w:after="0"/>
              <w:rPr>
                <w:sz w:val="20"/>
                <w:szCs w:val="20"/>
                <w:color w:val="auto"/>
              </w:rPr>
            </w:pPr>
            <w:r>
              <w:rPr>
                <w:rFonts w:ascii="Arial" w:cs="Arial" w:eastAsia="Arial" w:hAnsi="Arial"/>
                <w:sz w:val="18"/>
                <w:szCs w:val="18"/>
                <w:color w:val="auto"/>
              </w:rPr>
              <w:t>adopted pursuant to Section 906 of the Sarbanes-Oxley Act of 2002</w:t>
            </w:r>
          </w:p>
        </w:tc>
        <w:tc>
          <w:tcPr>
            <w:tcW w:w="4160" w:type="dxa"/>
            <w:vAlign w:val="bottom"/>
          </w:tcPr>
          <w:p>
            <w:pPr>
              <w:spacing w:after="0"/>
              <w:rPr>
                <w:sz w:val="18"/>
                <w:szCs w:val="18"/>
                <w:color w:val="auto"/>
              </w:rPr>
            </w:pPr>
          </w:p>
        </w:tc>
      </w:tr>
      <w:tr>
        <w:trPr>
          <w:trHeight w:val="216"/>
        </w:trPr>
        <w:tc>
          <w:tcPr>
            <w:tcW w:w="7260" w:type="dxa"/>
            <w:vAlign w:val="bottom"/>
            <w:gridSpan w:val="2"/>
          </w:tcPr>
          <w:p>
            <w:pPr>
              <w:ind w:left="180"/>
              <w:spacing w:after="0"/>
              <w:rPr>
                <w:sz w:val="20"/>
                <w:szCs w:val="20"/>
                <w:color w:val="auto"/>
              </w:rPr>
            </w:pPr>
            <w:r>
              <w:rPr>
                <w:rFonts w:ascii="Arial" w:cs="Arial" w:eastAsia="Arial" w:hAnsi="Arial"/>
                <w:sz w:val="18"/>
                <w:szCs w:val="18"/>
                <w:color w:val="auto"/>
                <w:w w:val="99"/>
              </w:rPr>
              <w:t>Ex. – 99.2 Certificate of the Chief Financial Officer pursuant to 18 U.S.C Section 1350, as</w:t>
            </w:r>
          </w:p>
        </w:tc>
        <w:tc>
          <w:tcPr>
            <w:tcW w:w="4160" w:type="dxa"/>
            <w:vAlign w:val="bottom"/>
          </w:tcPr>
          <w:p>
            <w:pPr>
              <w:jc w:val="right"/>
              <w:ind w:right="3272"/>
              <w:spacing w:after="0"/>
              <w:rPr>
                <w:sz w:val="20"/>
                <w:szCs w:val="20"/>
                <w:color w:val="auto"/>
              </w:rPr>
            </w:pPr>
            <w:r>
              <w:rPr>
                <w:rFonts w:ascii="Arial" w:cs="Arial" w:eastAsia="Arial" w:hAnsi="Arial"/>
                <w:sz w:val="18"/>
                <w:szCs w:val="18"/>
                <w:color w:val="auto"/>
              </w:rPr>
              <w:t>27</w:t>
            </w:r>
          </w:p>
        </w:tc>
      </w:tr>
      <w:tr>
        <w:trPr>
          <w:trHeight w:val="222"/>
        </w:trPr>
        <w:tc>
          <w:tcPr>
            <w:tcW w:w="7260" w:type="dxa"/>
            <w:vAlign w:val="bottom"/>
            <w:gridSpan w:val="2"/>
          </w:tcPr>
          <w:p>
            <w:pPr>
              <w:ind w:left="540"/>
              <w:spacing w:after="0"/>
              <w:rPr>
                <w:sz w:val="20"/>
                <w:szCs w:val="20"/>
                <w:color w:val="auto"/>
              </w:rPr>
            </w:pPr>
            <w:r>
              <w:rPr>
                <w:rFonts w:ascii="Arial" w:cs="Arial" w:eastAsia="Arial" w:hAnsi="Arial"/>
                <w:sz w:val="18"/>
                <w:szCs w:val="18"/>
                <w:color w:val="auto"/>
              </w:rPr>
              <w:t>adopted pursuant to Section 906 of the Sarbanes-Oxley Act of 2002</w:t>
            </w:r>
          </w:p>
        </w:tc>
        <w:tc>
          <w:tcPr>
            <w:tcW w:w="4160" w:type="dxa"/>
            <w:vAlign w:val="bottom"/>
          </w:tcPr>
          <w:p>
            <w:pPr>
              <w:spacing w:after="0"/>
              <w:rPr>
                <w:sz w:val="19"/>
                <w:szCs w:val="19"/>
                <w:color w:val="auto"/>
              </w:rPr>
            </w:pPr>
          </w:p>
        </w:tc>
      </w:tr>
      <w:tr>
        <w:trPr>
          <w:trHeight w:val="459"/>
        </w:trPr>
        <w:tc>
          <w:tcPr>
            <w:tcW w:w="700" w:type="dxa"/>
            <w:vAlign w:val="bottom"/>
          </w:tcPr>
          <w:p>
            <w:pPr>
              <w:spacing w:after="0"/>
              <w:rPr>
                <w:sz w:val="24"/>
                <w:szCs w:val="24"/>
                <w:color w:val="auto"/>
              </w:rPr>
            </w:pPr>
          </w:p>
        </w:tc>
        <w:tc>
          <w:tcPr>
            <w:tcW w:w="6560" w:type="dxa"/>
            <w:vAlign w:val="bottom"/>
          </w:tcPr>
          <w:p>
            <w:pPr>
              <w:ind w:left="3320"/>
              <w:spacing w:after="0"/>
              <w:rPr>
                <w:sz w:val="20"/>
                <w:szCs w:val="20"/>
                <w:color w:val="auto"/>
              </w:rPr>
            </w:pPr>
            <w:r>
              <w:rPr>
                <w:rFonts w:ascii="Arial" w:cs="Arial" w:eastAsia="Arial" w:hAnsi="Arial"/>
                <w:sz w:val="18"/>
                <w:szCs w:val="18"/>
                <w:color w:val="auto"/>
              </w:rPr>
              <w:t>2</w:t>
            </w:r>
          </w:p>
        </w:tc>
        <w:tc>
          <w:tcPr>
            <w:tcW w:w="4160" w:type="dxa"/>
            <w:vAlign w:val="bottom"/>
          </w:tcPr>
          <w:p>
            <w:pPr>
              <w:spacing w:after="0"/>
              <w:rPr>
                <w:sz w:val="24"/>
                <w:szCs w:val="24"/>
                <w:color w:val="auto"/>
              </w:rPr>
            </w:pPr>
          </w:p>
        </w:tc>
      </w:tr>
      <w:tr>
        <w:trPr>
          <w:trHeight w:val="107"/>
        </w:trPr>
        <w:tc>
          <w:tcPr>
            <w:tcW w:w="700" w:type="dxa"/>
            <w:vAlign w:val="bottom"/>
          </w:tcPr>
          <w:p>
            <w:pPr>
              <w:spacing w:after="0"/>
              <w:rPr>
                <w:sz w:val="9"/>
                <w:szCs w:val="9"/>
                <w:color w:val="auto"/>
              </w:rPr>
            </w:pPr>
          </w:p>
        </w:tc>
        <w:tc>
          <w:tcPr>
            <w:tcW w:w="6560" w:type="dxa"/>
            <w:vAlign w:val="bottom"/>
          </w:tcPr>
          <w:p>
            <w:pPr>
              <w:spacing w:after="0"/>
              <w:rPr>
                <w:sz w:val="9"/>
                <w:szCs w:val="9"/>
                <w:color w:val="auto"/>
              </w:rPr>
            </w:pPr>
          </w:p>
        </w:tc>
        <w:tc>
          <w:tcPr>
            <w:tcW w:w="4160" w:type="dxa"/>
            <w:vAlign w:val="bottom"/>
          </w:tcPr>
          <w:p>
            <w:pPr>
              <w:spacing w:after="0"/>
              <w:rPr>
                <w:sz w:val="9"/>
                <w:szCs w:val="9"/>
                <w:color w:val="auto"/>
              </w:rPr>
            </w:pPr>
          </w:p>
        </w:tc>
      </w:tr>
      <w:tr>
        <w:trPr>
          <w:trHeight w:val="74"/>
        </w:trPr>
        <w:tc>
          <w:tcPr>
            <w:tcW w:w="700" w:type="dxa"/>
            <w:vAlign w:val="bottom"/>
            <w:shd w:val="clear" w:color="auto" w:fill="808080"/>
          </w:tcPr>
          <w:p>
            <w:pPr>
              <w:spacing w:after="0"/>
              <w:rPr>
                <w:sz w:val="6"/>
                <w:szCs w:val="6"/>
                <w:color w:val="auto"/>
              </w:rPr>
            </w:pPr>
          </w:p>
        </w:tc>
        <w:tc>
          <w:tcPr>
            <w:tcW w:w="6560" w:type="dxa"/>
            <w:vAlign w:val="bottom"/>
            <w:shd w:val="clear" w:color="auto" w:fill="808080"/>
          </w:tcPr>
          <w:p>
            <w:pPr>
              <w:spacing w:after="0"/>
              <w:rPr>
                <w:sz w:val="6"/>
                <w:szCs w:val="6"/>
                <w:color w:val="auto"/>
              </w:rPr>
            </w:pPr>
          </w:p>
        </w:tc>
        <w:tc>
          <w:tcPr>
            <w:tcW w:w="4160" w:type="dxa"/>
            <w:vAlign w:val="bottom"/>
            <w:shd w:val="clear" w:color="auto" w:fill="808080"/>
          </w:tcPr>
          <w:p>
            <w:pPr>
              <w:spacing w:after="0"/>
              <w:rPr>
                <w:sz w:val="6"/>
                <w:szCs w:val="6"/>
                <w:color w:val="auto"/>
              </w:rPr>
            </w:pPr>
          </w:p>
        </w:tc>
      </w:tr>
    </w:tbl>
    <w:p>
      <w:pPr>
        <w:spacing w:after="0" w:line="334"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99" w:lineRule="exact"/>
        <w:rPr>
          <w:sz w:val="20"/>
          <w:szCs w:val="20"/>
          <w:color w:val="auto"/>
        </w:rPr>
      </w:pPr>
    </w:p>
    <w:p>
      <w:pPr>
        <w:ind w:right="3420" w:firstLine="348"/>
        <w:spacing w:after="0" w:line="285" w:lineRule="auto"/>
        <w:rPr>
          <w:sz w:val="20"/>
          <w:szCs w:val="20"/>
          <w:color w:val="auto"/>
        </w:rPr>
      </w:pPr>
      <w:r>
        <w:rPr>
          <w:rFonts w:ascii="Arial" w:cs="Arial" w:eastAsia="Arial" w:hAnsi="Arial"/>
          <w:sz w:val="16"/>
          <w:szCs w:val="16"/>
          <w:color w:val="auto"/>
        </w:rPr>
        <w:t>This Quarterly Report on Form 10-Q (including exhibits and information incorporated by reference herein) contains statements which constitute forward-looking statements within the meaning of Section 27A of the Securities Act of 1933, as amended, and the Securities Exchange Act of 1934, as amended. These statements appear in a number of places in this Report and include all statements that are not historical statements of fact regarding the intent, belief or current expectations of the Company, its directors or its officers with respect to, among other things: (i) the Company’s financing plans; (ii) trends affecting the Company’s financial condition or results of operations; (iii) the Company’s growth strategy and operating strategy; and (iv) the declaration and payment of dividends. The words “may,” “would,” “could,” “will,” “expect,” “estimate,” “anticipate,” “believe,” “intend,” “plans,” and similar expressions and variations thereof are intended to identify forward-looking statements. Investors are cautioned that any such forward looking statements are not guarantees of future performance and involve risks and uncertainties, many of which are beyond the Company’s ability to control, and that actual results may differ materially from those projected in the forward-looking statements as a result of various factors discussed herein and those factors discussed in detail in the Company’s filings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469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06" w:lineRule="exact"/>
        <w:rPr>
          <w:sz w:val="20"/>
          <w:szCs w:val="20"/>
          <w:color w:val="auto"/>
        </w:rPr>
      </w:pPr>
    </w:p>
    <w:p>
      <w:pPr>
        <w:jc w:val="center"/>
        <w:ind w:right="3340"/>
        <w:spacing w:after="0"/>
        <w:rPr>
          <w:sz w:val="20"/>
          <w:szCs w:val="20"/>
          <w:color w:val="auto"/>
        </w:rPr>
      </w:pPr>
      <w:r>
        <w:rPr>
          <w:rFonts w:ascii="Arial" w:cs="Arial" w:eastAsia="Arial" w:hAnsi="Arial"/>
          <w:sz w:val="18"/>
          <w:szCs w:val="18"/>
          <w:b w:val="1"/>
          <w:bCs w:val="1"/>
          <w:color w:val="auto"/>
        </w:rPr>
        <w:t>DAKTRONICS, INC. AND SUBSIDIARIES</w:t>
      </w:r>
    </w:p>
    <w:p>
      <w:pPr>
        <w:spacing w:after="0" w:line="21" w:lineRule="exact"/>
        <w:rPr>
          <w:sz w:val="20"/>
          <w:szCs w:val="20"/>
          <w:color w:val="auto"/>
        </w:rPr>
      </w:pPr>
    </w:p>
    <w:p>
      <w:pPr>
        <w:jc w:val="center"/>
        <w:ind w:right="330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3300"/>
        <w:spacing w:after="0"/>
        <w:rPr>
          <w:sz w:val="20"/>
          <w:szCs w:val="20"/>
          <w:color w:val="auto"/>
        </w:rPr>
      </w:pPr>
      <w:r>
        <w:rPr>
          <w:rFonts w:ascii="Arial" w:cs="Arial" w:eastAsia="Arial" w:hAnsi="Arial"/>
          <w:sz w:val="18"/>
          <w:szCs w:val="18"/>
          <w:color w:val="auto"/>
        </w:rPr>
        <w:t>(in thousands)</w:t>
      </w:r>
    </w:p>
    <w:tbl>
      <w:tblPr>
        <w:tblLayout w:type="fixed"/>
        <w:tblInd w:w="0" w:type="dxa"/>
        <w:tblCellMar>
          <w:top w:w="0" w:type="dxa"/>
          <w:left w:w="0" w:type="dxa"/>
          <w:bottom w:w="0" w:type="dxa"/>
          <w:right w:w="0" w:type="dxa"/>
        </w:tblCellMar>
      </w:tblPr>
      <w:tr>
        <w:trPr>
          <w:trHeight w:val="147"/>
        </w:trPr>
        <w:tc>
          <w:tcPr>
            <w:tcW w:w="6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0"/>
              </w:rPr>
              <w:t>February 1,</w:t>
            </w:r>
          </w:p>
        </w:tc>
        <w:tc>
          <w:tcPr>
            <w:tcW w:w="20" w:type="dxa"/>
            <w:vAlign w:val="bottom"/>
          </w:tcPr>
          <w:p>
            <w:pPr>
              <w:spacing w:after="0"/>
              <w:rPr>
                <w:sz w:val="12"/>
                <w:szCs w:val="12"/>
                <w:color w:val="auto"/>
              </w:rPr>
            </w:pPr>
          </w:p>
        </w:tc>
        <w:tc>
          <w:tcPr>
            <w:tcW w:w="820" w:type="dxa"/>
            <w:vAlign w:val="bottom"/>
            <w:gridSpan w:val="3"/>
          </w:tcPr>
          <w:p>
            <w:pPr>
              <w:jc w:val="center"/>
              <w:ind w:right="20"/>
              <w:spacing w:after="0" w:line="147" w:lineRule="exact"/>
              <w:rPr>
                <w:sz w:val="20"/>
                <w:szCs w:val="20"/>
                <w:color w:val="auto"/>
              </w:rPr>
            </w:pPr>
            <w:r>
              <w:rPr>
                <w:rFonts w:ascii="Arial" w:cs="Arial" w:eastAsia="Arial" w:hAnsi="Arial"/>
                <w:sz w:val="14"/>
                <w:szCs w:val="14"/>
                <w:b w:val="1"/>
                <w:bCs w:val="1"/>
                <w:color w:val="auto"/>
                <w:w w:val="94"/>
              </w:rPr>
              <w:t>April 27,</w:t>
            </w:r>
          </w:p>
        </w:tc>
        <w:tc>
          <w:tcPr>
            <w:tcW w:w="0" w:type="dxa"/>
            <w:vAlign w:val="bottom"/>
          </w:tcPr>
          <w:p>
            <w:pPr>
              <w:spacing w:after="0"/>
              <w:rPr>
                <w:sz w:val="1"/>
                <w:szCs w:val="1"/>
                <w:color w:val="auto"/>
              </w:rPr>
            </w:pPr>
          </w:p>
        </w:tc>
      </w:tr>
      <w:tr>
        <w:trPr>
          <w:trHeight w:val="149"/>
        </w:trPr>
        <w:tc>
          <w:tcPr>
            <w:tcW w:w="6380" w:type="dxa"/>
            <w:vAlign w:val="bottom"/>
          </w:tcPr>
          <w:p>
            <w:pPr>
              <w:spacing w:after="0"/>
              <w:rPr>
                <w:sz w:val="12"/>
                <w:szCs w:val="12"/>
                <w:color w:val="auto"/>
              </w:rPr>
            </w:pPr>
          </w:p>
        </w:tc>
        <w:tc>
          <w:tcPr>
            <w:tcW w:w="660" w:type="dxa"/>
            <w:vAlign w:val="bottom"/>
            <w:gridSpan w:val="2"/>
          </w:tcPr>
          <w:p>
            <w:pPr>
              <w:jc w:val="center"/>
              <w:ind w:left="174"/>
              <w:spacing w:after="0" w:line="149" w:lineRule="exact"/>
              <w:rPr>
                <w:sz w:val="20"/>
                <w:szCs w:val="20"/>
                <w:color w:val="auto"/>
              </w:rPr>
            </w:pPr>
            <w:r>
              <w:rPr>
                <w:rFonts w:ascii="Arial" w:cs="Arial" w:eastAsia="Arial" w:hAnsi="Arial"/>
                <w:sz w:val="14"/>
                <w:szCs w:val="14"/>
                <w:b w:val="1"/>
                <w:bCs w:val="1"/>
                <w:color w:val="auto"/>
                <w:w w:val="89"/>
              </w:rPr>
              <w:t>2003</w:t>
            </w:r>
          </w:p>
        </w:tc>
        <w:tc>
          <w:tcPr>
            <w:tcW w:w="240" w:type="dxa"/>
            <w:vAlign w:val="bottom"/>
          </w:tcPr>
          <w:p>
            <w:pPr>
              <w:spacing w:after="0"/>
              <w:rPr>
                <w:sz w:val="12"/>
                <w:szCs w:val="12"/>
                <w:color w:val="auto"/>
              </w:rPr>
            </w:pPr>
          </w:p>
        </w:tc>
        <w:tc>
          <w:tcPr>
            <w:tcW w:w="660" w:type="dxa"/>
            <w:vAlign w:val="bottom"/>
            <w:gridSpan w:val="2"/>
          </w:tcPr>
          <w:p>
            <w:pPr>
              <w:jc w:val="center"/>
              <w:ind w:left="94"/>
              <w:spacing w:after="0" w:line="149" w:lineRule="exact"/>
              <w:rPr>
                <w:sz w:val="20"/>
                <w:szCs w:val="20"/>
                <w:color w:val="auto"/>
              </w:rPr>
            </w:pPr>
            <w:r>
              <w:rPr>
                <w:rFonts w:ascii="Arial" w:cs="Arial" w:eastAsia="Arial" w:hAnsi="Arial"/>
                <w:sz w:val="14"/>
                <w:szCs w:val="14"/>
                <w:b w:val="1"/>
                <w:bCs w:val="1"/>
                <w:color w:val="auto"/>
                <w:w w:val="89"/>
              </w:rPr>
              <w:t>2002</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6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(unaudited)</w:t>
            </w:r>
          </w:p>
        </w:tc>
        <w:tc>
          <w:tcPr>
            <w:tcW w:w="20" w:type="dxa"/>
            <w:vAlign w:val="bottom"/>
          </w:tcPr>
          <w:p>
            <w:pPr>
              <w:spacing w:after="0"/>
              <w:rPr>
                <w:sz w:val="15"/>
                <w:szCs w:val="15"/>
                <w:color w:val="auto"/>
              </w:rPr>
            </w:pPr>
          </w:p>
        </w:tc>
        <w:tc>
          <w:tcPr>
            <w:tcW w:w="8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6"/>
              </w:rPr>
              <w:t>(note 1)</w:t>
            </w:r>
          </w:p>
        </w:tc>
        <w:tc>
          <w:tcPr>
            <w:tcW w:w="0" w:type="dxa"/>
            <w:vAlign w:val="bottom"/>
          </w:tcPr>
          <w:p>
            <w:pPr>
              <w:spacing w:after="0"/>
              <w:rPr>
                <w:sz w:val="1"/>
                <w:szCs w:val="1"/>
                <w:color w:val="auto"/>
              </w:rPr>
            </w:pPr>
          </w:p>
        </w:tc>
      </w:tr>
      <w:tr>
        <w:trPr>
          <w:trHeight w:val="95"/>
        </w:trPr>
        <w:tc>
          <w:tcPr>
            <w:tcW w:w="638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63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38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380" w:type="dxa"/>
            <w:vAlign w:val="bottom"/>
            <w:shd w:val="clear" w:color="auto" w:fill="C0C0C0"/>
          </w:tcPr>
          <w:p>
            <w:pPr>
              <w:ind w:left="100"/>
              <w:spacing w:after="0"/>
              <w:rPr>
                <w:sz w:val="20"/>
                <w:szCs w:val="20"/>
                <w:color w:val="auto"/>
              </w:rPr>
            </w:pPr>
            <w:r>
              <w:rPr>
                <w:rFonts w:ascii="Arial" w:cs="Arial" w:eastAsia="Arial" w:hAnsi="Arial"/>
                <w:sz w:val="18"/>
                <w:szCs w:val="18"/>
                <w:color w:val="auto"/>
              </w:rPr>
              <w:t>Cash and cash equivalents</w:t>
            </w:r>
          </w:p>
        </w:tc>
        <w:tc>
          <w:tcPr>
            <w:tcW w:w="6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w w:val="98"/>
              </w:rPr>
              <w:t>$  8,863</w:t>
            </w:r>
          </w:p>
        </w:tc>
        <w:tc>
          <w:tcPr>
            <w:tcW w:w="240" w:type="dxa"/>
            <w:vAlign w:val="bottom"/>
            <w:shd w:val="clear" w:color="auto" w:fill="C0C0C0"/>
          </w:tcPr>
          <w:p>
            <w:pPr>
              <w:spacing w:after="0"/>
              <w:rPr>
                <w:sz w:val="18"/>
                <w:szCs w:val="18"/>
                <w:color w:val="auto"/>
              </w:rPr>
            </w:pPr>
          </w:p>
        </w:tc>
        <w:tc>
          <w:tcPr>
            <w:tcW w:w="820" w:type="dxa"/>
            <w:vAlign w:val="bottom"/>
            <w:gridSpan w:val="3"/>
            <w:shd w:val="clear" w:color="auto" w:fill="C0C0C0"/>
          </w:tcPr>
          <w:p>
            <w:pPr>
              <w:jc w:val="right"/>
              <w:ind w:right="160"/>
              <w:spacing w:after="0"/>
              <w:rPr>
                <w:sz w:val="20"/>
                <w:szCs w:val="20"/>
                <w:color w:val="auto"/>
              </w:rPr>
            </w:pPr>
            <w:r>
              <w:rPr>
                <w:rFonts w:ascii="Arial" w:cs="Arial" w:eastAsia="Arial" w:hAnsi="Arial"/>
                <w:sz w:val="18"/>
                <w:szCs w:val="18"/>
                <w:color w:val="auto"/>
                <w:w w:val="98"/>
              </w:rPr>
              <w:t>$  2,097</w:t>
            </w:r>
          </w:p>
        </w:tc>
        <w:tc>
          <w:tcPr>
            <w:tcW w:w="20" w:type="dxa"/>
            <w:vAlign w:val="bottom"/>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380" w:type="dxa"/>
            <w:vAlign w:val="bottom"/>
          </w:tcPr>
          <w:p>
            <w:pPr>
              <w:ind w:left="80"/>
              <w:spacing w:after="0"/>
              <w:rPr>
                <w:sz w:val="20"/>
                <w:szCs w:val="20"/>
                <w:color w:val="auto"/>
              </w:rPr>
            </w:pPr>
            <w:r>
              <w:rPr>
                <w:rFonts w:ascii="Arial" w:cs="Arial" w:eastAsia="Arial" w:hAnsi="Arial"/>
                <w:sz w:val="18"/>
                <w:szCs w:val="18"/>
                <w:color w:val="auto"/>
              </w:rPr>
              <w:t>Accounts receivable, less allowance for doubtful accounts</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80" w:type="dxa"/>
            <w:vAlign w:val="bottom"/>
          </w:tcPr>
          <w:p>
            <w:pPr>
              <w:ind w:left="180"/>
              <w:spacing w:after="0"/>
              <w:rPr>
                <w:sz w:val="20"/>
                <w:szCs w:val="20"/>
                <w:color w:val="auto"/>
              </w:rPr>
            </w:pPr>
            <w:r>
              <w:rPr>
                <w:rFonts w:ascii="Arial" w:cs="Arial" w:eastAsia="Arial" w:hAnsi="Arial"/>
                <w:sz w:val="18"/>
                <w:szCs w:val="18"/>
                <w:color w:val="auto"/>
              </w:rPr>
              <w:t>of $660 at February 1, 2003 and $1,102 at April 27, 2002</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15,274</w:t>
            </w:r>
          </w:p>
        </w:tc>
        <w:tc>
          <w:tcPr>
            <w:tcW w:w="240" w:type="dxa"/>
            <w:vAlign w:val="bottom"/>
          </w:tcPr>
          <w:p>
            <w:pPr>
              <w:spacing w:after="0"/>
              <w:rPr>
                <w:sz w:val="19"/>
                <w:szCs w:val="19"/>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17,878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380" w:type="dxa"/>
            <w:vAlign w:val="bottom"/>
            <w:shd w:val="clear" w:color="auto" w:fill="C0C0C0"/>
          </w:tcPr>
          <w:p>
            <w:pPr>
              <w:ind w:left="100"/>
              <w:spacing w:after="0"/>
              <w:rPr>
                <w:sz w:val="20"/>
                <w:szCs w:val="20"/>
                <w:color w:val="auto"/>
              </w:rPr>
            </w:pPr>
            <w:r>
              <w:rPr>
                <w:rFonts w:ascii="Arial" w:cs="Arial" w:eastAsia="Arial" w:hAnsi="Arial"/>
                <w:sz w:val="18"/>
                <w:szCs w:val="18"/>
                <w:color w:val="auto"/>
              </w:rPr>
              <w:t>Current maturities of long-term receivables</w:t>
            </w:r>
          </w:p>
        </w:tc>
        <w:tc>
          <w:tcPr>
            <w:tcW w:w="6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2,140</w:t>
            </w:r>
          </w:p>
        </w:tc>
        <w:tc>
          <w:tcPr>
            <w:tcW w:w="240" w:type="dxa"/>
            <w:vAlign w:val="bottom"/>
            <w:shd w:val="clear" w:color="auto" w:fill="C0C0C0"/>
          </w:tcPr>
          <w:p>
            <w:pPr>
              <w:spacing w:after="0"/>
              <w:rPr>
                <w:sz w:val="18"/>
                <w:szCs w:val="18"/>
                <w:color w:val="auto"/>
              </w:rPr>
            </w:pPr>
          </w:p>
        </w:tc>
        <w:tc>
          <w:tcPr>
            <w:tcW w:w="820" w:type="dxa"/>
            <w:vAlign w:val="bottom"/>
            <w:gridSpan w:val="3"/>
            <w:shd w:val="clear" w:color="auto" w:fill="C0C0C0"/>
          </w:tcPr>
          <w:p>
            <w:pPr>
              <w:jc w:val="right"/>
              <w:ind w:right="160"/>
              <w:spacing w:after="0"/>
              <w:rPr>
                <w:sz w:val="20"/>
                <w:szCs w:val="20"/>
                <w:color w:val="auto"/>
              </w:rPr>
            </w:pPr>
            <w:r>
              <w:rPr>
                <w:rFonts w:ascii="Arial" w:cs="Arial" w:eastAsia="Arial" w:hAnsi="Arial"/>
                <w:sz w:val="18"/>
                <w:szCs w:val="18"/>
                <w:color w:val="auto"/>
              </w:rPr>
              <w:t>2,515</w:t>
            </w:r>
          </w:p>
        </w:tc>
        <w:tc>
          <w:tcPr>
            <w:tcW w:w="20" w:type="dxa"/>
            <w:vAlign w:val="bottom"/>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100"/>
              <w:spacing w:after="0"/>
              <w:rPr>
                <w:sz w:val="20"/>
                <w:szCs w:val="20"/>
                <w:color w:val="auto"/>
              </w:rPr>
            </w:pPr>
            <w:r>
              <w:rPr>
                <w:rFonts w:ascii="Arial" w:cs="Arial" w:eastAsia="Arial" w:hAnsi="Arial"/>
                <w:sz w:val="18"/>
                <w:szCs w:val="18"/>
                <w:color w:val="auto"/>
              </w:rPr>
              <w:t>Inventories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17,018</w:t>
            </w:r>
          </w:p>
        </w:tc>
        <w:tc>
          <w:tcPr>
            <w:tcW w:w="240" w:type="dxa"/>
            <w:vAlign w:val="bottom"/>
          </w:tcPr>
          <w:p>
            <w:pPr>
              <w:spacing w:after="0"/>
              <w:rPr>
                <w:sz w:val="18"/>
                <w:szCs w:val="18"/>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16,472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0C0C0"/>
          </w:tcPr>
          <w:p>
            <w:pPr>
              <w:ind w:left="100"/>
              <w:spacing w:after="0"/>
              <w:rPr>
                <w:sz w:val="20"/>
                <w:szCs w:val="20"/>
                <w:color w:val="auto"/>
              </w:rPr>
            </w:pPr>
            <w:r>
              <w:rPr>
                <w:rFonts w:ascii="Arial" w:cs="Arial" w:eastAsia="Arial" w:hAnsi="Arial"/>
                <w:sz w:val="18"/>
                <w:szCs w:val="18"/>
                <w:color w:val="auto"/>
              </w:rPr>
              <w:t>Costs and estimated earnings in excess of billings</w:t>
            </w:r>
          </w:p>
        </w:tc>
        <w:tc>
          <w:tcPr>
            <w:tcW w:w="6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18,007</w:t>
            </w:r>
          </w:p>
        </w:tc>
        <w:tc>
          <w:tcPr>
            <w:tcW w:w="240" w:type="dxa"/>
            <w:vAlign w:val="bottom"/>
            <w:shd w:val="clear" w:color="auto" w:fill="C0C0C0"/>
          </w:tcPr>
          <w:p>
            <w:pPr>
              <w:spacing w:after="0"/>
              <w:rPr>
                <w:sz w:val="18"/>
                <w:szCs w:val="18"/>
                <w:color w:val="auto"/>
              </w:rPr>
            </w:pPr>
          </w:p>
        </w:tc>
        <w:tc>
          <w:tcPr>
            <w:tcW w:w="820" w:type="dxa"/>
            <w:vAlign w:val="bottom"/>
            <w:gridSpan w:val="3"/>
            <w:shd w:val="clear" w:color="auto" w:fill="C0C0C0"/>
          </w:tcPr>
          <w:p>
            <w:pPr>
              <w:jc w:val="right"/>
              <w:ind w:right="160"/>
              <w:spacing w:after="0"/>
              <w:rPr>
                <w:sz w:val="20"/>
                <w:szCs w:val="20"/>
                <w:color w:val="auto"/>
              </w:rPr>
            </w:pPr>
            <w:r>
              <w:rPr>
                <w:rFonts w:ascii="Arial" w:cs="Arial" w:eastAsia="Arial" w:hAnsi="Arial"/>
                <w:sz w:val="18"/>
                <w:szCs w:val="18"/>
                <w:color w:val="auto"/>
              </w:rPr>
              <w:t>10,277</w:t>
            </w:r>
          </w:p>
        </w:tc>
        <w:tc>
          <w:tcPr>
            <w:tcW w:w="20" w:type="dxa"/>
            <w:vAlign w:val="bottom"/>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100"/>
              <w:spacing w:after="0"/>
              <w:rPr>
                <w:sz w:val="20"/>
                <w:szCs w:val="20"/>
                <w:color w:val="auto"/>
              </w:rPr>
            </w:pPr>
            <w:r>
              <w:rPr>
                <w:rFonts w:ascii="Arial" w:cs="Arial" w:eastAsia="Arial" w:hAnsi="Arial"/>
                <w:sz w:val="18"/>
                <w:szCs w:val="18"/>
                <w:color w:val="auto"/>
              </w:rPr>
              <w:t>Prepaid expenses and other</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670</w:t>
            </w:r>
          </w:p>
        </w:tc>
        <w:tc>
          <w:tcPr>
            <w:tcW w:w="240" w:type="dxa"/>
            <w:vAlign w:val="bottom"/>
          </w:tcPr>
          <w:p>
            <w:pPr>
              <w:spacing w:after="0"/>
              <w:rPr>
                <w:sz w:val="18"/>
                <w:szCs w:val="18"/>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524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0C0C0"/>
          </w:tcPr>
          <w:p>
            <w:pPr>
              <w:ind w:left="100"/>
              <w:spacing w:after="0"/>
              <w:rPr>
                <w:sz w:val="20"/>
                <w:szCs w:val="20"/>
                <w:color w:val="auto"/>
              </w:rPr>
            </w:pPr>
            <w:r>
              <w:rPr>
                <w:rFonts w:ascii="Arial" w:cs="Arial" w:eastAsia="Arial" w:hAnsi="Arial"/>
                <w:sz w:val="18"/>
                <w:szCs w:val="18"/>
                <w:color w:val="auto"/>
              </w:rPr>
              <w:t>Deferred income taxes</w:t>
            </w:r>
          </w:p>
        </w:tc>
        <w:tc>
          <w:tcPr>
            <w:tcW w:w="6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3,297</w:t>
            </w:r>
          </w:p>
        </w:tc>
        <w:tc>
          <w:tcPr>
            <w:tcW w:w="240" w:type="dxa"/>
            <w:vAlign w:val="bottom"/>
            <w:shd w:val="clear" w:color="auto" w:fill="C0C0C0"/>
          </w:tcPr>
          <w:p>
            <w:pPr>
              <w:spacing w:after="0"/>
              <w:rPr>
                <w:sz w:val="18"/>
                <w:szCs w:val="18"/>
                <w:color w:val="auto"/>
              </w:rPr>
            </w:pPr>
          </w:p>
        </w:tc>
        <w:tc>
          <w:tcPr>
            <w:tcW w:w="820" w:type="dxa"/>
            <w:vAlign w:val="bottom"/>
            <w:gridSpan w:val="3"/>
            <w:shd w:val="clear" w:color="auto" w:fill="C0C0C0"/>
          </w:tcPr>
          <w:p>
            <w:pPr>
              <w:jc w:val="right"/>
              <w:ind w:right="160"/>
              <w:spacing w:after="0"/>
              <w:rPr>
                <w:sz w:val="20"/>
                <w:szCs w:val="20"/>
                <w:color w:val="auto"/>
              </w:rPr>
            </w:pPr>
            <w:r>
              <w:rPr>
                <w:rFonts w:ascii="Arial" w:cs="Arial" w:eastAsia="Arial" w:hAnsi="Arial"/>
                <w:sz w:val="18"/>
                <w:szCs w:val="18"/>
                <w:color w:val="auto"/>
              </w:rPr>
              <w:t>2,784</w:t>
            </w:r>
          </w:p>
        </w:tc>
        <w:tc>
          <w:tcPr>
            <w:tcW w:w="20" w:type="dxa"/>
            <w:vAlign w:val="bottom"/>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38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Total current assets</w:t>
            </w:r>
          </w:p>
        </w:tc>
        <w:tc>
          <w:tcPr>
            <w:tcW w:w="660" w:type="dxa"/>
            <w:vAlign w:val="bottom"/>
            <w:tcBorders>
              <w:bottom w:val="single" w:sz="8" w:color="auto"/>
            </w:tcBorders>
            <w:gridSpan w:val="2"/>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Borders>
              <w:bottom w:val="single" w:sz="8" w:color="auto"/>
            </w:tcBorders>
            <w:gridSpan w:val="2"/>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380" w:type="dxa"/>
            <w:vAlign w:val="bottom"/>
            <w:vMerge w:val="continue"/>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65,269</w:t>
            </w:r>
          </w:p>
        </w:tc>
        <w:tc>
          <w:tcPr>
            <w:tcW w:w="240" w:type="dxa"/>
            <w:vAlign w:val="bottom"/>
          </w:tcPr>
          <w:p>
            <w:pPr>
              <w:spacing w:after="0"/>
              <w:rPr>
                <w:sz w:val="24"/>
                <w:szCs w:val="24"/>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52,547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638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63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0C0C0"/>
          </w:tcPr>
          <w:p>
            <w:pPr>
              <w:ind w:left="80"/>
              <w:spacing w:after="0"/>
              <w:rPr>
                <w:sz w:val="20"/>
                <w:szCs w:val="20"/>
                <w:color w:val="auto"/>
              </w:rPr>
            </w:pPr>
            <w:r>
              <w:rPr>
                <w:rFonts w:ascii="Arial" w:cs="Arial" w:eastAsia="Arial" w:hAnsi="Arial"/>
                <w:sz w:val="18"/>
                <w:szCs w:val="18"/>
                <w:color w:val="auto"/>
              </w:rPr>
              <w:t>Advertising rights, net</w:t>
            </w:r>
          </w:p>
        </w:tc>
        <w:tc>
          <w:tcPr>
            <w:tcW w:w="6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400</w:t>
            </w:r>
          </w:p>
        </w:tc>
        <w:tc>
          <w:tcPr>
            <w:tcW w:w="240" w:type="dxa"/>
            <w:vAlign w:val="bottom"/>
            <w:shd w:val="clear" w:color="auto" w:fill="C0C0C0"/>
          </w:tcPr>
          <w:p>
            <w:pPr>
              <w:spacing w:after="0"/>
              <w:rPr>
                <w:sz w:val="18"/>
                <w:szCs w:val="18"/>
                <w:color w:val="auto"/>
              </w:rPr>
            </w:pPr>
          </w:p>
        </w:tc>
        <w:tc>
          <w:tcPr>
            <w:tcW w:w="820" w:type="dxa"/>
            <w:vAlign w:val="bottom"/>
            <w:gridSpan w:val="3"/>
            <w:shd w:val="clear" w:color="auto" w:fill="C0C0C0"/>
          </w:tcPr>
          <w:p>
            <w:pPr>
              <w:jc w:val="right"/>
              <w:ind w:right="160"/>
              <w:spacing w:after="0"/>
              <w:rPr>
                <w:sz w:val="20"/>
                <w:szCs w:val="20"/>
                <w:color w:val="auto"/>
              </w:rPr>
            </w:pPr>
            <w:r>
              <w:rPr>
                <w:rFonts w:ascii="Arial" w:cs="Arial" w:eastAsia="Arial" w:hAnsi="Arial"/>
                <w:sz w:val="18"/>
                <w:szCs w:val="18"/>
                <w:color w:val="auto"/>
              </w:rPr>
              <w:t>489</w:t>
            </w:r>
          </w:p>
        </w:tc>
        <w:tc>
          <w:tcPr>
            <w:tcW w:w="20" w:type="dxa"/>
            <w:vAlign w:val="bottom"/>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100"/>
              <w:spacing w:after="0"/>
              <w:rPr>
                <w:sz w:val="20"/>
                <w:szCs w:val="20"/>
                <w:color w:val="auto"/>
              </w:rPr>
            </w:pPr>
            <w:r>
              <w:rPr>
                <w:rFonts w:ascii="Arial" w:cs="Arial" w:eastAsia="Arial" w:hAnsi="Arial"/>
                <w:sz w:val="18"/>
                <w:szCs w:val="18"/>
                <w:color w:val="auto"/>
              </w:rPr>
              <w:t>Long term receivables, less current maturities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4,457</w:t>
            </w:r>
          </w:p>
        </w:tc>
        <w:tc>
          <w:tcPr>
            <w:tcW w:w="240" w:type="dxa"/>
            <w:vAlign w:val="bottom"/>
          </w:tcPr>
          <w:p>
            <w:pPr>
              <w:spacing w:after="0"/>
              <w:rPr>
                <w:sz w:val="18"/>
                <w:szCs w:val="18"/>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5,366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0C0C0"/>
          </w:tcPr>
          <w:p>
            <w:pPr>
              <w:ind w:left="100"/>
              <w:spacing w:after="0"/>
              <w:rPr>
                <w:sz w:val="20"/>
                <w:szCs w:val="20"/>
                <w:color w:val="auto"/>
              </w:rPr>
            </w:pPr>
            <w:r>
              <w:rPr>
                <w:rFonts w:ascii="Arial" w:cs="Arial" w:eastAsia="Arial" w:hAnsi="Arial"/>
                <w:sz w:val="18"/>
                <w:szCs w:val="18"/>
                <w:color w:val="auto"/>
              </w:rPr>
              <w:t>Goodwill, net</w:t>
            </w:r>
          </w:p>
        </w:tc>
        <w:tc>
          <w:tcPr>
            <w:tcW w:w="6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1,043</w:t>
            </w:r>
          </w:p>
        </w:tc>
        <w:tc>
          <w:tcPr>
            <w:tcW w:w="240" w:type="dxa"/>
            <w:vAlign w:val="bottom"/>
            <w:shd w:val="clear" w:color="auto" w:fill="C0C0C0"/>
          </w:tcPr>
          <w:p>
            <w:pPr>
              <w:spacing w:after="0"/>
              <w:rPr>
                <w:sz w:val="18"/>
                <w:szCs w:val="18"/>
                <w:color w:val="auto"/>
              </w:rPr>
            </w:pPr>
          </w:p>
        </w:tc>
        <w:tc>
          <w:tcPr>
            <w:tcW w:w="820" w:type="dxa"/>
            <w:vAlign w:val="bottom"/>
            <w:gridSpan w:val="3"/>
            <w:shd w:val="clear" w:color="auto" w:fill="C0C0C0"/>
          </w:tcPr>
          <w:p>
            <w:pPr>
              <w:jc w:val="right"/>
              <w:ind w:right="160"/>
              <w:spacing w:after="0"/>
              <w:rPr>
                <w:sz w:val="20"/>
                <w:szCs w:val="20"/>
                <w:color w:val="auto"/>
              </w:rPr>
            </w:pPr>
            <w:r>
              <w:rPr>
                <w:rFonts w:ascii="Arial" w:cs="Arial" w:eastAsia="Arial" w:hAnsi="Arial"/>
                <w:sz w:val="18"/>
                <w:szCs w:val="18"/>
                <w:color w:val="auto"/>
              </w:rPr>
              <w:t>1,061</w:t>
            </w:r>
          </w:p>
        </w:tc>
        <w:tc>
          <w:tcPr>
            <w:tcW w:w="20" w:type="dxa"/>
            <w:vAlign w:val="bottom"/>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380" w:type="dxa"/>
            <w:vAlign w:val="bottom"/>
          </w:tcPr>
          <w:p>
            <w:pPr>
              <w:ind w:left="100"/>
              <w:spacing w:after="0"/>
              <w:rPr>
                <w:sz w:val="20"/>
                <w:szCs w:val="20"/>
                <w:color w:val="auto"/>
              </w:rPr>
            </w:pPr>
            <w:r>
              <w:rPr>
                <w:rFonts w:ascii="Arial" w:cs="Arial" w:eastAsia="Arial" w:hAnsi="Arial"/>
                <w:sz w:val="18"/>
                <w:szCs w:val="18"/>
                <w:color w:val="auto"/>
              </w:rPr>
              <w:t>Intangible and other assets, other than goodwill, net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946</w:t>
            </w:r>
          </w:p>
        </w:tc>
        <w:tc>
          <w:tcPr>
            <w:tcW w:w="240" w:type="dxa"/>
            <w:vAlign w:val="bottom"/>
          </w:tcPr>
          <w:p>
            <w:pPr>
              <w:spacing w:after="0"/>
              <w:rPr>
                <w:sz w:val="19"/>
                <w:szCs w:val="19"/>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1,038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638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57" w:orient="portrait"/>
          <w:cols w:equalWidth="0" w:num="1">
            <w:col w:w="11420"/>
          </w:cols>
          <w:pgMar w:left="240" w:top="131" w:right="23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60" w:type="dxa"/>
            <w:vAlign w:val="bottom"/>
            <w:shd w:val="clear" w:color="auto" w:fill="C0C0C0"/>
          </w:tcPr>
          <w:p>
            <w:pPr>
              <w:spacing w:after="0"/>
              <w:rPr>
                <w:sz w:val="18"/>
                <w:szCs w:val="18"/>
                <w:color w:val="auto"/>
              </w:rPr>
            </w:pPr>
          </w:p>
        </w:tc>
        <w:tc>
          <w:tcPr>
            <w:tcW w:w="20" w:type="dxa"/>
            <w:vAlign w:val="bottom"/>
            <w:shd w:val="clear" w:color="auto" w:fill="C0C0C0"/>
          </w:tcPr>
          <w:p>
            <w:pPr>
              <w:spacing w:after="0"/>
              <w:rPr>
                <w:sz w:val="18"/>
                <w:szCs w:val="18"/>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6,846</w:t>
            </w:r>
          </w:p>
        </w:tc>
        <w:tc>
          <w:tcPr>
            <w:tcW w:w="920" w:type="dxa"/>
            <w:vAlign w:val="bottom"/>
            <w:gridSpan w:val="3"/>
            <w:shd w:val="clear" w:color="auto" w:fill="C0C0C0"/>
          </w:tcPr>
          <w:p>
            <w:pPr>
              <w:jc w:val="right"/>
              <w:ind w:right="20"/>
              <w:spacing w:after="0"/>
              <w:rPr>
                <w:sz w:val="20"/>
                <w:szCs w:val="20"/>
                <w:color w:val="auto"/>
              </w:rPr>
            </w:pPr>
            <w:r>
              <w:rPr>
                <w:rFonts w:ascii="Arial" w:cs="Arial" w:eastAsia="Arial" w:hAnsi="Arial"/>
                <w:sz w:val="18"/>
                <w:szCs w:val="18"/>
                <w:color w:val="auto"/>
              </w:rPr>
              <w:t>7,954</w:t>
            </w:r>
          </w:p>
        </w:tc>
        <w:tc>
          <w:tcPr>
            <w:tcW w:w="160" w:type="dxa"/>
            <w:vAlign w:val="bottom"/>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400" w:type="dxa"/>
            <w:vAlign w:val="bottom"/>
            <w:gridSpan w:val="3"/>
            <w:vMerge w:val="restart"/>
          </w:tcPr>
          <w:p>
            <w:pPr>
              <w:spacing w:after="0"/>
              <w:rPr>
                <w:sz w:val="20"/>
                <w:szCs w:val="20"/>
                <w:color w:val="auto"/>
              </w:rPr>
            </w:pPr>
            <w:r>
              <w:rPr>
                <w:rFonts w:ascii="Arial" w:cs="Arial" w:eastAsia="Arial" w:hAnsi="Arial"/>
                <w:sz w:val="18"/>
                <w:szCs w:val="18"/>
                <w:color w:val="auto"/>
              </w:rPr>
              <w:t>PROPERTY AND EQUIPMENT, at cost:</w:t>
            </w:r>
          </w:p>
        </w:tc>
        <w:tc>
          <w:tcPr>
            <w:tcW w:w="64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6400" w:type="dxa"/>
            <w:vAlign w:val="bottom"/>
            <w:gridSpan w:val="3"/>
            <w:vMerge w:val="continue"/>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gridSpan w:val="2"/>
          </w:tcPr>
          <w:p>
            <w:pPr>
              <w:ind w:left="80"/>
              <w:spacing w:after="0"/>
              <w:rPr>
                <w:sz w:val="20"/>
                <w:szCs w:val="20"/>
                <w:color w:val="auto"/>
              </w:rPr>
            </w:pPr>
            <w:r>
              <w:rPr>
                <w:rFonts w:ascii="Arial" w:cs="Arial" w:eastAsia="Arial" w:hAnsi="Arial"/>
                <w:sz w:val="18"/>
                <w:szCs w:val="18"/>
                <w:color w:val="auto"/>
              </w:rPr>
              <w:t>Land</w:t>
            </w:r>
          </w:p>
        </w:tc>
        <w:tc>
          <w:tcPr>
            <w:tcW w:w="640" w:type="dxa"/>
            <w:vAlign w:val="bottom"/>
          </w:tcPr>
          <w:p>
            <w:pPr>
              <w:jc w:val="right"/>
              <w:spacing w:after="0"/>
              <w:rPr>
                <w:sz w:val="20"/>
                <w:szCs w:val="20"/>
                <w:color w:val="auto"/>
              </w:rPr>
            </w:pPr>
            <w:r>
              <w:rPr>
                <w:rFonts w:ascii="Arial" w:cs="Arial" w:eastAsia="Arial" w:hAnsi="Arial"/>
                <w:sz w:val="18"/>
                <w:szCs w:val="18"/>
                <w:color w:val="auto"/>
              </w:rPr>
              <w:t>654</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654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80" w:type="dxa"/>
            <w:vAlign w:val="bottom"/>
            <w:gridSpan w:val="2"/>
            <w:shd w:val="clear" w:color="auto" w:fill="C0C0C0"/>
          </w:tcPr>
          <w:p>
            <w:pPr>
              <w:ind w:left="80"/>
              <w:spacing w:after="0"/>
              <w:rPr>
                <w:sz w:val="20"/>
                <w:szCs w:val="20"/>
                <w:color w:val="auto"/>
              </w:rPr>
            </w:pPr>
            <w:r>
              <w:rPr>
                <w:rFonts w:ascii="Arial" w:cs="Arial" w:eastAsia="Arial" w:hAnsi="Arial"/>
                <w:sz w:val="18"/>
                <w:szCs w:val="18"/>
                <w:color w:val="auto"/>
              </w:rPr>
              <w:t>Buildings</w:t>
            </w: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12,244</w:t>
            </w:r>
          </w:p>
        </w:tc>
        <w:tc>
          <w:tcPr>
            <w:tcW w:w="920" w:type="dxa"/>
            <w:vAlign w:val="bottom"/>
            <w:gridSpan w:val="3"/>
            <w:shd w:val="clear" w:color="auto" w:fill="C0C0C0"/>
          </w:tcPr>
          <w:p>
            <w:pPr>
              <w:jc w:val="right"/>
              <w:ind w:right="20"/>
              <w:spacing w:after="0"/>
              <w:rPr>
                <w:sz w:val="20"/>
                <w:szCs w:val="20"/>
                <w:color w:val="auto"/>
              </w:rPr>
            </w:pPr>
            <w:r>
              <w:rPr>
                <w:rFonts w:ascii="Arial" w:cs="Arial" w:eastAsia="Arial" w:hAnsi="Arial"/>
                <w:sz w:val="18"/>
                <w:szCs w:val="18"/>
                <w:color w:val="auto"/>
              </w:rPr>
              <w:t>12,110</w:t>
            </w:r>
          </w:p>
        </w:tc>
        <w:tc>
          <w:tcPr>
            <w:tcW w:w="160" w:type="dxa"/>
            <w:vAlign w:val="bottom"/>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tcPr>
          <w:p>
            <w:pPr>
              <w:ind w:left="80"/>
              <w:spacing w:after="0"/>
              <w:rPr>
                <w:sz w:val="20"/>
                <w:szCs w:val="20"/>
                <w:color w:val="auto"/>
              </w:rPr>
            </w:pPr>
            <w:r>
              <w:rPr>
                <w:rFonts w:ascii="Arial" w:cs="Arial" w:eastAsia="Arial" w:hAnsi="Arial"/>
                <w:sz w:val="18"/>
                <w:szCs w:val="18"/>
                <w:color w:val="auto"/>
              </w:rPr>
              <w:t>Machinery and equipment</w:t>
            </w:r>
          </w:p>
        </w:tc>
        <w:tc>
          <w:tcPr>
            <w:tcW w:w="640" w:type="dxa"/>
            <w:vAlign w:val="bottom"/>
          </w:tcPr>
          <w:p>
            <w:pPr>
              <w:jc w:val="right"/>
              <w:spacing w:after="0"/>
              <w:rPr>
                <w:sz w:val="20"/>
                <w:szCs w:val="20"/>
                <w:color w:val="auto"/>
              </w:rPr>
            </w:pPr>
            <w:r>
              <w:rPr>
                <w:rFonts w:ascii="Arial" w:cs="Arial" w:eastAsia="Arial" w:hAnsi="Arial"/>
                <w:sz w:val="18"/>
                <w:szCs w:val="18"/>
                <w:color w:val="auto"/>
              </w:rPr>
              <w:t>13,603</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14,643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0C0C0"/>
          </w:tcPr>
          <w:p>
            <w:pPr>
              <w:ind w:left="80"/>
              <w:spacing w:after="0"/>
              <w:rPr>
                <w:sz w:val="20"/>
                <w:szCs w:val="20"/>
                <w:color w:val="auto"/>
              </w:rPr>
            </w:pPr>
            <w:r>
              <w:rPr>
                <w:rFonts w:ascii="Arial" w:cs="Arial" w:eastAsia="Arial" w:hAnsi="Arial"/>
                <w:sz w:val="18"/>
                <w:szCs w:val="18"/>
                <w:color w:val="auto"/>
              </w:rPr>
              <w:t>Office furniture and equipment</w:t>
            </w: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12,959</w:t>
            </w:r>
          </w:p>
        </w:tc>
        <w:tc>
          <w:tcPr>
            <w:tcW w:w="920" w:type="dxa"/>
            <w:vAlign w:val="bottom"/>
            <w:gridSpan w:val="3"/>
            <w:shd w:val="clear" w:color="auto" w:fill="C0C0C0"/>
          </w:tcPr>
          <w:p>
            <w:pPr>
              <w:jc w:val="right"/>
              <w:ind w:right="20"/>
              <w:spacing w:after="0"/>
              <w:rPr>
                <w:sz w:val="20"/>
                <w:szCs w:val="20"/>
                <w:color w:val="auto"/>
              </w:rPr>
            </w:pPr>
            <w:r>
              <w:rPr>
                <w:rFonts w:ascii="Arial" w:cs="Arial" w:eastAsia="Arial" w:hAnsi="Arial"/>
                <w:sz w:val="18"/>
                <w:szCs w:val="18"/>
                <w:color w:val="auto"/>
              </w:rPr>
              <w:t>11,862</w:t>
            </w:r>
          </w:p>
        </w:tc>
        <w:tc>
          <w:tcPr>
            <w:tcW w:w="160" w:type="dxa"/>
            <w:vAlign w:val="bottom"/>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tcPr>
          <w:p>
            <w:pPr>
              <w:ind w:left="80"/>
              <w:spacing w:after="0"/>
              <w:rPr>
                <w:sz w:val="20"/>
                <w:szCs w:val="20"/>
                <w:color w:val="auto"/>
              </w:rPr>
            </w:pPr>
            <w:r>
              <w:rPr>
                <w:rFonts w:ascii="Arial" w:cs="Arial" w:eastAsia="Arial" w:hAnsi="Arial"/>
                <w:sz w:val="18"/>
                <w:szCs w:val="18"/>
                <w:color w:val="auto"/>
              </w:rPr>
              <w:t>Equipment held for rent</w:t>
            </w:r>
          </w:p>
        </w:tc>
        <w:tc>
          <w:tcPr>
            <w:tcW w:w="640" w:type="dxa"/>
            <w:vAlign w:val="bottom"/>
          </w:tcPr>
          <w:p>
            <w:pPr>
              <w:jc w:val="right"/>
              <w:spacing w:after="0"/>
              <w:rPr>
                <w:sz w:val="20"/>
                <w:szCs w:val="20"/>
                <w:color w:val="auto"/>
              </w:rPr>
            </w:pPr>
            <w:r>
              <w:rPr>
                <w:rFonts w:ascii="Arial" w:cs="Arial" w:eastAsia="Arial" w:hAnsi="Arial"/>
                <w:sz w:val="18"/>
                <w:szCs w:val="18"/>
                <w:color w:val="auto"/>
              </w:rPr>
              <w:t>3,626</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3,265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0C0C0"/>
          </w:tcPr>
          <w:p>
            <w:pPr>
              <w:ind w:left="80"/>
              <w:spacing w:after="0"/>
              <w:rPr>
                <w:sz w:val="20"/>
                <w:szCs w:val="20"/>
                <w:color w:val="auto"/>
              </w:rPr>
            </w:pPr>
            <w:r>
              <w:rPr>
                <w:rFonts w:ascii="Arial" w:cs="Arial" w:eastAsia="Arial" w:hAnsi="Arial"/>
                <w:sz w:val="18"/>
                <w:szCs w:val="18"/>
                <w:color w:val="auto"/>
              </w:rPr>
              <w:t>Transportation equipment</w:t>
            </w: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2,107</w:t>
            </w:r>
          </w:p>
        </w:tc>
        <w:tc>
          <w:tcPr>
            <w:tcW w:w="920" w:type="dxa"/>
            <w:vAlign w:val="bottom"/>
            <w:gridSpan w:val="3"/>
            <w:shd w:val="clear" w:color="auto" w:fill="C0C0C0"/>
          </w:tcPr>
          <w:p>
            <w:pPr>
              <w:jc w:val="right"/>
              <w:ind w:right="20"/>
              <w:spacing w:after="0"/>
              <w:rPr>
                <w:sz w:val="20"/>
                <w:szCs w:val="20"/>
                <w:color w:val="auto"/>
              </w:rPr>
            </w:pPr>
            <w:r>
              <w:rPr>
                <w:rFonts w:ascii="Arial" w:cs="Arial" w:eastAsia="Arial" w:hAnsi="Arial"/>
                <w:sz w:val="18"/>
                <w:szCs w:val="18"/>
                <w:color w:val="auto"/>
              </w:rPr>
              <w:t>1,888</w:t>
            </w:r>
          </w:p>
        </w:tc>
        <w:tc>
          <w:tcPr>
            <w:tcW w:w="160" w:type="dxa"/>
            <w:vAlign w:val="bottom"/>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6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45,193</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44,422</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80" w:type="dxa"/>
            <w:vAlign w:val="bottom"/>
            <w:gridSpan w:val="2"/>
            <w:shd w:val="clear" w:color="auto" w:fill="C0C0C0"/>
          </w:tcPr>
          <w:p>
            <w:pPr>
              <w:ind w:left="260"/>
              <w:spacing w:after="0"/>
              <w:rPr>
                <w:sz w:val="20"/>
                <w:szCs w:val="20"/>
                <w:color w:val="auto"/>
              </w:rPr>
            </w:pPr>
            <w:r>
              <w:rPr>
                <w:rFonts w:ascii="Arial" w:cs="Arial" w:eastAsia="Arial" w:hAnsi="Arial"/>
                <w:sz w:val="18"/>
                <w:szCs w:val="18"/>
                <w:color w:val="auto"/>
              </w:rPr>
              <w:t>Less accumulated depreciation</w:t>
            </w: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20,060</w:t>
            </w:r>
          </w:p>
        </w:tc>
        <w:tc>
          <w:tcPr>
            <w:tcW w:w="920" w:type="dxa"/>
            <w:vAlign w:val="bottom"/>
            <w:gridSpan w:val="3"/>
            <w:shd w:val="clear" w:color="auto" w:fill="C0C0C0"/>
          </w:tcPr>
          <w:p>
            <w:pPr>
              <w:jc w:val="right"/>
              <w:ind w:right="20"/>
              <w:spacing w:after="0"/>
              <w:rPr>
                <w:sz w:val="20"/>
                <w:szCs w:val="20"/>
                <w:color w:val="auto"/>
              </w:rPr>
            </w:pPr>
            <w:r>
              <w:rPr>
                <w:rFonts w:ascii="Arial" w:cs="Arial" w:eastAsia="Arial" w:hAnsi="Arial"/>
                <w:sz w:val="18"/>
                <w:szCs w:val="18"/>
                <w:color w:val="auto"/>
              </w:rPr>
              <w:t>17,577</w:t>
            </w:r>
          </w:p>
        </w:tc>
        <w:tc>
          <w:tcPr>
            <w:tcW w:w="160" w:type="dxa"/>
            <w:vAlign w:val="bottom"/>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6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25,133</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26,845</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36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gridSpan w:val="2"/>
            <w:shd w:val="clear" w:color="auto" w:fill="C0C0C0"/>
          </w:tcPr>
          <w:p>
            <w:pPr>
              <w:spacing w:after="0"/>
              <w:rPr>
                <w:sz w:val="20"/>
                <w:szCs w:val="20"/>
                <w:color w:val="auto"/>
              </w:rPr>
            </w:pPr>
            <w:r>
              <w:rPr>
                <w:rFonts w:ascii="Arial" w:cs="Arial" w:eastAsia="Arial" w:hAnsi="Arial"/>
                <w:sz w:val="18"/>
                <w:szCs w:val="18"/>
                <w:b w:val="1"/>
                <w:bCs w:val="1"/>
                <w:color w:val="auto"/>
              </w:rPr>
              <w:t>TOTAL ASSETS</w:t>
            </w: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w w:val="88"/>
              </w:rPr>
              <w:t>$ 97,248</w:t>
            </w:r>
          </w:p>
        </w:tc>
        <w:tc>
          <w:tcPr>
            <w:tcW w:w="920" w:type="dxa"/>
            <w:vAlign w:val="bottom"/>
            <w:gridSpan w:val="3"/>
            <w:shd w:val="clear" w:color="auto" w:fill="C0C0C0"/>
          </w:tcPr>
          <w:p>
            <w:pPr>
              <w:jc w:val="right"/>
              <w:ind w:right="20"/>
              <w:spacing w:after="0"/>
              <w:rPr>
                <w:sz w:val="20"/>
                <w:szCs w:val="20"/>
                <w:color w:val="auto"/>
              </w:rPr>
            </w:pPr>
            <w:r>
              <w:rPr>
                <w:rFonts w:ascii="Arial" w:cs="Arial" w:eastAsia="Arial" w:hAnsi="Arial"/>
                <w:sz w:val="18"/>
                <w:szCs w:val="18"/>
                <w:color w:val="auto"/>
              </w:rPr>
              <w:t>$ 87,346</w:t>
            </w:r>
          </w:p>
        </w:tc>
        <w:tc>
          <w:tcPr>
            <w:tcW w:w="160" w:type="dxa"/>
            <w:vAlign w:val="bottom"/>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3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20" w:lineRule="exact"/>
        <w:rPr>
          <w:sz w:val="20"/>
          <w:szCs w:val="20"/>
          <w:color w:val="auto"/>
        </w:rPr>
      </w:pPr>
    </w:p>
    <w:p>
      <w:pPr>
        <w:ind w:left="9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469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jc w:val="center"/>
        <w:ind w:right="2139"/>
        <w:spacing w:after="0"/>
        <w:rPr>
          <w:sz w:val="20"/>
          <w:szCs w:val="20"/>
          <w:color w:val="auto"/>
        </w:rPr>
      </w:pPr>
      <w:r>
        <w:rPr>
          <w:rFonts w:ascii="Arial" w:cs="Arial" w:eastAsia="Arial" w:hAnsi="Arial"/>
          <w:sz w:val="18"/>
          <w:szCs w:val="18"/>
          <w:b w:val="1"/>
          <w:bCs w:val="1"/>
          <w:color w:val="auto"/>
        </w:rPr>
        <w:t>DAKTRONICS, INC. AND SUBSIDIARIES</w:t>
      </w:r>
    </w:p>
    <w:p>
      <w:pPr>
        <w:spacing w:after="0" w:line="21" w:lineRule="exact"/>
        <w:rPr>
          <w:sz w:val="20"/>
          <w:szCs w:val="20"/>
          <w:color w:val="auto"/>
        </w:rPr>
      </w:pPr>
    </w:p>
    <w:p>
      <w:pPr>
        <w:jc w:val="center"/>
        <w:ind w:right="213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February 1,</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4"/>
              </w:rPr>
              <w:t>April 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center"/>
              <w:ind w:left="135"/>
              <w:spacing w:after="0" w:line="149" w:lineRule="exact"/>
              <w:rPr>
                <w:sz w:val="20"/>
                <w:szCs w:val="20"/>
                <w:color w:val="auto"/>
              </w:rPr>
            </w:pPr>
            <w:r>
              <w:rPr>
                <w:rFonts w:ascii="Arial" w:cs="Arial" w:eastAsia="Arial" w:hAnsi="Arial"/>
                <w:sz w:val="14"/>
                <w:szCs w:val="14"/>
                <w:b w:val="1"/>
                <w:bCs w:val="1"/>
                <w:color w:val="auto"/>
                <w:w w:val="83"/>
              </w:rPr>
              <w:t>2003</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2002</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(unaudited)</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6"/>
              </w:rPr>
              <w:t>(note 1)</w:t>
            </w:r>
          </w:p>
        </w:tc>
        <w:tc>
          <w:tcPr>
            <w:tcW w:w="0" w:type="dxa"/>
            <w:vAlign w:val="bottom"/>
          </w:tcPr>
          <w:p>
            <w:pPr>
              <w:spacing w:after="0"/>
              <w:rPr>
                <w:sz w:val="1"/>
                <w:szCs w:val="1"/>
                <w:color w:val="auto"/>
              </w:rPr>
            </w:pPr>
          </w:p>
        </w:tc>
      </w:tr>
      <w:tr>
        <w:trPr>
          <w:trHeight w:val="95"/>
        </w:trPr>
        <w:tc>
          <w:tcPr>
            <w:tcW w:w="5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566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566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40" w:type="dxa"/>
            <w:vAlign w:val="bottom"/>
            <w:shd w:val="clear" w:color="auto" w:fill="C0C0C0"/>
          </w:tcPr>
          <w:p>
            <w:pPr>
              <w:ind w:left="120"/>
              <w:spacing w:after="0"/>
              <w:rPr>
                <w:sz w:val="20"/>
                <w:szCs w:val="20"/>
                <w:color w:val="auto"/>
              </w:rPr>
            </w:pPr>
            <w:r>
              <w:rPr>
                <w:rFonts w:ascii="Arial" w:cs="Arial" w:eastAsia="Arial" w:hAnsi="Arial"/>
                <w:sz w:val="18"/>
                <w:szCs w:val="18"/>
                <w:color w:val="auto"/>
              </w:rPr>
              <w:t>Notes payable, bank</w:t>
            </w:r>
          </w:p>
        </w:tc>
        <w:tc>
          <w:tcPr>
            <w:tcW w:w="420" w:type="dxa"/>
            <w:vAlign w:val="bottom"/>
            <w:gridSpan w:val="2"/>
            <w:shd w:val="clear" w:color="auto" w:fill="C0C0C0"/>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0C0C0"/>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0C0C0"/>
          </w:tcPr>
          <w:p>
            <w:pPr>
              <w:jc w:val="right"/>
              <w:ind w:right="8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51</w:t>
            </w:r>
          </w:p>
        </w:tc>
        <w:tc>
          <w:tcPr>
            <w:tcW w:w="140" w:type="dxa"/>
            <w:vAlign w:val="bottom"/>
            <w:shd w:val="clear" w:color="auto" w:fill="C0C0C0"/>
          </w:tcPr>
          <w:p>
            <w:pPr>
              <w:spacing w:after="0"/>
              <w:rPr>
                <w:sz w:val="18"/>
                <w:szCs w:val="18"/>
                <w:color w:val="auto"/>
              </w:rPr>
            </w:pPr>
          </w:p>
        </w:tc>
        <w:tc>
          <w:tcPr>
            <w:tcW w:w="20" w:type="dxa"/>
            <w:vAlign w:val="bottom"/>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12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8,470</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6,690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0C0C0"/>
          </w:tcPr>
          <w:p>
            <w:pPr>
              <w:ind w:left="120"/>
              <w:spacing w:after="0"/>
              <w:rPr>
                <w:sz w:val="20"/>
                <w:szCs w:val="20"/>
                <w:color w:val="auto"/>
              </w:rPr>
            </w:pPr>
            <w:r>
              <w:rPr>
                <w:rFonts w:ascii="Arial" w:cs="Arial" w:eastAsia="Arial" w:hAnsi="Arial"/>
                <w:sz w:val="18"/>
                <w:szCs w:val="18"/>
                <w:color w:val="auto"/>
              </w:rPr>
              <w:t>Accrued expenses</w:t>
            </w:r>
          </w:p>
        </w:tc>
        <w:tc>
          <w:tcPr>
            <w:tcW w:w="240" w:type="dxa"/>
            <w:vAlign w:val="bottom"/>
            <w:shd w:val="clear" w:color="auto" w:fill="C0C0C0"/>
          </w:tcPr>
          <w:p>
            <w:pPr>
              <w:spacing w:after="0"/>
              <w:rPr>
                <w:sz w:val="18"/>
                <w:szCs w:val="18"/>
                <w:color w:val="auto"/>
              </w:rPr>
            </w:pPr>
          </w:p>
        </w:tc>
        <w:tc>
          <w:tcPr>
            <w:tcW w:w="180" w:type="dxa"/>
            <w:vAlign w:val="bottom"/>
            <w:shd w:val="clear" w:color="auto" w:fill="C0C0C0"/>
          </w:tcPr>
          <w:p>
            <w:pPr>
              <w:spacing w:after="0"/>
              <w:rPr>
                <w:sz w:val="18"/>
                <w:szCs w:val="18"/>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8,765</w:t>
            </w:r>
          </w:p>
        </w:tc>
        <w:tc>
          <w:tcPr>
            <w:tcW w:w="400" w:type="dxa"/>
            <w:vAlign w:val="bottom"/>
            <w:shd w:val="clear" w:color="auto" w:fill="C0C0C0"/>
          </w:tcPr>
          <w:p>
            <w:pPr>
              <w:spacing w:after="0"/>
              <w:rPr>
                <w:sz w:val="18"/>
                <w:szCs w:val="18"/>
                <w:color w:val="auto"/>
              </w:rPr>
            </w:pPr>
          </w:p>
        </w:tc>
        <w:tc>
          <w:tcPr>
            <w:tcW w:w="20" w:type="dxa"/>
            <w:vAlign w:val="bottom"/>
            <w:shd w:val="clear" w:color="auto" w:fill="C0C0C0"/>
          </w:tcPr>
          <w:p>
            <w:pPr>
              <w:spacing w:after="0"/>
              <w:rPr>
                <w:sz w:val="18"/>
                <w:szCs w:val="18"/>
                <w:color w:val="auto"/>
              </w:rPr>
            </w:pPr>
          </w:p>
        </w:tc>
        <w:tc>
          <w:tcPr>
            <w:tcW w:w="160" w:type="dxa"/>
            <w:vAlign w:val="bottom"/>
            <w:shd w:val="clear" w:color="auto" w:fill="C0C0C0"/>
          </w:tcPr>
          <w:p>
            <w:pPr>
              <w:spacing w:after="0"/>
              <w:rPr>
                <w:sz w:val="18"/>
                <w:szCs w:val="18"/>
                <w:color w:val="auto"/>
              </w:rPr>
            </w:pPr>
          </w:p>
        </w:tc>
        <w:tc>
          <w:tcPr>
            <w:tcW w:w="66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7,337</w:t>
            </w:r>
          </w:p>
        </w:tc>
        <w:tc>
          <w:tcPr>
            <w:tcW w:w="140" w:type="dxa"/>
            <w:vAlign w:val="bottom"/>
            <w:shd w:val="clear" w:color="auto" w:fill="C0C0C0"/>
          </w:tcPr>
          <w:p>
            <w:pPr>
              <w:spacing w:after="0"/>
              <w:rPr>
                <w:sz w:val="18"/>
                <w:szCs w:val="18"/>
                <w:color w:val="auto"/>
              </w:rPr>
            </w:pPr>
          </w:p>
        </w:tc>
        <w:tc>
          <w:tcPr>
            <w:tcW w:w="20" w:type="dxa"/>
            <w:vAlign w:val="bottom"/>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120"/>
              <w:spacing w:after="0"/>
              <w:rPr>
                <w:sz w:val="20"/>
                <w:szCs w:val="20"/>
                <w:color w:val="auto"/>
              </w:rPr>
            </w:pPr>
            <w:r>
              <w:rPr>
                <w:rFonts w:ascii="Arial" w:cs="Arial" w:eastAsia="Arial" w:hAnsi="Arial"/>
                <w:sz w:val="18"/>
                <w:szCs w:val="18"/>
                <w:color w:val="auto"/>
              </w:rPr>
              <w:t>Current maturities of long-term debt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3,394</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4,254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0C0C0"/>
          </w:tcPr>
          <w:p>
            <w:pPr>
              <w:ind w:left="120"/>
              <w:spacing w:after="0"/>
              <w:rPr>
                <w:sz w:val="20"/>
                <w:szCs w:val="20"/>
                <w:color w:val="auto"/>
              </w:rPr>
            </w:pPr>
            <w:r>
              <w:rPr>
                <w:rFonts w:ascii="Arial" w:cs="Arial" w:eastAsia="Arial" w:hAnsi="Arial"/>
                <w:sz w:val="18"/>
                <w:szCs w:val="18"/>
                <w:color w:val="auto"/>
              </w:rPr>
              <w:t>Billings in excess of costs and estimated earnings</w:t>
            </w:r>
          </w:p>
        </w:tc>
        <w:tc>
          <w:tcPr>
            <w:tcW w:w="240" w:type="dxa"/>
            <w:vAlign w:val="bottom"/>
            <w:shd w:val="clear" w:color="auto" w:fill="C0C0C0"/>
          </w:tcPr>
          <w:p>
            <w:pPr>
              <w:spacing w:after="0"/>
              <w:rPr>
                <w:sz w:val="18"/>
                <w:szCs w:val="18"/>
                <w:color w:val="auto"/>
              </w:rPr>
            </w:pPr>
          </w:p>
        </w:tc>
        <w:tc>
          <w:tcPr>
            <w:tcW w:w="180" w:type="dxa"/>
            <w:vAlign w:val="bottom"/>
            <w:shd w:val="clear" w:color="auto" w:fill="C0C0C0"/>
          </w:tcPr>
          <w:p>
            <w:pPr>
              <w:spacing w:after="0"/>
              <w:rPr>
                <w:sz w:val="18"/>
                <w:szCs w:val="18"/>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3,521</w:t>
            </w:r>
          </w:p>
        </w:tc>
        <w:tc>
          <w:tcPr>
            <w:tcW w:w="400" w:type="dxa"/>
            <w:vAlign w:val="bottom"/>
            <w:shd w:val="clear" w:color="auto" w:fill="C0C0C0"/>
          </w:tcPr>
          <w:p>
            <w:pPr>
              <w:spacing w:after="0"/>
              <w:rPr>
                <w:sz w:val="18"/>
                <w:szCs w:val="18"/>
                <w:color w:val="auto"/>
              </w:rPr>
            </w:pPr>
          </w:p>
        </w:tc>
        <w:tc>
          <w:tcPr>
            <w:tcW w:w="20" w:type="dxa"/>
            <w:vAlign w:val="bottom"/>
            <w:shd w:val="clear" w:color="auto" w:fill="C0C0C0"/>
          </w:tcPr>
          <w:p>
            <w:pPr>
              <w:spacing w:after="0"/>
              <w:rPr>
                <w:sz w:val="18"/>
                <w:szCs w:val="18"/>
                <w:color w:val="auto"/>
              </w:rPr>
            </w:pPr>
          </w:p>
        </w:tc>
        <w:tc>
          <w:tcPr>
            <w:tcW w:w="160" w:type="dxa"/>
            <w:vAlign w:val="bottom"/>
            <w:shd w:val="clear" w:color="auto" w:fill="C0C0C0"/>
          </w:tcPr>
          <w:p>
            <w:pPr>
              <w:spacing w:after="0"/>
              <w:rPr>
                <w:sz w:val="18"/>
                <w:szCs w:val="18"/>
                <w:color w:val="auto"/>
              </w:rPr>
            </w:pPr>
          </w:p>
        </w:tc>
        <w:tc>
          <w:tcPr>
            <w:tcW w:w="66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2,944</w:t>
            </w:r>
          </w:p>
        </w:tc>
        <w:tc>
          <w:tcPr>
            <w:tcW w:w="140" w:type="dxa"/>
            <w:vAlign w:val="bottom"/>
            <w:shd w:val="clear" w:color="auto" w:fill="C0C0C0"/>
          </w:tcPr>
          <w:p>
            <w:pPr>
              <w:spacing w:after="0"/>
              <w:rPr>
                <w:sz w:val="18"/>
                <w:szCs w:val="18"/>
                <w:color w:val="auto"/>
              </w:rPr>
            </w:pPr>
          </w:p>
        </w:tc>
        <w:tc>
          <w:tcPr>
            <w:tcW w:w="20" w:type="dxa"/>
            <w:vAlign w:val="bottom"/>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120"/>
              <w:spacing w:after="0"/>
              <w:rPr>
                <w:sz w:val="20"/>
                <w:szCs w:val="20"/>
                <w:color w:val="auto"/>
              </w:rPr>
            </w:pPr>
            <w:r>
              <w:rPr>
                <w:rFonts w:ascii="Arial" w:cs="Arial" w:eastAsia="Arial" w:hAnsi="Arial"/>
                <w:sz w:val="18"/>
                <w:szCs w:val="18"/>
                <w:color w:val="auto"/>
              </w:rPr>
              <w:t>Customer deposits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2,298</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2,185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0C0C0"/>
          </w:tcPr>
          <w:p>
            <w:pPr>
              <w:ind w:left="120"/>
              <w:spacing w:after="0"/>
              <w:rPr>
                <w:sz w:val="20"/>
                <w:szCs w:val="20"/>
                <w:color w:val="auto"/>
              </w:rPr>
            </w:pPr>
            <w:r>
              <w:rPr>
                <w:rFonts w:ascii="Arial" w:cs="Arial" w:eastAsia="Arial" w:hAnsi="Arial"/>
                <w:sz w:val="18"/>
                <w:szCs w:val="18"/>
                <w:color w:val="auto"/>
              </w:rPr>
              <w:t>Income taxes payable</w:t>
            </w:r>
          </w:p>
        </w:tc>
        <w:tc>
          <w:tcPr>
            <w:tcW w:w="240" w:type="dxa"/>
            <w:vAlign w:val="bottom"/>
            <w:shd w:val="clear" w:color="auto" w:fill="C0C0C0"/>
          </w:tcPr>
          <w:p>
            <w:pPr>
              <w:spacing w:after="0"/>
              <w:rPr>
                <w:sz w:val="18"/>
                <w:szCs w:val="18"/>
                <w:color w:val="auto"/>
              </w:rPr>
            </w:pPr>
          </w:p>
        </w:tc>
        <w:tc>
          <w:tcPr>
            <w:tcW w:w="180" w:type="dxa"/>
            <w:vAlign w:val="bottom"/>
            <w:shd w:val="clear" w:color="auto" w:fill="C0C0C0"/>
          </w:tcPr>
          <w:p>
            <w:pPr>
              <w:spacing w:after="0"/>
              <w:rPr>
                <w:sz w:val="18"/>
                <w:szCs w:val="18"/>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1,368</w:t>
            </w:r>
          </w:p>
        </w:tc>
        <w:tc>
          <w:tcPr>
            <w:tcW w:w="400" w:type="dxa"/>
            <w:vAlign w:val="bottom"/>
            <w:shd w:val="clear" w:color="auto" w:fill="C0C0C0"/>
          </w:tcPr>
          <w:p>
            <w:pPr>
              <w:spacing w:after="0"/>
              <w:rPr>
                <w:sz w:val="18"/>
                <w:szCs w:val="18"/>
                <w:color w:val="auto"/>
              </w:rPr>
            </w:pPr>
          </w:p>
        </w:tc>
        <w:tc>
          <w:tcPr>
            <w:tcW w:w="20" w:type="dxa"/>
            <w:vAlign w:val="bottom"/>
            <w:shd w:val="clear" w:color="auto" w:fill="C0C0C0"/>
          </w:tcPr>
          <w:p>
            <w:pPr>
              <w:spacing w:after="0"/>
              <w:rPr>
                <w:sz w:val="18"/>
                <w:szCs w:val="18"/>
                <w:color w:val="auto"/>
              </w:rPr>
            </w:pPr>
          </w:p>
        </w:tc>
        <w:tc>
          <w:tcPr>
            <w:tcW w:w="160" w:type="dxa"/>
            <w:vAlign w:val="bottom"/>
            <w:shd w:val="clear" w:color="auto" w:fill="C0C0C0"/>
          </w:tcPr>
          <w:p>
            <w:pPr>
              <w:spacing w:after="0"/>
              <w:rPr>
                <w:sz w:val="18"/>
                <w:szCs w:val="18"/>
                <w:color w:val="auto"/>
              </w:rPr>
            </w:pPr>
          </w:p>
        </w:tc>
        <w:tc>
          <w:tcPr>
            <w:tcW w:w="66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733</w:t>
            </w:r>
          </w:p>
        </w:tc>
        <w:tc>
          <w:tcPr>
            <w:tcW w:w="140" w:type="dxa"/>
            <w:vAlign w:val="bottom"/>
            <w:shd w:val="clear" w:color="auto" w:fill="C0C0C0"/>
          </w:tcPr>
          <w:p>
            <w:pPr>
              <w:spacing w:after="0"/>
              <w:rPr>
                <w:sz w:val="18"/>
                <w:szCs w:val="18"/>
                <w:color w:val="auto"/>
              </w:rPr>
            </w:pPr>
          </w:p>
        </w:tc>
        <w:tc>
          <w:tcPr>
            <w:tcW w:w="20" w:type="dxa"/>
            <w:vAlign w:val="bottom"/>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4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Total current liabilities</w:t>
            </w:r>
          </w:p>
        </w:tc>
        <w:tc>
          <w:tcPr>
            <w:tcW w:w="2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6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27,816</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24,194</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0C0C0"/>
          </w:tcPr>
          <w:p>
            <w:pPr>
              <w:spacing w:after="0"/>
              <w:rPr>
                <w:sz w:val="20"/>
                <w:szCs w:val="20"/>
                <w:color w:val="auto"/>
              </w:rPr>
            </w:pPr>
            <w:r>
              <w:rPr>
                <w:rFonts w:ascii="Arial" w:cs="Arial" w:eastAsia="Arial" w:hAnsi="Arial"/>
                <w:sz w:val="18"/>
                <w:szCs w:val="18"/>
                <w:color w:val="auto"/>
              </w:rPr>
              <w:t>Long-term debt, less current maturities</w:t>
            </w:r>
          </w:p>
        </w:tc>
        <w:tc>
          <w:tcPr>
            <w:tcW w:w="240" w:type="dxa"/>
            <w:vAlign w:val="bottom"/>
            <w:shd w:val="clear" w:color="auto" w:fill="C0C0C0"/>
          </w:tcPr>
          <w:p>
            <w:pPr>
              <w:spacing w:after="0"/>
              <w:rPr>
                <w:sz w:val="18"/>
                <w:szCs w:val="18"/>
                <w:color w:val="auto"/>
              </w:rPr>
            </w:pPr>
          </w:p>
        </w:tc>
        <w:tc>
          <w:tcPr>
            <w:tcW w:w="180" w:type="dxa"/>
            <w:vAlign w:val="bottom"/>
            <w:shd w:val="clear" w:color="auto" w:fill="C0C0C0"/>
          </w:tcPr>
          <w:p>
            <w:pPr>
              <w:spacing w:after="0"/>
              <w:rPr>
                <w:sz w:val="18"/>
                <w:szCs w:val="18"/>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5,926</w:t>
            </w:r>
          </w:p>
        </w:tc>
        <w:tc>
          <w:tcPr>
            <w:tcW w:w="400" w:type="dxa"/>
            <w:vAlign w:val="bottom"/>
            <w:shd w:val="clear" w:color="auto" w:fill="C0C0C0"/>
          </w:tcPr>
          <w:p>
            <w:pPr>
              <w:spacing w:after="0"/>
              <w:rPr>
                <w:sz w:val="18"/>
                <w:szCs w:val="18"/>
                <w:color w:val="auto"/>
              </w:rPr>
            </w:pPr>
          </w:p>
        </w:tc>
        <w:tc>
          <w:tcPr>
            <w:tcW w:w="20" w:type="dxa"/>
            <w:vAlign w:val="bottom"/>
            <w:shd w:val="clear" w:color="auto" w:fill="C0C0C0"/>
          </w:tcPr>
          <w:p>
            <w:pPr>
              <w:spacing w:after="0"/>
              <w:rPr>
                <w:sz w:val="18"/>
                <w:szCs w:val="18"/>
                <w:color w:val="auto"/>
              </w:rPr>
            </w:pPr>
          </w:p>
        </w:tc>
        <w:tc>
          <w:tcPr>
            <w:tcW w:w="160" w:type="dxa"/>
            <w:vAlign w:val="bottom"/>
            <w:shd w:val="clear" w:color="auto" w:fill="C0C0C0"/>
          </w:tcPr>
          <w:p>
            <w:pPr>
              <w:spacing w:after="0"/>
              <w:rPr>
                <w:sz w:val="18"/>
                <w:szCs w:val="18"/>
                <w:color w:val="auto"/>
              </w:rPr>
            </w:pPr>
          </w:p>
        </w:tc>
        <w:tc>
          <w:tcPr>
            <w:tcW w:w="66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9,574</w:t>
            </w:r>
          </w:p>
        </w:tc>
        <w:tc>
          <w:tcPr>
            <w:tcW w:w="140" w:type="dxa"/>
            <w:vAlign w:val="bottom"/>
            <w:shd w:val="clear" w:color="auto" w:fill="C0C0C0"/>
          </w:tcPr>
          <w:p>
            <w:pPr>
              <w:spacing w:after="0"/>
              <w:rPr>
                <w:sz w:val="18"/>
                <w:szCs w:val="18"/>
                <w:color w:val="auto"/>
              </w:rPr>
            </w:pPr>
          </w:p>
        </w:tc>
        <w:tc>
          <w:tcPr>
            <w:tcW w:w="20" w:type="dxa"/>
            <w:vAlign w:val="bottom"/>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Deferred income</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1,063</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711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0C0C0"/>
          </w:tcPr>
          <w:p>
            <w:pPr>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0C0C0"/>
          </w:tcPr>
          <w:p>
            <w:pPr>
              <w:spacing w:after="0"/>
              <w:rPr>
                <w:sz w:val="18"/>
                <w:szCs w:val="18"/>
                <w:color w:val="auto"/>
              </w:rPr>
            </w:pPr>
          </w:p>
        </w:tc>
        <w:tc>
          <w:tcPr>
            <w:tcW w:w="180" w:type="dxa"/>
            <w:vAlign w:val="bottom"/>
            <w:shd w:val="clear" w:color="auto" w:fill="C0C0C0"/>
          </w:tcPr>
          <w:p>
            <w:pPr>
              <w:spacing w:after="0"/>
              <w:rPr>
                <w:sz w:val="18"/>
                <w:szCs w:val="18"/>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1,203</w:t>
            </w:r>
          </w:p>
        </w:tc>
        <w:tc>
          <w:tcPr>
            <w:tcW w:w="400" w:type="dxa"/>
            <w:vAlign w:val="bottom"/>
            <w:shd w:val="clear" w:color="auto" w:fill="C0C0C0"/>
          </w:tcPr>
          <w:p>
            <w:pPr>
              <w:spacing w:after="0"/>
              <w:rPr>
                <w:sz w:val="18"/>
                <w:szCs w:val="18"/>
                <w:color w:val="auto"/>
              </w:rPr>
            </w:pPr>
          </w:p>
        </w:tc>
        <w:tc>
          <w:tcPr>
            <w:tcW w:w="20" w:type="dxa"/>
            <w:vAlign w:val="bottom"/>
            <w:shd w:val="clear" w:color="auto" w:fill="C0C0C0"/>
          </w:tcPr>
          <w:p>
            <w:pPr>
              <w:spacing w:after="0"/>
              <w:rPr>
                <w:sz w:val="18"/>
                <w:szCs w:val="18"/>
                <w:color w:val="auto"/>
              </w:rPr>
            </w:pPr>
          </w:p>
        </w:tc>
        <w:tc>
          <w:tcPr>
            <w:tcW w:w="160" w:type="dxa"/>
            <w:vAlign w:val="bottom"/>
            <w:shd w:val="clear" w:color="auto" w:fill="C0C0C0"/>
          </w:tcPr>
          <w:p>
            <w:pPr>
              <w:spacing w:after="0"/>
              <w:rPr>
                <w:sz w:val="18"/>
                <w:szCs w:val="18"/>
                <w:color w:val="auto"/>
              </w:rPr>
            </w:pPr>
          </w:p>
        </w:tc>
        <w:tc>
          <w:tcPr>
            <w:tcW w:w="66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1,282</w:t>
            </w:r>
          </w:p>
        </w:tc>
        <w:tc>
          <w:tcPr>
            <w:tcW w:w="140" w:type="dxa"/>
            <w:vAlign w:val="bottom"/>
            <w:shd w:val="clear" w:color="auto" w:fill="C0C0C0"/>
          </w:tcPr>
          <w:p>
            <w:pPr>
              <w:spacing w:after="0"/>
              <w:rPr>
                <w:sz w:val="18"/>
                <w:szCs w:val="18"/>
                <w:color w:val="auto"/>
              </w:rPr>
            </w:pPr>
          </w:p>
        </w:tc>
        <w:tc>
          <w:tcPr>
            <w:tcW w:w="20" w:type="dxa"/>
            <w:vAlign w:val="bottom"/>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8,192</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11,567</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TOTAL LIABILITIES</w:t>
            </w:r>
          </w:p>
        </w:tc>
        <w:tc>
          <w:tcPr>
            <w:tcW w:w="240" w:type="dxa"/>
            <w:vAlign w:val="bottom"/>
            <w:shd w:val="clear" w:color="auto" w:fill="C0C0C0"/>
          </w:tcPr>
          <w:p>
            <w:pPr>
              <w:spacing w:after="0"/>
              <w:rPr>
                <w:sz w:val="18"/>
                <w:szCs w:val="18"/>
                <w:color w:val="auto"/>
              </w:rPr>
            </w:pPr>
          </w:p>
        </w:tc>
        <w:tc>
          <w:tcPr>
            <w:tcW w:w="180" w:type="dxa"/>
            <w:vAlign w:val="bottom"/>
            <w:shd w:val="clear" w:color="auto" w:fill="C0C0C0"/>
          </w:tcPr>
          <w:p>
            <w:pPr>
              <w:spacing w:after="0"/>
              <w:rPr>
                <w:sz w:val="18"/>
                <w:szCs w:val="18"/>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36,008</w:t>
            </w:r>
          </w:p>
        </w:tc>
        <w:tc>
          <w:tcPr>
            <w:tcW w:w="400" w:type="dxa"/>
            <w:vAlign w:val="bottom"/>
            <w:shd w:val="clear" w:color="auto" w:fill="C0C0C0"/>
          </w:tcPr>
          <w:p>
            <w:pPr>
              <w:spacing w:after="0"/>
              <w:rPr>
                <w:sz w:val="18"/>
                <w:szCs w:val="18"/>
                <w:color w:val="auto"/>
              </w:rPr>
            </w:pPr>
          </w:p>
        </w:tc>
        <w:tc>
          <w:tcPr>
            <w:tcW w:w="20" w:type="dxa"/>
            <w:vAlign w:val="bottom"/>
            <w:shd w:val="clear" w:color="auto" w:fill="C0C0C0"/>
          </w:tcPr>
          <w:p>
            <w:pPr>
              <w:spacing w:after="0"/>
              <w:rPr>
                <w:sz w:val="18"/>
                <w:szCs w:val="18"/>
                <w:color w:val="auto"/>
              </w:rPr>
            </w:pPr>
          </w:p>
        </w:tc>
        <w:tc>
          <w:tcPr>
            <w:tcW w:w="160" w:type="dxa"/>
            <w:vAlign w:val="bottom"/>
            <w:shd w:val="clear" w:color="auto" w:fill="C0C0C0"/>
          </w:tcPr>
          <w:p>
            <w:pPr>
              <w:spacing w:after="0"/>
              <w:rPr>
                <w:sz w:val="18"/>
                <w:szCs w:val="18"/>
                <w:color w:val="auto"/>
              </w:rPr>
            </w:pPr>
          </w:p>
        </w:tc>
        <w:tc>
          <w:tcPr>
            <w:tcW w:w="66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35,761</w:t>
            </w:r>
          </w:p>
        </w:tc>
        <w:tc>
          <w:tcPr>
            <w:tcW w:w="140" w:type="dxa"/>
            <w:vAlign w:val="bottom"/>
            <w:shd w:val="clear" w:color="auto" w:fill="C0C0C0"/>
          </w:tcPr>
          <w:p>
            <w:pPr>
              <w:spacing w:after="0"/>
              <w:rPr>
                <w:sz w:val="18"/>
                <w:szCs w:val="18"/>
                <w:color w:val="auto"/>
              </w:rPr>
            </w:pPr>
          </w:p>
        </w:tc>
        <w:tc>
          <w:tcPr>
            <w:tcW w:w="20" w:type="dxa"/>
            <w:vAlign w:val="bottom"/>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5660" w:type="dxa"/>
            <w:vAlign w:val="bottom"/>
            <w:gridSpan w:val="2"/>
          </w:tcPr>
          <w:p>
            <w:pPr>
              <w:spacing w:after="0"/>
              <w:rPr>
                <w:sz w:val="20"/>
                <w:szCs w:val="20"/>
                <w:color w:val="auto"/>
              </w:rPr>
            </w:pPr>
            <w:r>
              <w:rPr>
                <w:rFonts w:ascii="Arial" w:cs="Arial" w:eastAsia="Arial" w:hAnsi="Arial"/>
                <w:sz w:val="18"/>
                <w:szCs w:val="18"/>
                <w:color w:val="auto"/>
              </w:rPr>
              <w:t>MINORITY INTEREST IN SUBSIDIARY</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94</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84</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66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5640" w:type="dxa"/>
            <w:vAlign w:val="bottom"/>
            <w:shd w:val="clear" w:color="auto" w:fill="C0C0C0"/>
          </w:tcPr>
          <w:p>
            <w:pPr>
              <w:spacing w:after="0"/>
              <w:rPr>
                <w:sz w:val="20"/>
                <w:szCs w:val="20"/>
                <w:color w:val="auto"/>
              </w:rPr>
            </w:pPr>
            <w:r>
              <w:rPr>
                <w:rFonts w:ascii="Arial" w:cs="Arial" w:eastAsia="Arial" w:hAnsi="Arial"/>
                <w:sz w:val="18"/>
                <w:szCs w:val="18"/>
                <w:color w:val="auto"/>
              </w:rPr>
              <w:t>SHAREHOLDERS’ EQUITY:</w:t>
            </w:r>
          </w:p>
        </w:tc>
        <w:tc>
          <w:tcPr>
            <w:tcW w:w="240" w:type="dxa"/>
            <w:vAlign w:val="bottom"/>
            <w:shd w:val="clear" w:color="auto" w:fill="C0C0C0"/>
          </w:tcPr>
          <w:p>
            <w:pPr>
              <w:spacing w:after="0"/>
              <w:rPr>
                <w:sz w:val="24"/>
                <w:szCs w:val="24"/>
                <w:color w:val="auto"/>
              </w:rPr>
            </w:pPr>
          </w:p>
        </w:tc>
        <w:tc>
          <w:tcPr>
            <w:tcW w:w="180" w:type="dxa"/>
            <w:vAlign w:val="bottom"/>
            <w:shd w:val="clear" w:color="auto" w:fill="C0C0C0"/>
          </w:tcPr>
          <w:p>
            <w:pPr>
              <w:spacing w:after="0"/>
              <w:rPr>
                <w:sz w:val="24"/>
                <w:szCs w:val="24"/>
                <w:color w:val="auto"/>
              </w:rPr>
            </w:pPr>
          </w:p>
        </w:tc>
        <w:tc>
          <w:tcPr>
            <w:tcW w:w="640" w:type="dxa"/>
            <w:vAlign w:val="bottom"/>
            <w:shd w:val="clear" w:color="auto" w:fill="C0C0C0"/>
          </w:tcPr>
          <w:p>
            <w:pPr>
              <w:spacing w:after="0"/>
              <w:rPr>
                <w:sz w:val="24"/>
                <w:szCs w:val="24"/>
                <w:color w:val="auto"/>
              </w:rPr>
            </w:pPr>
          </w:p>
        </w:tc>
        <w:tc>
          <w:tcPr>
            <w:tcW w:w="400" w:type="dxa"/>
            <w:vAlign w:val="bottom"/>
            <w:shd w:val="clear" w:color="auto" w:fill="C0C0C0"/>
          </w:tcPr>
          <w:p>
            <w:pPr>
              <w:spacing w:after="0"/>
              <w:rPr>
                <w:sz w:val="24"/>
                <w:szCs w:val="24"/>
                <w:color w:val="auto"/>
              </w:rPr>
            </w:pPr>
          </w:p>
        </w:tc>
        <w:tc>
          <w:tcPr>
            <w:tcW w:w="20" w:type="dxa"/>
            <w:vAlign w:val="bottom"/>
            <w:shd w:val="clear" w:color="auto" w:fill="C0C0C0"/>
          </w:tcPr>
          <w:p>
            <w:pPr>
              <w:spacing w:after="0"/>
              <w:rPr>
                <w:sz w:val="24"/>
                <w:szCs w:val="24"/>
                <w:color w:val="auto"/>
              </w:rPr>
            </w:pPr>
          </w:p>
        </w:tc>
        <w:tc>
          <w:tcPr>
            <w:tcW w:w="160" w:type="dxa"/>
            <w:vAlign w:val="bottom"/>
            <w:shd w:val="clear" w:color="auto" w:fill="C0C0C0"/>
          </w:tcPr>
          <w:p>
            <w:pPr>
              <w:spacing w:after="0"/>
              <w:rPr>
                <w:sz w:val="24"/>
                <w:szCs w:val="24"/>
                <w:color w:val="auto"/>
              </w:rPr>
            </w:pPr>
          </w:p>
        </w:tc>
        <w:tc>
          <w:tcPr>
            <w:tcW w:w="640" w:type="dxa"/>
            <w:vAlign w:val="bottom"/>
            <w:shd w:val="clear" w:color="auto" w:fill="C0C0C0"/>
          </w:tcPr>
          <w:p>
            <w:pPr>
              <w:spacing w:after="0"/>
              <w:rPr>
                <w:sz w:val="24"/>
                <w:szCs w:val="24"/>
                <w:color w:val="auto"/>
              </w:rPr>
            </w:pPr>
          </w:p>
        </w:tc>
        <w:tc>
          <w:tcPr>
            <w:tcW w:w="20" w:type="dxa"/>
            <w:vAlign w:val="bottom"/>
            <w:shd w:val="clear" w:color="auto" w:fill="C0C0C0"/>
          </w:tcPr>
          <w:p>
            <w:pPr>
              <w:spacing w:after="0"/>
              <w:rPr>
                <w:sz w:val="24"/>
                <w:szCs w:val="24"/>
                <w:color w:val="auto"/>
              </w:rPr>
            </w:pPr>
          </w:p>
        </w:tc>
        <w:tc>
          <w:tcPr>
            <w:tcW w:w="140" w:type="dxa"/>
            <w:vAlign w:val="bottom"/>
            <w:shd w:val="clear" w:color="auto" w:fill="C0C0C0"/>
          </w:tcPr>
          <w:p>
            <w:pPr>
              <w:spacing w:after="0"/>
              <w:rPr>
                <w:sz w:val="24"/>
                <w:szCs w:val="24"/>
                <w:color w:val="auto"/>
              </w:rPr>
            </w:pPr>
          </w:p>
        </w:tc>
        <w:tc>
          <w:tcPr>
            <w:tcW w:w="20" w:type="dxa"/>
            <w:vAlign w:val="bottom"/>
            <w:shd w:val="clear" w:color="auto" w:fill="C0C0C0"/>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40" w:type="dxa"/>
            <w:vAlign w:val="bottom"/>
            <w:shd w:val="clear" w:color="auto" w:fill="C0C0C0"/>
          </w:tcPr>
          <w:p>
            <w:pPr>
              <w:ind w:left="120"/>
              <w:spacing w:after="0"/>
              <w:rPr>
                <w:sz w:val="20"/>
                <w:szCs w:val="20"/>
                <w:color w:val="auto"/>
              </w:rPr>
            </w:pPr>
            <w:r>
              <w:rPr>
                <w:rFonts w:ascii="Arial" w:cs="Arial" w:eastAsia="Arial" w:hAnsi="Arial"/>
                <w:sz w:val="18"/>
                <w:szCs w:val="18"/>
                <w:color w:val="auto"/>
              </w:rPr>
              <w:t>Common stock, no par value, authorized 60,000</w:t>
            </w:r>
          </w:p>
        </w:tc>
        <w:tc>
          <w:tcPr>
            <w:tcW w:w="240" w:type="dxa"/>
            <w:vAlign w:val="bottom"/>
            <w:shd w:val="clear" w:color="auto" w:fill="C0C0C0"/>
          </w:tcPr>
          <w:p>
            <w:pPr>
              <w:spacing w:after="0"/>
              <w:rPr>
                <w:sz w:val="18"/>
                <w:szCs w:val="18"/>
                <w:color w:val="auto"/>
              </w:rPr>
            </w:pPr>
          </w:p>
        </w:tc>
        <w:tc>
          <w:tcPr>
            <w:tcW w:w="180" w:type="dxa"/>
            <w:vAlign w:val="bottom"/>
            <w:shd w:val="clear" w:color="auto" w:fill="C0C0C0"/>
          </w:tcPr>
          <w:p>
            <w:pPr>
              <w:spacing w:after="0"/>
              <w:rPr>
                <w:sz w:val="18"/>
                <w:szCs w:val="18"/>
                <w:color w:val="auto"/>
              </w:rPr>
            </w:pPr>
          </w:p>
        </w:tc>
        <w:tc>
          <w:tcPr>
            <w:tcW w:w="640" w:type="dxa"/>
            <w:vAlign w:val="bottom"/>
            <w:shd w:val="clear" w:color="auto" w:fill="C0C0C0"/>
          </w:tcPr>
          <w:p>
            <w:pPr>
              <w:spacing w:after="0"/>
              <w:rPr>
                <w:sz w:val="18"/>
                <w:szCs w:val="18"/>
                <w:color w:val="auto"/>
              </w:rPr>
            </w:pPr>
          </w:p>
        </w:tc>
        <w:tc>
          <w:tcPr>
            <w:tcW w:w="400" w:type="dxa"/>
            <w:vAlign w:val="bottom"/>
            <w:shd w:val="clear" w:color="auto" w:fill="C0C0C0"/>
          </w:tcPr>
          <w:p>
            <w:pPr>
              <w:spacing w:after="0"/>
              <w:rPr>
                <w:sz w:val="18"/>
                <w:szCs w:val="18"/>
                <w:color w:val="auto"/>
              </w:rPr>
            </w:pPr>
          </w:p>
        </w:tc>
        <w:tc>
          <w:tcPr>
            <w:tcW w:w="20" w:type="dxa"/>
            <w:vAlign w:val="bottom"/>
            <w:shd w:val="clear" w:color="auto" w:fill="C0C0C0"/>
          </w:tcPr>
          <w:p>
            <w:pPr>
              <w:spacing w:after="0"/>
              <w:rPr>
                <w:sz w:val="18"/>
                <w:szCs w:val="18"/>
                <w:color w:val="auto"/>
              </w:rPr>
            </w:pPr>
          </w:p>
        </w:tc>
        <w:tc>
          <w:tcPr>
            <w:tcW w:w="160" w:type="dxa"/>
            <w:vAlign w:val="bottom"/>
            <w:shd w:val="clear" w:color="auto" w:fill="C0C0C0"/>
          </w:tcPr>
          <w:p>
            <w:pPr>
              <w:spacing w:after="0"/>
              <w:rPr>
                <w:sz w:val="18"/>
                <w:szCs w:val="18"/>
                <w:color w:val="auto"/>
              </w:rPr>
            </w:pPr>
          </w:p>
        </w:tc>
        <w:tc>
          <w:tcPr>
            <w:tcW w:w="640" w:type="dxa"/>
            <w:vAlign w:val="bottom"/>
            <w:shd w:val="clear" w:color="auto" w:fill="C0C0C0"/>
          </w:tcPr>
          <w:p>
            <w:pPr>
              <w:spacing w:after="0"/>
              <w:rPr>
                <w:sz w:val="18"/>
                <w:szCs w:val="18"/>
                <w:color w:val="auto"/>
              </w:rPr>
            </w:pPr>
          </w:p>
        </w:tc>
        <w:tc>
          <w:tcPr>
            <w:tcW w:w="20" w:type="dxa"/>
            <w:vAlign w:val="bottom"/>
            <w:shd w:val="clear" w:color="auto" w:fill="C0C0C0"/>
          </w:tcPr>
          <w:p>
            <w:pPr>
              <w:spacing w:after="0"/>
              <w:rPr>
                <w:sz w:val="18"/>
                <w:szCs w:val="18"/>
                <w:color w:val="auto"/>
              </w:rPr>
            </w:pPr>
          </w:p>
        </w:tc>
        <w:tc>
          <w:tcPr>
            <w:tcW w:w="140" w:type="dxa"/>
            <w:vAlign w:val="bottom"/>
            <w:shd w:val="clear" w:color="auto" w:fill="C0C0C0"/>
          </w:tcPr>
          <w:p>
            <w:pPr>
              <w:spacing w:after="0"/>
              <w:rPr>
                <w:sz w:val="18"/>
                <w:szCs w:val="18"/>
                <w:color w:val="auto"/>
              </w:rPr>
            </w:pPr>
          </w:p>
        </w:tc>
        <w:tc>
          <w:tcPr>
            <w:tcW w:w="20" w:type="dxa"/>
            <w:vAlign w:val="bottom"/>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0C0C0"/>
          </w:tcPr>
          <w:p>
            <w:pPr>
              <w:ind w:left="200"/>
              <w:spacing w:after="0"/>
              <w:rPr>
                <w:sz w:val="20"/>
                <w:szCs w:val="20"/>
                <w:color w:val="auto"/>
              </w:rPr>
            </w:pPr>
            <w:r>
              <w:rPr>
                <w:rFonts w:ascii="Arial" w:cs="Arial" w:eastAsia="Arial" w:hAnsi="Arial"/>
                <w:sz w:val="18"/>
                <w:szCs w:val="18"/>
                <w:color w:val="auto"/>
              </w:rPr>
              <w:t>shares, 18,439 and 18,271 shares issued at</w:t>
            </w:r>
          </w:p>
        </w:tc>
        <w:tc>
          <w:tcPr>
            <w:tcW w:w="240" w:type="dxa"/>
            <w:vAlign w:val="bottom"/>
            <w:shd w:val="clear" w:color="auto" w:fill="C0C0C0"/>
          </w:tcPr>
          <w:p>
            <w:pPr>
              <w:spacing w:after="0"/>
              <w:rPr>
                <w:sz w:val="18"/>
                <w:szCs w:val="18"/>
                <w:color w:val="auto"/>
              </w:rPr>
            </w:pPr>
          </w:p>
        </w:tc>
        <w:tc>
          <w:tcPr>
            <w:tcW w:w="180" w:type="dxa"/>
            <w:vAlign w:val="bottom"/>
            <w:shd w:val="clear" w:color="auto" w:fill="C0C0C0"/>
          </w:tcPr>
          <w:p>
            <w:pPr>
              <w:spacing w:after="0"/>
              <w:rPr>
                <w:sz w:val="18"/>
                <w:szCs w:val="18"/>
                <w:color w:val="auto"/>
              </w:rPr>
            </w:pPr>
          </w:p>
        </w:tc>
        <w:tc>
          <w:tcPr>
            <w:tcW w:w="640" w:type="dxa"/>
            <w:vAlign w:val="bottom"/>
            <w:shd w:val="clear" w:color="auto" w:fill="C0C0C0"/>
          </w:tcPr>
          <w:p>
            <w:pPr>
              <w:spacing w:after="0"/>
              <w:rPr>
                <w:sz w:val="18"/>
                <w:szCs w:val="18"/>
                <w:color w:val="auto"/>
              </w:rPr>
            </w:pPr>
          </w:p>
        </w:tc>
        <w:tc>
          <w:tcPr>
            <w:tcW w:w="400" w:type="dxa"/>
            <w:vAlign w:val="bottom"/>
            <w:shd w:val="clear" w:color="auto" w:fill="C0C0C0"/>
          </w:tcPr>
          <w:p>
            <w:pPr>
              <w:spacing w:after="0"/>
              <w:rPr>
                <w:sz w:val="18"/>
                <w:szCs w:val="18"/>
                <w:color w:val="auto"/>
              </w:rPr>
            </w:pPr>
          </w:p>
        </w:tc>
        <w:tc>
          <w:tcPr>
            <w:tcW w:w="20" w:type="dxa"/>
            <w:vAlign w:val="bottom"/>
            <w:shd w:val="clear" w:color="auto" w:fill="C0C0C0"/>
          </w:tcPr>
          <w:p>
            <w:pPr>
              <w:spacing w:after="0"/>
              <w:rPr>
                <w:sz w:val="18"/>
                <w:szCs w:val="18"/>
                <w:color w:val="auto"/>
              </w:rPr>
            </w:pPr>
          </w:p>
        </w:tc>
        <w:tc>
          <w:tcPr>
            <w:tcW w:w="160" w:type="dxa"/>
            <w:vAlign w:val="bottom"/>
            <w:shd w:val="clear" w:color="auto" w:fill="C0C0C0"/>
          </w:tcPr>
          <w:p>
            <w:pPr>
              <w:spacing w:after="0"/>
              <w:rPr>
                <w:sz w:val="18"/>
                <w:szCs w:val="18"/>
                <w:color w:val="auto"/>
              </w:rPr>
            </w:pPr>
          </w:p>
        </w:tc>
        <w:tc>
          <w:tcPr>
            <w:tcW w:w="640" w:type="dxa"/>
            <w:vAlign w:val="bottom"/>
            <w:shd w:val="clear" w:color="auto" w:fill="C0C0C0"/>
          </w:tcPr>
          <w:p>
            <w:pPr>
              <w:spacing w:after="0"/>
              <w:rPr>
                <w:sz w:val="18"/>
                <w:szCs w:val="18"/>
                <w:color w:val="auto"/>
              </w:rPr>
            </w:pPr>
          </w:p>
        </w:tc>
        <w:tc>
          <w:tcPr>
            <w:tcW w:w="20" w:type="dxa"/>
            <w:vAlign w:val="bottom"/>
            <w:shd w:val="clear" w:color="auto" w:fill="C0C0C0"/>
          </w:tcPr>
          <w:p>
            <w:pPr>
              <w:spacing w:after="0"/>
              <w:rPr>
                <w:sz w:val="18"/>
                <w:szCs w:val="18"/>
                <w:color w:val="auto"/>
              </w:rPr>
            </w:pPr>
          </w:p>
        </w:tc>
        <w:tc>
          <w:tcPr>
            <w:tcW w:w="140" w:type="dxa"/>
            <w:vAlign w:val="bottom"/>
            <w:shd w:val="clear" w:color="auto" w:fill="C0C0C0"/>
          </w:tcPr>
          <w:p>
            <w:pPr>
              <w:spacing w:after="0"/>
              <w:rPr>
                <w:sz w:val="18"/>
                <w:szCs w:val="18"/>
                <w:color w:val="auto"/>
              </w:rPr>
            </w:pPr>
          </w:p>
        </w:tc>
        <w:tc>
          <w:tcPr>
            <w:tcW w:w="20" w:type="dxa"/>
            <w:vAlign w:val="bottom"/>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0C0C0"/>
          </w:tcPr>
          <w:p>
            <w:pPr>
              <w:ind w:left="200"/>
              <w:spacing w:after="0"/>
              <w:rPr>
                <w:sz w:val="20"/>
                <w:szCs w:val="20"/>
                <w:color w:val="auto"/>
              </w:rPr>
            </w:pPr>
            <w:r>
              <w:rPr>
                <w:rFonts w:ascii="Arial" w:cs="Arial" w:eastAsia="Arial" w:hAnsi="Arial"/>
                <w:sz w:val="18"/>
                <w:szCs w:val="18"/>
                <w:color w:val="auto"/>
              </w:rPr>
              <w:t>February 1, 2003 and April 27, 2002</w:t>
            </w:r>
          </w:p>
        </w:tc>
        <w:tc>
          <w:tcPr>
            <w:tcW w:w="240" w:type="dxa"/>
            <w:vAlign w:val="bottom"/>
            <w:shd w:val="clear" w:color="auto" w:fill="C0C0C0"/>
          </w:tcPr>
          <w:p>
            <w:pPr>
              <w:spacing w:after="0"/>
              <w:rPr>
                <w:sz w:val="18"/>
                <w:szCs w:val="18"/>
                <w:color w:val="auto"/>
              </w:rPr>
            </w:pPr>
          </w:p>
        </w:tc>
        <w:tc>
          <w:tcPr>
            <w:tcW w:w="180" w:type="dxa"/>
            <w:vAlign w:val="bottom"/>
            <w:shd w:val="clear" w:color="auto" w:fill="C0C0C0"/>
          </w:tcPr>
          <w:p>
            <w:pPr>
              <w:spacing w:after="0"/>
              <w:rPr>
                <w:sz w:val="18"/>
                <w:szCs w:val="18"/>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13,974</w:t>
            </w:r>
          </w:p>
        </w:tc>
        <w:tc>
          <w:tcPr>
            <w:tcW w:w="400" w:type="dxa"/>
            <w:vAlign w:val="bottom"/>
            <w:shd w:val="clear" w:color="auto" w:fill="C0C0C0"/>
          </w:tcPr>
          <w:p>
            <w:pPr>
              <w:spacing w:after="0"/>
              <w:rPr>
                <w:sz w:val="18"/>
                <w:szCs w:val="18"/>
                <w:color w:val="auto"/>
              </w:rPr>
            </w:pPr>
          </w:p>
        </w:tc>
        <w:tc>
          <w:tcPr>
            <w:tcW w:w="20" w:type="dxa"/>
            <w:vAlign w:val="bottom"/>
            <w:shd w:val="clear" w:color="auto" w:fill="C0C0C0"/>
          </w:tcPr>
          <w:p>
            <w:pPr>
              <w:spacing w:after="0"/>
              <w:rPr>
                <w:sz w:val="18"/>
                <w:szCs w:val="18"/>
                <w:color w:val="auto"/>
              </w:rPr>
            </w:pPr>
          </w:p>
        </w:tc>
        <w:tc>
          <w:tcPr>
            <w:tcW w:w="160" w:type="dxa"/>
            <w:vAlign w:val="bottom"/>
            <w:shd w:val="clear" w:color="auto" w:fill="C0C0C0"/>
          </w:tcPr>
          <w:p>
            <w:pPr>
              <w:spacing w:after="0"/>
              <w:rPr>
                <w:sz w:val="18"/>
                <w:szCs w:val="18"/>
                <w:color w:val="auto"/>
              </w:rPr>
            </w:pPr>
          </w:p>
        </w:tc>
        <w:tc>
          <w:tcPr>
            <w:tcW w:w="66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13,533</w:t>
            </w:r>
          </w:p>
        </w:tc>
        <w:tc>
          <w:tcPr>
            <w:tcW w:w="140" w:type="dxa"/>
            <w:vAlign w:val="bottom"/>
            <w:shd w:val="clear" w:color="auto" w:fill="C0C0C0"/>
          </w:tcPr>
          <w:p>
            <w:pPr>
              <w:spacing w:after="0"/>
              <w:rPr>
                <w:sz w:val="18"/>
                <w:szCs w:val="18"/>
                <w:color w:val="auto"/>
              </w:rPr>
            </w:pPr>
          </w:p>
        </w:tc>
        <w:tc>
          <w:tcPr>
            <w:tcW w:w="20" w:type="dxa"/>
            <w:vAlign w:val="bottom"/>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12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649</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505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0C0C0"/>
          </w:tcPr>
          <w:p>
            <w:pPr>
              <w:ind w:left="120"/>
              <w:spacing w:after="0"/>
              <w:rPr>
                <w:sz w:val="20"/>
                <w:szCs w:val="20"/>
                <w:color w:val="auto"/>
              </w:rPr>
            </w:pPr>
            <w:r>
              <w:rPr>
                <w:rFonts w:ascii="Arial" w:cs="Arial" w:eastAsia="Arial" w:hAnsi="Arial"/>
                <w:sz w:val="18"/>
                <w:szCs w:val="18"/>
                <w:color w:val="auto"/>
              </w:rPr>
              <w:t>Retained earnings</w:t>
            </w:r>
          </w:p>
        </w:tc>
        <w:tc>
          <w:tcPr>
            <w:tcW w:w="240" w:type="dxa"/>
            <w:vAlign w:val="bottom"/>
            <w:shd w:val="clear" w:color="auto" w:fill="C0C0C0"/>
          </w:tcPr>
          <w:p>
            <w:pPr>
              <w:spacing w:after="0"/>
              <w:rPr>
                <w:sz w:val="18"/>
                <w:szCs w:val="18"/>
                <w:color w:val="auto"/>
              </w:rPr>
            </w:pPr>
          </w:p>
        </w:tc>
        <w:tc>
          <w:tcPr>
            <w:tcW w:w="180" w:type="dxa"/>
            <w:vAlign w:val="bottom"/>
            <w:shd w:val="clear" w:color="auto" w:fill="C0C0C0"/>
          </w:tcPr>
          <w:p>
            <w:pPr>
              <w:spacing w:after="0"/>
              <w:rPr>
                <w:sz w:val="18"/>
                <w:szCs w:val="18"/>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46,539</w:t>
            </w:r>
          </w:p>
        </w:tc>
        <w:tc>
          <w:tcPr>
            <w:tcW w:w="400" w:type="dxa"/>
            <w:vAlign w:val="bottom"/>
            <w:shd w:val="clear" w:color="auto" w:fill="C0C0C0"/>
          </w:tcPr>
          <w:p>
            <w:pPr>
              <w:spacing w:after="0"/>
              <w:rPr>
                <w:sz w:val="18"/>
                <w:szCs w:val="18"/>
                <w:color w:val="auto"/>
              </w:rPr>
            </w:pPr>
          </w:p>
        </w:tc>
        <w:tc>
          <w:tcPr>
            <w:tcW w:w="20" w:type="dxa"/>
            <w:vAlign w:val="bottom"/>
            <w:shd w:val="clear" w:color="auto" w:fill="C0C0C0"/>
          </w:tcPr>
          <w:p>
            <w:pPr>
              <w:spacing w:after="0"/>
              <w:rPr>
                <w:sz w:val="18"/>
                <w:szCs w:val="18"/>
                <w:color w:val="auto"/>
              </w:rPr>
            </w:pPr>
          </w:p>
        </w:tc>
        <w:tc>
          <w:tcPr>
            <w:tcW w:w="160" w:type="dxa"/>
            <w:vAlign w:val="bottom"/>
            <w:shd w:val="clear" w:color="auto" w:fill="C0C0C0"/>
          </w:tcPr>
          <w:p>
            <w:pPr>
              <w:spacing w:after="0"/>
              <w:rPr>
                <w:sz w:val="18"/>
                <w:szCs w:val="18"/>
                <w:color w:val="auto"/>
              </w:rPr>
            </w:pPr>
          </w:p>
        </w:tc>
        <w:tc>
          <w:tcPr>
            <w:tcW w:w="66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37,492</w:t>
            </w:r>
          </w:p>
        </w:tc>
        <w:tc>
          <w:tcPr>
            <w:tcW w:w="140" w:type="dxa"/>
            <w:vAlign w:val="bottom"/>
            <w:shd w:val="clear" w:color="auto" w:fill="C0C0C0"/>
          </w:tcPr>
          <w:p>
            <w:pPr>
              <w:spacing w:after="0"/>
              <w:rPr>
                <w:sz w:val="18"/>
                <w:szCs w:val="18"/>
                <w:color w:val="auto"/>
              </w:rPr>
            </w:pPr>
          </w:p>
        </w:tc>
        <w:tc>
          <w:tcPr>
            <w:tcW w:w="20" w:type="dxa"/>
            <w:vAlign w:val="bottom"/>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120"/>
              <w:spacing w:after="0"/>
              <w:rPr>
                <w:sz w:val="20"/>
                <w:szCs w:val="20"/>
                <w:color w:val="auto"/>
              </w:rPr>
            </w:pPr>
            <w:r>
              <w:rPr>
                <w:rFonts w:ascii="Arial" w:cs="Arial" w:eastAsia="Arial" w:hAnsi="Arial"/>
                <w:sz w:val="18"/>
                <w:szCs w:val="18"/>
                <w:color w:val="auto"/>
              </w:rPr>
              <w:t>Less cost of treasury stock, 20 shares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0C0C0"/>
          </w:tcPr>
          <w:p>
            <w:pPr>
              <w:ind w:left="120"/>
              <w:spacing w:after="0"/>
              <w:rPr>
                <w:sz w:val="20"/>
                <w:szCs w:val="20"/>
                <w:color w:val="auto"/>
              </w:rPr>
            </w:pPr>
            <w:r>
              <w:rPr>
                <w:rFonts w:ascii="Arial" w:cs="Arial" w:eastAsia="Arial" w:hAnsi="Arial"/>
                <w:sz w:val="18"/>
                <w:szCs w:val="18"/>
                <w:color w:val="auto"/>
              </w:rPr>
              <w:t>Accumulated other comprehensive income, foreign</w:t>
            </w:r>
          </w:p>
        </w:tc>
        <w:tc>
          <w:tcPr>
            <w:tcW w:w="240" w:type="dxa"/>
            <w:vAlign w:val="bottom"/>
            <w:shd w:val="clear" w:color="auto" w:fill="C0C0C0"/>
          </w:tcPr>
          <w:p>
            <w:pPr>
              <w:spacing w:after="0"/>
              <w:rPr>
                <w:sz w:val="18"/>
                <w:szCs w:val="18"/>
                <w:color w:val="auto"/>
              </w:rPr>
            </w:pPr>
          </w:p>
        </w:tc>
        <w:tc>
          <w:tcPr>
            <w:tcW w:w="180" w:type="dxa"/>
            <w:vAlign w:val="bottom"/>
            <w:shd w:val="clear" w:color="auto" w:fill="C0C0C0"/>
          </w:tcPr>
          <w:p>
            <w:pPr>
              <w:spacing w:after="0"/>
              <w:rPr>
                <w:sz w:val="18"/>
                <w:szCs w:val="18"/>
                <w:color w:val="auto"/>
              </w:rPr>
            </w:pPr>
          </w:p>
        </w:tc>
        <w:tc>
          <w:tcPr>
            <w:tcW w:w="640" w:type="dxa"/>
            <w:vAlign w:val="bottom"/>
            <w:shd w:val="clear" w:color="auto" w:fill="C0C0C0"/>
          </w:tcPr>
          <w:p>
            <w:pPr>
              <w:spacing w:after="0"/>
              <w:rPr>
                <w:sz w:val="18"/>
                <w:szCs w:val="18"/>
                <w:color w:val="auto"/>
              </w:rPr>
            </w:pPr>
          </w:p>
        </w:tc>
        <w:tc>
          <w:tcPr>
            <w:tcW w:w="400" w:type="dxa"/>
            <w:vAlign w:val="bottom"/>
            <w:shd w:val="clear" w:color="auto" w:fill="C0C0C0"/>
          </w:tcPr>
          <w:p>
            <w:pPr>
              <w:spacing w:after="0"/>
              <w:rPr>
                <w:sz w:val="18"/>
                <w:szCs w:val="18"/>
                <w:color w:val="auto"/>
              </w:rPr>
            </w:pPr>
          </w:p>
        </w:tc>
        <w:tc>
          <w:tcPr>
            <w:tcW w:w="20" w:type="dxa"/>
            <w:vAlign w:val="bottom"/>
            <w:shd w:val="clear" w:color="auto" w:fill="C0C0C0"/>
          </w:tcPr>
          <w:p>
            <w:pPr>
              <w:spacing w:after="0"/>
              <w:rPr>
                <w:sz w:val="18"/>
                <w:szCs w:val="18"/>
                <w:color w:val="auto"/>
              </w:rPr>
            </w:pPr>
          </w:p>
        </w:tc>
        <w:tc>
          <w:tcPr>
            <w:tcW w:w="160" w:type="dxa"/>
            <w:vAlign w:val="bottom"/>
            <w:shd w:val="clear" w:color="auto" w:fill="C0C0C0"/>
          </w:tcPr>
          <w:p>
            <w:pPr>
              <w:spacing w:after="0"/>
              <w:rPr>
                <w:sz w:val="18"/>
                <w:szCs w:val="18"/>
                <w:color w:val="auto"/>
              </w:rPr>
            </w:pPr>
          </w:p>
        </w:tc>
        <w:tc>
          <w:tcPr>
            <w:tcW w:w="640" w:type="dxa"/>
            <w:vAlign w:val="bottom"/>
            <w:shd w:val="clear" w:color="auto" w:fill="C0C0C0"/>
          </w:tcPr>
          <w:p>
            <w:pPr>
              <w:spacing w:after="0"/>
              <w:rPr>
                <w:sz w:val="18"/>
                <w:szCs w:val="18"/>
                <w:color w:val="auto"/>
              </w:rPr>
            </w:pPr>
          </w:p>
        </w:tc>
        <w:tc>
          <w:tcPr>
            <w:tcW w:w="20" w:type="dxa"/>
            <w:vAlign w:val="bottom"/>
            <w:shd w:val="clear" w:color="auto" w:fill="C0C0C0"/>
          </w:tcPr>
          <w:p>
            <w:pPr>
              <w:spacing w:after="0"/>
              <w:rPr>
                <w:sz w:val="18"/>
                <w:szCs w:val="18"/>
                <w:color w:val="auto"/>
              </w:rPr>
            </w:pPr>
          </w:p>
        </w:tc>
        <w:tc>
          <w:tcPr>
            <w:tcW w:w="140" w:type="dxa"/>
            <w:vAlign w:val="bottom"/>
            <w:shd w:val="clear" w:color="auto" w:fill="C0C0C0"/>
          </w:tcPr>
          <w:p>
            <w:pPr>
              <w:spacing w:after="0"/>
              <w:rPr>
                <w:sz w:val="18"/>
                <w:szCs w:val="18"/>
                <w:color w:val="auto"/>
              </w:rPr>
            </w:pPr>
          </w:p>
        </w:tc>
        <w:tc>
          <w:tcPr>
            <w:tcW w:w="20" w:type="dxa"/>
            <w:vAlign w:val="bottom"/>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0C0C0"/>
          </w:tcPr>
          <w:p>
            <w:pPr>
              <w:ind w:left="200"/>
              <w:spacing w:after="0"/>
              <w:rPr>
                <w:sz w:val="20"/>
                <w:szCs w:val="20"/>
                <w:color w:val="auto"/>
              </w:rPr>
            </w:pPr>
            <w:r>
              <w:rPr>
                <w:rFonts w:ascii="Arial" w:cs="Arial" w:eastAsia="Arial" w:hAnsi="Arial"/>
                <w:sz w:val="18"/>
                <w:szCs w:val="18"/>
                <w:color w:val="auto"/>
              </w:rPr>
              <w:t>currency translation adjustment</w:t>
            </w:r>
          </w:p>
        </w:tc>
        <w:tc>
          <w:tcPr>
            <w:tcW w:w="240" w:type="dxa"/>
            <w:vAlign w:val="bottom"/>
            <w:shd w:val="clear" w:color="auto" w:fill="C0C0C0"/>
          </w:tcPr>
          <w:p>
            <w:pPr>
              <w:spacing w:after="0"/>
              <w:rPr>
                <w:sz w:val="18"/>
                <w:szCs w:val="18"/>
                <w:color w:val="auto"/>
              </w:rPr>
            </w:pPr>
          </w:p>
        </w:tc>
        <w:tc>
          <w:tcPr>
            <w:tcW w:w="180" w:type="dxa"/>
            <w:vAlign w:val="bottom"/>
            <w:shd w:val="clear" w:color="auto" w:fill="C0C0C0"/>
          </w:tcPr>
          <w:p>
            <w:pPr>
              <w:spacing w:after="0"/>
              <w:rPr>
                <w:sz w:val="18"/>
                <w:szCs w:val="18"/>
                <w:color w:val="auto"/>
              </w:rPr>
            </w:pPr>
          </w:p>
        </w:tc>
        <w:tc>
          <w:tcPr>
            <w:tcW w:w="1040" w:type="dxa"/>
            <w:vAlign w:val="bottom"/>
            <w:gridSpan w:val="2"/>
            <w:shd w:val="clear" w:color="auto" w:fill="C0C0C0"/>
          </w:tcPr>
          <w:p>
            <w:pPr>
              <w:jc w:val="right"/>
              <w:ind w:right="340"/>
              <w:spacing w:after="0"/>
              <w:rPr>
                <w:sz w:val="20"/>
                <w:szCs w:val="20"/>
                <w:color w:val="auto"/>
              </w:rPr>
            </w:pPr>
            <w:r>
              <w:rPr>
                <w:rFonts w:ascii="Arial" w:cs="Arial" w:eastAsia="Arial" w:hAnsi="Arial"/>
                <w:sz w:val="18"/>
                <w:szCs w:val="18"/>
                <w:color w:val="auto"/>
              </w:rPr>
              <w:t>(7)</w:t>
            </w:r>
          </w:p>
        </w:tc>
        <w:tc>
          <w:tcPr>
            <w:tcW w:w="20" w:type="dxa"/>
            <w:vAlign w:val="bottom"/>
            <w:shd w:val="clear" w:color="auto" w:fill="C0C0C0"/>
          </w:tcPr>
          <w:p>
            <w:pPr>
              <w:spacing w:after="0"/>
              <w:rPr>
                <w:sz w:val="18"/>
                <w:szCs w:val="18"/>
                <w:color w:val="auto"/>
              </w:rPr>
            </w:pPr>
          </w:p>
        </w:tc>
        <w:tc>
          <w:tcPr>
            <w:tcW w:w="160" w:type="dxa"/>
            <w:vAlign w:val="bottom"/>
            <w:shd w:val="clear" w:color="auto" w:fill="C0C0C0"/>
          </w:tcPr>
          <w:p>
            <w:pPr>
              <w:spacing w:after="0"/>
              <w:rPr>
                <w:sz w:val="18"/>
                <w:szCs w:val="18"/>
                <w:color w:val="auto"/>
              </w:rPr>
            </w:pPr>
          </w:p>
        </w:tc>
        <w:tc>
          <w:tcPr>
            <w:tcW w:w="800" w:type="dxa"/>
            <w:vAlign w:val="bottom"/>
            <w:gridSpan w:val="3"/>
            <w:shd w:val="clear" w:color="auto" w:fill="C0C0C0"/>
          </w:tcPr>
          <w:p>
            <w:pPr>
              <w:jc w:val="right"/>
              <w:ind w:right="100"/>
              <w:spacing w:after="0"/>
              <w:rPr>
                <w:sz w:val="20"/>
                <w:szCs w:val="20"/>
                <w:color w:val="auto"/>
              </w:rPr>
            </w:pPr>
            <w:r>
              <w:rPr>
                <w:rFonts w:ascii="Arial" w:cs="Arial" w:eastAsia="Arial" w:hAnsi="Arial"/>
                <w:sz w:val="18"/>
                <w:szCs w:val="18"/>
                <w:color w:val="auto"/>
              </w:rPr>
              <w:t>(20)</w:t>
            </w:r>
          </w:p>
        </w:tc>
        <w:tc>
          <w:tcPr>
            <w:tcW w:w="20" w:type="dxa"/>
            <w:vAlign w:val="bottom"/>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SHAREHOLDERS’ EQUITY</w:t>
            </w:r>
          </w:p>
        </w:tc>
        <w:tc>
          <w:tcPr>
            <w:tcW w:w="2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66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61,146</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51,501</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420" w:type="dxa"/>
            <w:vAlign w:val="bottom"/>
            <w:gridSpan w:val="2"/>
            <w:shd w:val="clear" w:color="auto" w:fill="C0C0C0"/>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97,248</w:t>
            </w:r>
          </w:p>
        </w:tc>
        <w:tc>
          <w:tcPr>
            <w:tcW w:w="400" w:type="dxa"/>
            <w:vAlign w:val="bottom"/>
            <w:shd w:val="clear" w:color="auto" w:fill="C0C0C0"/>
          </w:tcPr>
          <w:p>
            <w:pPr>
              <w:spacing w:after="0"/>
              <w:rPr>
                <w:sz w:val="18"/>
                <w:szCs w:val="18"/>
                <w:color w:val="auto"/>
              </w:rPr>
            </w:pPr>
          </w:p>
        </w:tc>
        <w:tc>
          <w:tcPr>
            <w:tcW w:w="180" w:type="dxa"/>
            <w:vAlign w:val="bottom"/>
            <w:gridSpan w:val="2"/>
            <w:shd w:val="clear" w:color="auto" w:fill="C0C0C0"/>
          </w:tcPr>
          <w:p>
            <w:pPr>
              <w:jc w:val="right"/>
              <w:ind w:right="8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87,346</w:t>
            </w:r>
          </w:p>
        </w:tc>
        <w:tc>
          <w:tcPr>
            <w:tcW w:w="140" w:type="dxa"/>
            <w:vAlign w:val="bottom"/>
            <w:shd w:val="clear" w:color="auto" w:fill="C0C0C0"/>
          </w:tcPr>
          <w:p>
            <w:pPr>
              <w:spacing w:after="0"/>
              <w:rPr>
                <w:sz w:val="18"/>
                <w:szCs w:val="18"/>
                <w:color w:val="auto"/>
              </w:rPr>
            </w:pPr>
          </w:p>
        </w:tc>
        <w:tc>
          <w:tcPr>
            <w:tcW w:w="20" w:type="dxa"/>
            <w:vAlign w:val="bottom"/>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4256405</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0219"/>
          </w:cols>
          <w:pgMar w:left="240" w:top="194" w:right="1440" w:bottom="0" w:gutter="0" w:footer="0" w:header="0"/>
        </w:sectPr>
      </w:pPr>
    </w:p>
    <w:p>
      <w:pPr>
        <w:spacing w:after="0" w:line="340" w:lineRule="exact"/>
        <w:rPr>
          <w:sz w:val="20"/>
          <w:szCs w:val="20"/>
          <w:color w:val="auto"/>
        </w:rPr>
      </w:pPr>
    </w:p>
    <w:p>
      <w:pPr>
        <w:ind w:left="960"/>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ectPr>
          <w:pgSz w:w="11900" w:h="16838" w:orient="portrait"/>
          <w:cols w:equalWidth="0" w:num="1">
            <w:col w:w="10219"/>
          </w:cols>
          <w:pgMar w:left="240" w:top="194" w:right="1440" w:bottom="0" w:gutter="0" w:footer="0" w:header="0"/>
          <w:type w:val="continuous"/>
        </w:sectPr>
      </w:pPr>
    </w:p>
    <w:bookmarkStart w:id="3" w:name="page4"/>
    <w:bookmarkEnd w:id="3"/>
    <w:p>
      <w:pPr>
        <w:spacing w:after="0" w:line="62"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469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67"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DAKTRONICS, INC. AND SUBSIDIARIES</w:t>
      </w:r>
    </w:p>
    <w:p>
      <w:pPr>
        <w:spacing w:after="0" w:line="21"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0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80" w:type="dxa"/>
            <w:vAlign w:val="bottom"/>
            <w:gridSpan w:val="9"/>
          </w:tcPr>
          <w:p>
            <w:pPr>
              <w:ind w:left="3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February 1,</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January 26,</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February 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8"/>
              </w:rPr>
              <w:t>January 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ind w:left="96"/>
              <w:spacing w:after="0" w:line="149" w:lineRule="exact"/>
              <w:rPr>
                <w:sz w:val="20"/>
                <w:szCs w:val="20"/>
                <w:color w:val="auto"/>
              </w:rPr>
            </w:pPr>
            <w:r>
              <w:rPr>
                <w:rFonts w:ascii="Arial" w:cs="Arial" w:eastAsia="Arial" w:hAnsi="Arial"/>
                <w:sz w:val="14"/>
                <w:szCs w:val="14"/>
                <w:b w:val="1"/>
                <w:bCs w:val="1"/>
                <w:color w:val="auto"/>
                <w:w w:val="89"/>
              </w:rPr>
              <w:t>2003</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center"/>
              <w:ind w:left="55"/>
              <w:spacing w:after="0" w:line="149" w:lineRule="exact"/>
              <w:rPr>
                <w:sz w:val="20"/>
                <w:szCs w:val="20"/>
                <w:color w:val="auto"/>
              </w:rPr>
            </w:pPr>
            <w:r>
              <w:rPr>
                <w:rFonts w:ascii="Arial" w:cs="Arial" w:eastAsia="Arial" w:hAnsi="Arial"/>
                <w:sz w:val="14"/>
                <w:szCs w:val="14"/>
                <w:b w:val="1"/>
                <w:bCs w:val="1"/>
                <w:color w:val="auto"/>
                <w:w w:val="89"/>
              </w:rPr>
              <w:t>2002</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ind w:left="76"/>
              <w:spacing w:after="0" w:line="149" w:lineRule="exact"/>
              <w:rPr>
                <w:sz w:val="20"/>
                <w:szCs w:val="20"/>
                <w:color w:val="auto"/>
              </w:rPr>
            </w:pPr>
            <w:r>
              <w:rPr>
                <w:rFonts w:ascii="Arial" w:cs="Arial" w:eastAsia="Arial" w:hAnsi="Arial"/>
                <w:sz w:val="14"/>
                <w:szCs w:val="14"/>
                <w:b w:val="1"/>
                <w:bCs w:val="1"/>
                <w:color w:val="auto"/>
                <w:w w:val="83"/>
              </w:rPr>
              <w:t>2003</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2002</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4"/>
              </w:rPr>
              <w:t>(13 weeks)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4"/>
              </w:rPr>
              <w:t>(13 weeks)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(40 weeks)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4"/>
              </w:rPr>
              <w:t>(39 weeks)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Net sales</w:t>
            </w:r>
          </w:p>
        </w:tc>
        <w:tc>
          <w:tcPr>
            <w:tcW w:w="140" w:type="dxa"/>
            <w:vAlign w:val="bottom"/>
            <w:gridSpan w:val="2"/>
            <w:shd w:val="clear" w:color="auto" w:fill="C0C0C0"/>
          </w:tcPr>
          <w:p>
            <w:pPr>
              <w:jc w:val="right"/>
              <w:ind w:right="60"/>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38,220</w:t>
            </w:r>
          </w:p>
        </w:tc>
        <w:tc>
          <w:tcPr>
            <w:tcW w:w="320" w:type="dxa"/>
            <w:vAlign w:val="bottom"/>
            <w:shd w:val="clear" w:color="auto" w:fill="C0C0C0"/>
          </w:tcPr>
          <w:p>
            <w:pPr>
              <w:spacing w:after="0"/>
              <w:rPr>
                <w:sz w:val="18"/>
                <w:szCs w:val="18"/>
                <w:color w:val="auto"/>
              </w:rPr>
            </w:pPr>
          </w:p>
        </w:tc>
        <w:tc>
          <w:tcPr>
            <w:tcW w:w="180" w:type="dxa"/>
            <w:vAlign w:val="bottom"/>
            <w:gridSpan w:val="2"/>
            <w:shd w:val="clear" w:color="auto" w:fill="C0C0C0"/>
          </w:tcPr>
          <w:p>
            <w:pPr>
              <w:jc w:val="right"/>
              <w:ind w:right="8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30,863</w:t>
            </w:r>
          </w:p>
        </w:tc>
        <w:tc>
          <w:tcPr>
            <w:tcW w:w="280" w:type="dxa"/>
            <w:vAlign w:val="bottom"/>
            <w:shd w:val="clear" w:color="auto" w:fill="C0C0C0"/>
          </w:tcPr>
          <w:p>
            <w:pPr>
              <w:spacing w:after="0"/>
              <w:rPr>
                <w:sz w:val="18"/>
                <w:szCs w:val="18"/>
                <w:color w:val="auto"/>
              </w:rPr>
            </w:pPr>
          </w:p>
        </w:tc>
        <w:tc>
          <w:tcPr>
            <w:tcW w:w="200" w:type="dxa"/>
            <w:vAlign w:val="bottom"/>
            <w:gridSpan w:val="5"/>
            <w:shd w:val="clear" w:color="auto" w:fill="C0C0C0"/>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8"/>
              </w:rPr>
              <w:t>130,400</w:t>
            </w:r>
          </w:p>
        </w:tc>
        <w:tc>
          <w:tcPr>
            <w:tcW w:w="320" w:type="dxa"/>
            <w:vAlign w:val="bottom"/>
            <w:shd w:val="clear" w:color="auto" w:fill="C0C0C0"/>
          </w:tcPr>
          <w:p>
            <w:pPr>
              <w:spacing w:after="0"/>
              <w:rPr>
                <w:sz w:val="18"/>
                <w:szCs w:val="18"/>
                <w:color w:val="auto"/>
              </w:rPr>
            </w:pPr>
          </w:p>
        </w:tc>
        <w:tc>
          <w:tcPr>
            <w:tcW w:w="12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112,682</w:t>
            </w:r>
          </w:p>
        </w:tc>
        <w:tc>
          <w:tcPr>
            <w:tcW w:w="120" w:type="dxa"/>
            <w:vAlign w:val="bottom"/>
            <w:shd w:val="clear" w:color="auto" w:fill="C0C0C0"/>
          </w:tcPr>
          <w:p>
            <w:pPr>
              <w:spacing w:after="0"/>
              <w:rPr>
                <w:sz w:val="18"/>
                <w:szCs w:val="18"/>
                <w:color w:val="auto"/>
              </w:rPr>
            </w:pPr>
          </w:p>
        </w:tc>
        <w:tc>
          <w:tcPr>
            <w:tcW w:w="20" w:type="dxa"/>
            <w:vAlign w:val="bottom"/>
            <w:shd w:val="clear" w:color="auto" w:fill="C0C0C0"/>
          </w:tcPr>
          <w:p>
            <w:pPr>
              <w:spacing w:after="0"/>
              <w:rPr>
                <w:sz w:val="18"/>
                <w:szCs w:val="18"/>
                <w:color w:val="auto"/>
              </w:rPr>
            </w:pPr>
          </w:p>
        </w:tc>
        <w:tc>
          <w:tcPr>
            <w:tcW w:w="20" w:type="dxa"/>
            <w:vAlign w:val="bottom"/>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25,855</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21,817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86,925</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79,829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0C0C0"/>
          </w:tcPr>
          <w:p>
            <w:pPr>
              <w:ind w:left="160"/>
              <w:spacing w:after="0"/>
              <w:rPr>
                <w:sz w:val="20"/>
                <w:szCs w:val="20"/>
                <w:color w:val="auto"/>
              </w:rPr>
            </w:pPr>
            <w:r>
              <w:rPr>
                <w:rFonts w:ascii="Arial" w:cs="Arial" w:eastAsia="Arial" w:hAnsi="Arial"/>
                <w:sz w:val="18"/>
                <w:szCs w:val="18"/>
                <w:b w:val="1"/>
                <w:bCs w:val="1"/>
                <w:color w:val="auto"/>
              </w:rPr>
              <w:t>Gross profit</w:t>
            </w:r>
          </w:p>
        </w:tc>
        <w:tc>
          <w:tcPr>
            <w:tcW w:w="2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12,365</w:t>
            </w:r>
          </w:p>
        </w:tc>
        <w:tc>
          <w:tcPr>
            <w:tcW w:w="320" w:type="dxa"/>
            <w:vAlign w:val="bottom"/>
            <w:shd w:val="clear" w:color="auto" w:fill="C0C0C0"/>
          </w:tcPr>
          <w:p>
            <w:pPr>
              <w:spacing w:after="0"/>
              <w:rPr>
                <w:sz w:val="18"/>
                <w:szCs w:val="18"/>
                <w:color w:val="auto"/>
              </w:rPr>
            </w:pPr>
          </w:p>
        </w:tc>
        <w:tc>
          <w:tcPr>
            <w:tcW w:w="20" w:type="dxa"/>
            <w:vAlign w:val="bottom"/>
            <w:shd w:val="clear" w:color="auto" w:fill="C0C0C0"/>
          </w:tcPr>
          <w:p>
            <w:pPr>
              <w:spacing w:after="0"/>
              <w:rPr>
                <w:sz w:val="18"/>
                <w:szCs w:val="18"/>
                <w:color w:val="auto"/>
              </w:rPr>
            </w:pPr>
          </w:p>
        </w:tc>
        <w:tc>
          <w:tcPr>
            <w:tcW w:w="160" w:type="dxa"/>
            <w:vAlign w:val="bottom"/>
            <w:shd w:val="clear" w:color="auto" w:fill="C0C0C0"/>
          </w:tcPr>
          <w:p>
            <w:pPr>
              <w:spacing w:after="0"/>
              <w:rPr>
                <w:sz w:val="18"/>
                <w:szCs w:val="18"/>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9,046</w:t>
            </w:r>
          </w:p>
        </w:tc>
        <w:tc>
          <w:tcPr>
            <w:tcW w:w="280" w:type="dxa"/>
            <w:vAlign w:val="bottom"/>
            <w:shd w:val="clear" w:color="auto" w:fill="C0C0C0"/>
          </w:tcPr>
          <w:p>
            <w:pPr>
              <w:spacing w:after="0"/>
              <w:rPr>
                <w:sz w:val="18"/>
                <w:szCs w:val="18"/>
                <w:color w:val="auto"/>
              </w:rPr>
            </w:pPr>
          </w:p>
        </w:tc>
        <w:tc>
          <w:tcPr>
            <w:tcW w:w="20" w:type="dxa"/>
            <w:vAlign w:val="bottom"/>
            <w:shd w:val="clear" w:color="auto" w:fill="C0C0C0"/>
          </w:tcPr>
          <w:p>
            <w:pPr>
              <w:spacing w:after="0"/>
              <w:rPr>
                <w:sz w:val="18"/>
                <w:szCs w:val="18"/>
                <w:color w:val="auto"/>
              </w:rPr>
            </w:pPr>
          </w:p>
        </w:tc>
        <w:tc>
          <w:tcPr>
            <w:tcW w:w="20" w:type="dxa"/>
            <w:vAlign w:val="bottom"/>
            <w:shd w:val="clear" w:color="auto" w:fill="C0C0C0"/>
          </w:tcPr>
          <w:p>
            <w:pPr>
              <w:spacing w:after="0"/>
              <w:rPr>
                <w:sz w:val="18"/>
                <w:szCs w:val="18"/>
                <w:color w:val="auto"/>
              </w:rPr>
            </w:pPr>
          </w:p>
        </w:tc>
        <w:tc>
          <w:tcPr>
            <w:tcW w:w="20" w:type="dxa"/>
            <w:vAlign w:val="bottom"/>
            <w:shd w:val="clear" w:color="auto" w:fill="C0C0C0"/>
          </w:tcPr>
          <w:p>
            <w:pPr>
              <w:spacing w:after="0"/>
              <w:rPr>
                <w:sz w:val="18"/>
                <w:szCs w:val="18"/>
                <w:color w:val="auto"/>
              </w:rPr>
            </w:pPr>
          </w:p>
        </w:tc>
        <w:tc>
          <w:tcPr>
            <w:tcW w:w="2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43,475</w:t>
            </w:r>
          </w:p>
        </w:tc>
        <w:tc>
          <w:tcPr>
            <w:tcW w:w="320" w:type="dxa"/>
            <w:vAlign w:val="bottom"/>
            <w:shd w:val="clear" w:color="auto" w:fill="C0C0C0"/>
          </w:tcPr>
          <w:p>
            <w:pPr>
              <w:spacing w:after="0"/>
              <w:rPr>
                <w:sz w:val="18"/>
                <w:szCs w:val="18"/>
                <w:color w:val="auto"/>
              </w:rPr>
            </w:pPr>
          </w:p>
        </w:tc>
        <w:tc>
          <w:tcPr>
            <w:tcW w:w="2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72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32,853</w:t>
            </w:r>
          </w:p>
        </w:tc>
        <w:tc>
          <w:tcPr>
            <w:tcW w:w="120" w:type="dxa"/>
            <w:vAlign w:val="bottom"/>
            <w:shd w:val="clear" w:color="auto" w:fill="C0C0C0"/>
          </w:tcPr>
          <w:p>
            <w:pPr>
              <w:spacing w:after="0"/>
              <w:rPr>
                <w:sz w:val="18"/>
                <w:szCs w:val="18"/>
                <w:color w:val="auto"/>
              </w:rPr>
            </w:pPr>
          </w:p>
        </w:tc>
        <w:tc>
          <w:tcPr>
            <w:tcW w:w="20" w:type="dxa"/>
            <w:vAlign w:val="bottom"/>
            <w:shd w:val="clear" w:color="auto" w:fill="C0C0C0"/>
          </w:tcPr>
          <w:p>
            <w:pPr>
              <w:spacing w:after="0"/>
              <w:rPr>
                <w:sz w:val="18"/>
                <w:szCs w:val="18"/>
                <w:color w:val="auto"/>
              </w:rPr>
            </w:pPr>
          </w:p>
        </w:tc>
        <w:tc>
          <w:tcPr>
            <w:tcW w:w="20" w:type="dxa"/>
            <w:vAlign w:val="bottom"/>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700" w:type="dxa"/>
            <w:vAlign w:val="bottom"/>
            <w:gridSpan w:val="3"/>
            <w:vMerge w:val="restart"/>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370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gridSpan w:val="2"/>
          </w:tcPr>
          <w:p>
            <w:pPr>
              <w:ind w:left="80"/>
              <w:spacing w:after="0"/>
              <w:rPr>
                <w:sz w:val="20"/>
                <w:szCs w:val="20"/>
                <w:color w:val="auto"/>
              </w:rPr>
            </w:pPr>
            <w:r>
              <w:rPr>
                <w:rFonts w:ascii="Arial" w:cs="Arial" w:eastAsia="Arial" w:hAnsi="Arial"/>
                <w:sz w:val="18"/>
                <w:szCs w:val="18"/>
                <w:color w:val="auto"/>
              </w:rPr>
              <w:t>Selling</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5,868</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5,592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18,649</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16,408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80" w:type="dxa"/>
            <w:vAlign w:val="bottom"/>
            <w:gridSpan w:val="2"/>
            <w:shd w:val="clear" w:color="auto" w:fill="C0C0C0"/>
          </w:tcPr>
          <w:p>
            <w:pPr>
              <w:ind w:left="80"/>
              <w:spacing w:after="0"/>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1,824</w:t>
            </w:r>
          </w:p>
        </w:tc>
        <w:tc>
          <w:tcPr>
            <w:tcW w:w="320" w:type="dxa"/>
            <w:vAlign w:val="bottom"/>
            <w:shd w:val="clear" w:color="auto" w:fill="C0C0C0"/>
          </w:tcPr>
          <w:p>
            <w:pPr>
              <w:spacing w:after="0"/>
              <w:rPr>
                <w:sz w:val="18"/>
                <w:szCs w:val="18"/>
                <w:color w:val="auto"/>
              </w:rPr>
            </w:pPr>
          </w:p>
        </w:tc>
        <w:tc>
          <w:tcPr>
            <w:tcW w:w="20" w:type="dxa"/>
            <w:vAlign w:val="bottom"/>
            <w:shd w:val="clear" w:color="auto" w:fill="C0C0C0"/>
          </w:tcPr>
          <w:p>
            <w:pPr>
              <w:spacing w:after="0"/>
              <w:rPr>
                <w:sz w:val="18"/>
                <w:szCs w:val="18"/>
                <w:color w:val="auto"/>
              </w:rPr>
            </w:pPr>
          </w:p>
        </w:tc>
        <w:tc>
          <w:tcPr>
            <w:tcW w:w="160" w:type="dxa"/>
            <w:vAlign w:val="bottom"/>
            <w:shd w:val="clear" w:color="auto" w:fill="C0C0C0"/>
          </w:tcPr>
          <w:p>
            <w:pPr>
              <w:spacing w:after="0"/>
              <w:rPr>
                <w:sz w:val="18"/>
                <w:szCs w:val="18"/>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1,744</w:t>
            </w:r>
          </w:p>
        </w:tc>
        <w:tc>
          <w:tcPr>
            <w:tcW w:w="280" w:type="dxa"/>
            <w:vAlign w:val="bottom"/>
            <w:shd w:val="clear" w:color="auto" w:fill="C0C0C0"/>
          </w:tcPr>
          <w:p>
            <w:pPr>
              <w:spacing w:after="0"/>
              <w:rPr>
                <w:sz w:val="18"/>
                <w:szCs w:val="18"/>
                <w:color w:val="auto"/>
              </w:rPr>
            </w:pPr>
          </w:p>
        </w:tc>
        <w:tc>
          <w:tcPr>
            <w:tcW w:w="20" w:type="dxa"/>
            <w:vAlign w:val="bottom"/>
            <w:shd w:val="clear" w:color="auto" w:fill="C0C0C0"/>
          </w:tcPr>
          <w:p>
            <w:pPr>
              <w:spacing w:after="0"/>
              <w:rPr>
                <w:sz w:val="18"/>
                <w:szCs w:val="18"/>
                <w:color w:val="auto"/>
              </w:rPr>
            </w:pPr>
          </w:p>
        </w:tc>
        <w:tc>
          <w:tcPr>
            <w:tcW w:w="20" w:type="dxa"/>
            <w:vAlign w:val="bottom"/>
            <w:shd w:val="clear" w:color="auto" w:fill="C0C0C0"/>
          </w:tcPr>
          <w:p>
            <w:pPr>
              <w:spacing w:after="0"/>
              <w:rPr>
                <w:sz w:val="18"/>
                <w:szCs w:val="18"/>
                <w:color w:val="auto"/>
              </w:rPr>
            </w:pPr>
          </w:p>
        </w:tc>
        <w:tc>
          <w:tcPr>
            <w:tcW w:w="20" w:type="dxa"/>
            <w:vAlign w:val="bottom"/>
            <w:shd w:val="clear" w:color="auto" w:fill="C0C0C0"/>
          </w:tcPr>
          <w:p>
            <w:pPr>
              <w:spacing w:after="0"/>
              <w:rPr>
                <w:sz w:val="18"/>
                <w:szCs w:val="18"/>
                <w:color w:val="auto"/>
              </w:rPr>
            </w:pPr>
          </w:p>
        </w:tc>
        <w:tc>
          <w:tcPr>
            <w:tcW w:w="2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5,159</w:t>
            </w:r>
          </w:p>
        </w:tc>
        <w:tc>
          <w:tcPr>
            <w:tcW w:w="320" w:type="dxa"/>
            <w:vAlign w:val="bottom"/>
            <w:shd w:val="clear" w:color="auto" w:fill="C0C0C0"/>
          </w:tcPr>
          <w:p>
            <w:pPr>
              <w:spacing w:after="0"/>
              <w:rPr>
                <w:sz w:val="18"/>
                <w:szCs w:val="18"/>
                <w:color w:val="auto"/>
              </w:rPr>
            </w:pPr>
          </w:p>
        </w:tc>
        <w:tc>
          <w:tcPr>
            <w:tcW w:w="2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72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5,082</w:t>
            </w:r>
          </w:p>
        </w:tc>
        <w:tc>
          <w:tcPr>
            <w:tcW w:w="120" w:type="dxa"/>
            <w:vAlign w:val="bottom"/>
            <w:shd w:val="clear" w:color="auto" w:fill="C0C0C0"/>
          </w:tcPr>
          <w:p>
            <w:pPr>
              <w:spacing w:after="0"/>
              <w:rPr>
                <w:sz w:val="18"/>
                <w:szCs w:val="18"/>
                <w:color w:val="auto"/>
              </w:rPr>
            </w:pPr>
          </w:p>
        </w:tc>
        <w:tc>
          <w:tcPr>
            <w:tcW w:w="20" w:type="dxa"/>
            <w:vAlign w:val="bottom"/>
            <w:shd w:val="clear" w:color="auto" w:fill="C0C0C0"/>
          </w:tcPr>
          <w:p>
            <w:pPr>
              <w:spacing w:after="0"/>
              <w:rPr>
                <w:sz w:val="18"/>
                <w:szCs w:val="18"/>
                <w:color w:val="auto"/>
              </w:rPr>
            </w:pPr>
          </w:p>
        </w:tc>
        <w:tc>
          <w:tcPr>
            <w:tcW w:w="20" w:type="dxa"/>
            <w:vAlign w:val="bottom"/>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80" w:type="dxa"/>
            <w:vAlign w:val="bottom"/>
            <w:gridSpan w:val="2"/>
          </w:tcPr>
          <w:p>
            <w:pPr>
              <w:ind w:left="80"/>
              <w:spacing w:after="0"/>
              <w:rPr>
                <w:sz w:val="20"/>
                <w:szCs w:val="20"/>
                <w:color w:val="auto"/>
              </w:rPr>
            </w:pPr>
            <w:r>
              <w:rPr>
                <w:rFonts w:ascii="Arial" w:cs="Arial" w:eastAsia="Arial" w:hAnsi="Arial"/>
                <w:sz w:val="18"/>
                <w:szCs w:val="18"/>
                <w:color w:val="auto"/>
              </w:rPr>
              <w:t>Product design and development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1,534</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1,890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5,086</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5,312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0C0C0"/>
          </w:tcPr>
          <w:p>
            <w:pPr>
              <w:spacing w:after="0"/>
              <w:rPr>
                <w:sz w:val="18"/>
                <w:szCs w:val="18"/>
                <w:color w:val="auto"/>
              </w:rPr>
            </w:pPr>
          </w:p>
        </w:tc>
        <w:tc>
          <w:tcPr>
            <w:tcW w:w="20" w:type="dxa"/>
            <w:vAlign w:val="bottom"/>
            <w:shd w:val="clear" w:color="auto" w:fill="C0C0C0"/>
          </w:tcPr>
          <w:p>
            <w:pPr>
              <w:spacing w:after="0"/>
              <w:rPr>
                <w:sz w:val="18"/>
                <w:szCs w:val="18"/>
                <w:color w:val="auto"/>
              </w:rPr>
            </w:pPr>
          </w:p>
        </w:tc>
        <w:tc>
          <w:tcPr>
            <w:tcW w:w="2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9,226</w:t>
            </w:r>
          </w:p>
        </w:tc>
        <w:tc>
          <w:tcPr>
            <w:tcW w:w="320" w:type="dxa"/>
            <w:vAlign w:val="bottom"/>
            <w:shd w:val="clear" w:color="auto" w:fill="C0C0C0"/>
          </w:tcPr>
          <w:p>
            <w:pPr>
              <w:spacing w:after="0"/>
              <w:rPr>
                <w:sz w:val="18"/>
                <w:szCs w:val="18"/>
                <w:color w:val="auto"/>
              </w:rPr>
            </w:pPr>
          </w:p>
        </w:tc>
        <w:tc>
          <w:tcPr>
            <w:tcW w:w="20" w:type="dxa"/>
            <w:vAlign w:val="bottom"/>
            <w:shd w:val="clear" w:color="auto" w:fill="C0C0C0"/>
          </w:tcPr>
          <w:p>
            <w:pPr>
              <w:spacing w:after="0"/>
              <w:rPr>
                <w:sz w:val="18"/>
                <w:szCs w:val="18"/>
                <w:color w:val="auto"/>
              </w:rPr>
            </w:pPr>
          </w:p>
        </w:tc>
        <w:tc>
          <w:tcPr>
            <w:tcW w:w="160" w:type="dxa"/>
            <w:vAlign w:val="bottom"/>
            <w:shd w:val="clear" w:color="auto" w:fill="C0C0C0"/>
          </w:tcPr>
          <w:p>
            <w:pPr>
              <w:spacing w:after="0"/>
              <w:rPr>
                <w:sz w:val="18"/>
                <w:szCs w:val="18"/>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9,226</w:t>
            </w:r>
          </w:p>
        </w:tc>
        <w:tc>
          <w:tcPr>
            <w:tcW w:w="280" w:type="dxa"/>
            <w:vAlign w:val="bottom"/>
            <w:shd w:val="clear" w:color="auto" w:fill="C0C0C0"/>
          </w:tcPr>
          <w:p>
            <w:pPr>
              <w:spacing w:after="0"/>
              <w:rPr>
                <w:sz w:val="18"/>
                <w:szCs w:val="18"/>
                <w:color w:val="auto"/>
              </w:rPr>
            </w:pPr>
          </w:p>
        </w:tc>
        <w:tc>
          <w:tcPr>
            <w:tcW w:w="20" w:type="dxa"/>
            <w:vAlign w:val="bottom"/>
            <w:shd w:val="clear" w:color="auto" w:fill="C0C0C0"/>
          </w:tcPr>
          <w:p>
            <w:pPr>
              <w:spacing w:after="0"/>
              <w:rPr>
                <w:sz w:val="18"/>
                <w:szCs w:val="18"/>
                <w:color w:val="auto"/>
              </w:rPr>
            </w:pPr>
          </w:p>
        </w:tc>
        <w:tc>
          <w:tcPr>
            <w:tcW w:w="20" w:type="dxa"/>
            <w:vAlign w:val="bottom"/>
            <w:shd w:val="clear" w:color="auto" w:fill="C0C0C0"/>
          </w:tcPr>
          <w:p>
            <w:pPr>
              <w:spacing w:after="0"/>
              <w:rPr>
                <w:sz w:val="18"/>
                <w:szCs w:val="18"/>
                <w:color w:val="auto"/>
              </w:rPr>
            </w:pPr>
          </w:p>
        </w:tc>
        <w:tc>
          <w:tcPr>
            <w:tcW w:w="20" w:type="dxa"/>
            <w:vAlign w:val="bottom"/>
            <w:shd w:val="clear" w:color="auto" w:fill="C0C0C0"/>
          </w:tcPr>
          <w:p>
            <w:pPr>
              <w:spacing w:after="0"/>
              <w:rPr>
                <w:sz w:val="18"/>
                <w:szCs w:val="18"/>
                <w:color w:val="auto"/>
              </w:rPr>
            </w:pPr>
          </w:p>
        </w:tc>
        <w:tc>
          <w:tcPr>
            <w:tcW w:w="2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28,894</w:t>
            </w:r>
          </w:p>
        </w:tc>
        <w:tc>
          <w:tcPr>
            <w:tcW w:w="320" w:type="dxa"/>
            <w:vAlign w:val="bottom"/>
            <w:shd w:val="clear" w:color="auto" w:fill="C0C0C0"/>
          </w:tcPr>
          <w:p>
            <w:pPr>
              <w:spacing w:after="0"/>
              <w:rPr>
                <w:sz w:val="18"/>
                <w:szCs w:val="18"/>
                <w:color w:val="auto"/>
              </w:rPr>
            </w:pPr>
          </w:p>
        </w:tc>
        <w:tc>
          <w:tcPr>
            <w:tcW w:w="2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72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26,804</w:t>
            </w:r>
          </w:p>
        </w:tc>
        <w:tc>
          <w:tcPr>
            <w:tcW w:w="120" w:type="dxa"/>
            <w:vAlign w:val="bottom"/>
            <w:shd w:val="clear" w:color="auto" w:fill="C0C0C0"/>
          </w:tcPr>
          <w:p>
            <w:pPr>
              <w:spacing w:after="0"/>
              <w:rPr>
                <w:sz w:val="18"/>
                <w:szCs w:val="18"/>
                <w:color w:val="auto"/>
              </w:rPr>
            </w:pPr>
          </w:p>
        </w:tc>
        <w:tc>
          <w:tcPr>
            <w:tcW w:w="20" w:type="dxa"/>
            <w:vAlign w:val="bottom"/>
            <w:shd w:val="clear" w:color="auto" w:fill="C0C0C0"/>
          </w:tcPr>
          <w:p>
            <w:pPr>
              <w:spacing w:after="0"/>
              <w:rPr>
                <w:sz w:val="18"/>
                <w:szCs w:val="18"/>
                <w:color w:val="auto"/>
              </w:rPr>
            </w:pPr>
          </w:p>
        </w:tc>
        <w:tc>
          <w:tcPr>
            <w:tcW w:w="20" w:type="dxa"/>
            <w:vAlign w:val="bottom"/>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8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Operating income</w:t>
            </w:r>
          </w:p>
        </w:tc>
        <w:tc>
          <w:tcPr>
            <w:tcW w:w="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36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3,139</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(180)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14,581</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6,049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3700" w:type="dxa"/>
            <w:vAlign w:val="bottom"/>
            <w:gridSpan w:val="3"/>
          </w:tcPr>
          <w:p>
            <w:pPr>
              <w:spacing w:after="0"/>
              <w:rPr>
                <w:sz w:val="20"/>
                <w:szCs w:val="20"/>
                <w:color w:val="auto"/>
              </w:rPr>
            </w:pPr>
            <w:r>
              <w:rPr>
                <w:rFonts w:ascii="Arial" w:cs="Arial" w:eastAsia="Arial" w:hAnsi="Arial"/>
                <w:sz w:val="18"/>
                <w:szCs w:val="18"/>
                <w:color w:val="auto"/>
              </w:rPr>
              <w:t>Nonoperating income (expense):</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80" w:type="dxa"/>
            <w:vAlign w:val="bottom"/>
            <w:gridSpan w:val="2"/>
            <w:shd w:val="clear" w:color="auto" w:fill="C0C0C0"/>
          </w:tcPr>
          <w:p>
            <w:pPr>
              <w:ind w:left="80"/>
              <w:spacing w:after="0"/>
              <w:rPr>
                <w:sz w:val="20"/>
                <w:szCs w:val="20"/>
                <w:color w:val="auto"/>
              </w:rPr>
            </w:pPr>
            <w:r>
              <w:rPr>
                <w:rFonts w:ascii="Arial" w:cs="Arial" w:eastAsia="Arial" w:hAnsi="Arial"/>
                <w:sz w:val="18"/>
                <w:szCs w:val="18"/>
                <w:color w:val="auto"/>
              </w:rPr>
              <w:t>Interest income</w:t>
            </w:r>
          </w:p>
        </w:tc>
        <w:tc>
          <w:tcPr>
            <w:tcW w:w="2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184</w:t>
            </w:r>
          </w:p>
        </w:tc>
        <w:tc>
          <w:tcPr>
            <w:tcW w:w="320" w:type="dxa"/>
            <w:vAlign w:val="bottom"/>
            <w:shd w:val="clear" w:color="auto" w:fill="C0C0C0"/>
          </w:tcPr>
          <w:p>
            <w:pPr>
              <w:spacing w:after="0"/>
              <w:rPr>
                <w:sz w:val="18"/>
                <w:szCs w:val="18"/>
                <w:color w:val="auto"/>
              </w:rPr>
            </w:pPr>
          </w:p>
        </w:tc>
        <w:tc>
          <w:tcPr>
            <w:tcW w:w="20" w:type="dxa"/>
            <w:vAlign w:val="bottom"/>
            <w:shd w:val="clear" w:color="auto" w:fill="C0C0C0"/>
          </w:tcPr>
          <w:p>
            <w:pPr>
              <w:spacing w:after="0"/>
              <w:rPr>
                <w:sz w:val="18"/>
                <w:szCs w:val="18"/>
                <w:color w:val="auto"/>
              </w:rPr>
            </w:pPr>
          </w:p>
        </w:tc>
        <w:tc>
          <w:tcPr>
            <w:tcW w:w="160" w:type="dxa"/>
            <w:vAlign w:val="bottom"/>
            <w:shd w:val="clear" w:color="auto" w:fill="C0C0C0"/>
          </w:tcPr>
          <w:p>
            <w:pPr>
              <w:spacing w:after="0"/>
              <w:rPr>
                <w:sz w:val="18"/>
                <w:szCs w:val="18"/>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201</w:t>
            </w:r>
          </w:p>
        </w:tc>
        <w:tc>
          <w:tcPr>
            <w:tcW w:w="280" w:type="dxa"/>
            <w:vAlign w:val="bottom"/>
            <w:shd w:val="clear" w:color="auto" w:fill="C0C0C0"/>
          </w:tcPr>
          <w:p>
            <w:pPr>
              <w:spacing w:after="0"/>
              <w:rPr>
                <w:sz w:val="18"/>
                <w:szCs w:val="18"/>
                <w:color w:val="auto"/>
              </w:rPr>
            </w:pPr>
          </w:p>
        </w:tc>
        <w:tc>
          <w:tcPr>
            <w:tcW w:w="20" w:type="dxa"/>
            <w:vAlign w:val="bottom"/>
            <w:shd w:val="clear" w:color="auto" w:fill="C0C0C0"/>
          </w:tcPr>
          <w:p>
            <w:pPr>
              <w:spacing w:after="0"/>
              <w:rPr>
                <w:sz w:val="18"/>
                <w:szCs w:val="18"/>
                <w:color w:val="auto"/>
              </w:rPr>
            </w:pPr>
          </w:p>
        </w:tc>
        <w:tc>
          <w:tcPr>
            <w:tcW w:w="20" w:type="dxa"/>
            <w:vAlign w:val="bottom"/>
            <w:shd w:val="clear" w:color="auto" w:fill="C0C0C0"/>
          </w:tcPr>
          <w:p>
            <w:pPr>
              <w:spacing w:after="0"/>
              <w:rPr>
                <w:sz w:val="18"/>
                <w:szCs w:val="18"/>
                <w:color w:val="auto"/>
              </w:rPr>
            </w:pPr>
          </w:p>
        </w:tc>
        <w:tc>
          <w:tcPr>
            <w:tcW w:w="20" w:type="dxa"/>
            <w:vAlign w:val="bottom"/>
            <w:shd w:val="clear" w:color="auto" w:fill="C0C0C0"/>
          </w:tcPr>
          <w:p>
            <w:pPr>
              <w:spacing w:after="0"/>
              <w:rPr>
                <w:sz w:val="18"/>
                <w:szCs w:val="18"/>
                <w:color w:val="auto"/>
              </w:rPr>
            </w:pPr>
          </w:p>
        </w:tc>
        <w:tc>
          <w:tcPr>
            <w:tcW w:w="2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516</w:t>
            </w:r>
          </w:p>
        </w:tc>
        <w:tc>
          <w:tcPr>
            <w:tcW w:w="320" w:type="dxa"/>
            <w:vAlign w:val="bottom"/>
            <w:shd w:val="clear" w:color="auto" w:fill="C0C0C0"/>
          </w:tcPr>
          <w:p>
            <w:pPr>
              <w:spacing w:after="0"/>
              <w:rPr>
                <w:sz w:val="18"/>
                <w:szCs w:val="18"/>
                <w:color w:val="auto"/>
              </w:rPr>
            </w:pPr>
          </w:p>
        </w:tc>
        <w:tc>
          <w:tcPr>
            <w:tcW w:w="2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72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565</w:t>
            </w:r>
          </w:p>
        </w:tc>
        <w:tc>
          <w:tcPr>
            <w:tcW w:w="120" w:type="dxa"/>
            <w:vAlign w:val="bottom"/>
            <w:shd w:val="clear" w:color="auto" w:fill="C0C0C0"/>
          </w:tcPr>
          <w:p>
            <w:pPr>
              <w:spacing w:after="0"/>
              <w:rPr>
                <w:sz w:val="18"/>
                <w:szCs w:val="18"/>
                <w:color w:val="auto"/>
              </w:rPr>
            </w:pPr>
          </w:p>
        </w:tc>
        <w:tc>
          <w:tcPr>
            <w:tcW w:w="20" w:type="dxa"/>
            <w:vAlign w:val="bottom"/>
            <w:shd w:val="clear" w:color="auto" w:fill="C0C0C0"/>
          </w:tcPr>
          <w:p>
            <w:pPr>
              <w:spacing w:after="0"/>
              <w:rPr>
                <w:sz w:val="18"/>
                <w:szCs w:val="18"/>
                <w:color w:val="auto"/>
              </w:rPr>
            </w:pPr>
          </w:p>
        </w:tc>
        <w:tc>
          <w:tcPr>
            <w:tcW w:w="20" w:type="dxa"/>
            <w:vAlign w:val="bottom"/>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ind w:left="80"/>
              <w:spacing w:after="0"/>
              <w:rPr>
                <w:sz w:val="20"/>
                <w:szCs w:val="20"/>
                <w:color w:val="auto"/>
              </w:rPr>
            </w:pPr>
            <w:r>
              <w:rPr>
                <w:rFonts w:ascii="Arial" w:cs="Arial" w:eastAsia="Arial" w:hAnsi="Arial"/>
                <w:sz w:val="18"/>
                <w:szCs w:val="18"/>
                <w:color w:val="auto"/>
              </w:rPr>
              <w:t>Interest expense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(195)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(361)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(675)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(1,204)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0C0C0"/>
          </w:tcPr>
          <w:p>
            <w:pPr>
              <w:ind w:left="80"/>
              <w:spacing w:after="0"/>
              <w:rPr>
                <w:sz w:val="20"/>
                <w:szCs w:val="20"/>
                <w:color w:val="auto"/>
              </w:rPr>
            </w:pPr>
            <w:r>
              <w:rPr>
                <w:rFonts w:ascii="Arial" w:cs="Arial" w:eastAsia="Arial" w:hAnsi="Arial"/>
                <w:sz w:val="18"/>
                <w:szCs w:val="18"/>
                <w:color w:val="auto"/>
              </w:rPr>
              <w:t>Other income (expense), net</w:t>
            </w:r>
          </w:p>
        </w:tc>
        <w:tc>
          <w:tcPr>
            <w:tcW w:w="2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58</w:t>
            </w:r>
          </w:p>
        </w:tc>
        <w:tc>
          <w:tcPr>
            <w:tcW w:w="320" w:type="dxa"/>
            <w:vAlign w:val="bottom"/>
            <w:shd w:val="clear" w:color="auto" w:fill="C0C0C0"/>
          </w:tcPr>
          <w:p>
            <w:pPr>
              <w:spacing w:after="0"/>
              <w:rPr>
                <w:sz w:val="18"/>
                <w:szCs w:val="18"/>
                <w:color w:val="auto"/>
              </w:rPr>
            </w:pPr>
          </w:p>
        </w:tc>
        <w:tc>
          <w:tcPr>
            <w:tcW w:w="20" w:type="dxa"/>
            <w:vAlign w:val="bottom"/>
            <w:shd w:val="clear" w:color="auto" w:fill="C0C0C0"/>
          </w:tcPr>
          <w:p>
            <w:pPr>
              <w:spacing w:after="0"/>
              <w:rPr>
                <w:sz w:val="18"/>
                <w:szCs w:val="18"/>
                <w:color w:val="auto"/>
              </w:rPr>
            </w:pPr>
          </w:p>
        </w:tc>
        <w:tc>
          <w:tcPr>
            <w:tcW w:w="160" w:type="dxa"/>
            <w:vAlign w:val="bottom"/>
            <w:shd w:val="clear" w:color="auto" w:fill="C0C0C0"/>
          </w:tcPr>
          <w:p>
            <w:pPr>
              <w:spacing w:after="0"/>
              <w:rPr>
                <w:sz w:val="18"/>
                <w:szCs w:val="18"/>
                <w:color w:val="auto"/>
              </w:rPr>
            </w:pPr>
          </w:p>
        </w:tc>
        <w:tc>
          <w:tcPr>
            <w:tcW w:w="940" w:type="dxa"/>
            <w:vAlign w:val="bottom"/>
            <w:gridSpan w:val="2"/>
            <w:shd w:val="clear" w:color="auto" w:fill="C0C0C0"/>
          </w:tcPr>
          <w:p>
            <w:pPr>
              <w:jc w:val="right"/>
              <w:ind w:right="220"/>
              <w:spacing w:after="0"/>
              <w:rPr>
                <w:sz w:val="20"/>
                <w:szCs w:val="20"/>
                <w:color w:val="auto"/>
              </w:rPr>
            </w:pPr>
            <w:r>
              <w:rPr>
                <w:rFonts w:ascii="Arial" w:cs="Arial" w:eastAsia="Arial" w:hAnsi="Arial"/>
                <w:sz w:val="18"/>
                <w:szCs w:val="18"/>
                <w:color w:val="auto"/>
              </w:rPr>
              <w:t>(111)</w:t>
            </w:r>
          </w:p>
        </w:tc>
        <w:tc>
          <w:tcPr>
            <w:tcW w:w="20" w:type="dxa"/>
            <w:vAlign w:val="bottom"/>
            <w:shd w:val="clear" w:color="auto" w:fill="C0C0C0"/>
          </w:tcPr>
          <w:p>
            <w:pPr>
              <w:spacing w:after="0"/>
              <w:rPr>
                <w:sz w:val="18"/>
                <w:szCs w:val="18"/>
                <w:color w:val="auto"/>
              </w:rPr>
            </w:pPr>
          </w:p>
        </w:tc>
        <w:tc>
          <w:tcPr>
            <w:tcW w:w="20" w:type="dxa"/>
            <w:vAlign w:val="bottom"/>
            <w:shd w:val="clear" w:color="auto" w:fill="C0C0C0"/>
          </w:tcPr>
          <w:p>
            <w:pPr>
              <w:spacing w:after="0"/>
              <w:rPr>
                <w:sz w:val="18"/>
                <w:szCs w:val="18"/>
                <w:color w:val="auto"/>
              </w:rPr>
            </w:pPr>
          </w:p>
        </w:tc>
        <w:tc>
          <w:tcPr>
            <w:tcW w:w="20" w:type="dxa"/>
            <w:vAlign w:val="bottom"/>
            <w:shd w:val="clear" w:color="auto" w:fill="C0C0C0"/>
          </w:tcPr>
          <w:p>
            <w:pPr>
              <w:spacing w:after="0"/>
              <w:rPr>
                <w:sz w:val="18"/>
                <w:szCs w:val="18"/>
                <w:color w:val="auto"/>
              </w:rPr>
            </w:pPr>
          </w:p>
        </w:tc>
        <w:tc>
          <w:tcPr>
            <w:tcW w:w="2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323</w:t>
            </w:r>
          </w:p>
        </w:tc>
        <w:tc>
          <w:tcPr>
            <w:tcW w:w="320" w:type="dxa"/>
            <w:vAlign w:val="bottom"/>
            <w:shd w:val="clear" w:color="auto" w:fill="C0C0C0"/>
          </w:tcPr>
          <w:p>
            <w:pPr>
              <w:spacing w:after="0"/>
              <w:rPr>
                <w:sz w:val="18"/>
                <w:szCs w:val="18"/>
                <w:color w:val="auto"/>
              </w:rPr>
            </w:pPr>
          </w:p>
        </w:tc>
        <w:tc>
          <w:tcPr>
            <w:tcW w:w="2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840" w:type="dxa"/>
            <w:vAlign w:val="bottom"/>
            <w:gridSpan w:val="3"/>
            <w:shd w:val="clear" w:color="auto" w:fill="C0C0C0"/>
          </w:tcPr>
          <w:p>
            <w:pPr>
              <w:jc w:val="right"/>
              <w:ind w:right="80"/>
              <w:spacing w:after="0"/>
              <w:rPr>
                <w:sz w:val="20"/>
                <w:szCs w:val="20"/>
                <w:color w:val="auto"/>
              </w:rPr>
            </w:pPr>
            <w:r>
              <w:rPr>
                <w:rFonts w:ascii="Arial" w:cs="Arial" w:eastAsia="Arial" w:hAnsi="Arial"/>
                <w:sz w:val="18"/>
                <w:szCs w:val="18"/>
                <w:color w:val="auto"/>
              </w:rPr>
              <w:t>(41)</w:t>
            </w:r>
          </w:p>
        </w:tc>
        <w:tc>
          <w:tcPr>
            <w:tcW w:w="20" w:type="dxa"/>
            <w:vAlign w:val="bottom"/>
            <w:shd w:val="clear" w:color="auto" w:fill="C0C0C0"/>
          </w:tcPr>
          <w:p>
            <w:pPr>
              <w:spacing w:after="0"/>
              <w:rPr>
                <w:sz w:val="18"/>
                <w:szCs w:val="18"/>
                <w:color w:val="auto"/>
              </w:rPr>
            </w:pPr>
          </w:p>
        </w:tc>
        <w:tc>
          <w:tcPr>
            <w:tcW w:w="20" w:type="dxa"/>
            <w:vAlign w:val="bottom"/>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8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Income (loss) before income</w:t>
            </w:r>
          </w:p>
        </w:tc>
        <w:tc>
          <w:tcPr>
            <w:tcW w:w="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36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680" w:type="dxa"/>
            <w:vAlign w:val="bottom"/>
            <w:gridSpan w:val="2"/>
          </w:tcPr>
          <w:p>
            <w:pPr>
              <w:ind w:left="260"/>
              <w:spacing w:after="0"/>
              <w:rPr>
                <w:sz w:val="20"/>
                <w:szCs w:val="20"/>
                <w:color w:val="auto"/>
              </w:rPr>
            </w:pPr>
            <w:r>
              <w:rPr>
                <w:rFonts w:ascii="Arial" w:cs="Arial" w:eastAsia="Arial" w:hAnsi="Arial"/>
                <w:sz w:val="18"/>
                <w:szCs w:val="18"/>
                <w:b w:val="1"/>
                <w:bCs w:val="1"/>
                <w:color w:val="auto"/>
              </w:rPr>
              <w:t>Taxes and minority interest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3,186</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(451)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14,745</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5,369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8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Income tax expense (benefit)</w:t>
            </w:r>
          </w:p>
        </w:tc>
        <w:tc>
          <w:tcPr>
            <w:tcW w:w="2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1,288</w:t>
            </w:r>
          </w:p>
        </w:tc>
        <w:tc>
          <w:tcPr>
            <w:tcW w:w="320" w:type="dxa"/>
            <w:vAlign w:val="bottom"/>
            <w:shd w:val="clear" w:color="auto" w:fill="C0C0C0"/>
          </w:tcPr>
          <w:p>
            <w:pPr>
              <w:spacing w:after="0"/>
              <w:rPr>
                <w:sz w:val="18"/>
                <w:szCs w:val="18"/>
                <w:color w:val="auto"/>
              </w:rPr>
            </w:pPr>
          </w:p>
        </w:tc>
        <w:tc>
          <w:tcPr>
            <w:tcW w:w="20" w:type="dxa"/>
            <w:vAlign w:val="bottom"/>
            <w:shd w:val="clear" w:color="auto" w:fill="C0C0C0"/>
          </w:tcPr>
          <w:p>
            <w:pPr>
              <w:spacing w:after="0"/>
              <w:rPr>
                <w:sz w:val="18"/>
                <w:szCs w:val="18"/>
                <w:color w:val="auto"/>
              </w:rPr>
            </w:pPr>
          </w:p>
        </w:tc>
        <w:tc>
          <w:tcPr>
            <w:tcW w:w="160" w:type="dxa"/>
            <w:vAlign w:val="bottom"/>
            <w:shd w:val="clear" w:color="auto" w:fill="C0C0C0"/>
          </w:tcPr>
          <w:p>
            <w:pPr>
              <w:spacing w:after="0"/>
              <w:rPr>
                <w:sz w:val="18"/>
                <w:szCs w:val="18"/>
                <w:color w:val="auto"/>
              </w:rPr>
            </w:pPr>
          </w:p>
        </w:tc>
        <w:tc>
          <w:tcPr>
            <w:tcW w:w="940" w:type="dxa"/>
            <w:vAlign w:val="bottom"/>
            <w:gridSpan w:val="2"/>
            <w:shd w:val="clear" w:color="auto" w:fill="C0C0C0"/>
          </w:tcPr>
          <w:p>
            <w:pPr>
              <w:jc w:val="right"/>
              <w:ind w:right="220"/>
              <w:spacing w:after="0"/>
              <w:rPr>
                <w:sz w:val="20"/>
                <w:szCs w:val="20"/>
                <w:color w:val="auto"/>
              </w:rPr>
            </w:pPr>
            <w:r>
              <w:rPr>
                <w:rFonts w:ascii="Arial" w:cs="Arial" w:eastAsia="Arial" w:hAnsi="Arial"/>
                <w:sz w:val="18"/>
                <w:szCs w:val="18"/>
                <w:color w:val="auto"/>
              </w:rPr>
              <w:t>(179)</w:t>
            </w:r>
          </w:p>
        </w:tc>
        <w:tc>
          <w:tcPr>
            <w:tcW w:w="20" w:type="dxa"/>
            <w:vAlign w:val="bottom"/>
            <w:shd w:val="clear" w:color="auto" w:fill="C0C0C0"/>
          </w:tcPr>
          <w:p>
            <w:pPr>
              <w:spacing w:after="0"/>
              <w:rPr>
                <w:sz w:val="18"/>
                <w:szCs w:val="18"/>
                <w:color w:val="auto"/>
              </w:rPr>
            </w:pPr>
          </w:p>
        </w:tc>
        <w:tc>
          <w:tcPr>
            <w:tcW w:w="20" w:type="dxa"/>
            <w:vAlign w:val="bottom"/>
            <w:shd w:val="clear" w:color="auto" w:fill="C0C0C0"/>
          </w:tcPr>
          <w:p>
            <w:pPr>
              <w:spacing w:after="0"/>
              <w:rPr>
                <w:sz w:val="18"/>
                <w:szCs w:val="18"/>
                <w:color w:val="auto"/>
              </w:rPr>
            </w:pPr>
          </w:p>
        </w:tc>
        <w:tc>
          <w:tcPr>
            <w:tcW w:w="20" w:type="dxa"/>
            <w:vAlign w:val="bottom"/>
            <w:shd w:val="clear" w:color="auto" w:fill="C0C0C0"/>
          </w:tcPr>
          <w:p>
            <w:pPr>
              <w:spacing w:after="0"/>
              <w:rPr>
                <w:sz w:val="18"/>
                <w:szCs w:val="18"/>
                <w:color w:val="auto"/>
              </w:rPr>
            </w:pPr>
          </w:p>
        </w:tc>
        <w:tc>
          <w:tcPr>
            <w:tcW w:w="2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5,688</w:t>
            </w:r>
          </w:p>
        </w:tc>
        <w:tc>
          <w:tcPr>
            <w:tcW w:w="320" w:type="dxa"/>
            <w:vAlign w:val="bottom"/>
            <w:shd w:val="clear" w:color="auto" w:fill="C0C0C0"/>
          </w:tcPr>
          <w:p>
            <w:pPr>
              <w:spacing w:after="0"/>
              <w:rPr>
                <w:sz w:val="18"/>
                <w:szCs w:val="18"/>
                <w:color w:val="auto"/>
              </w:rPr>
            </w:pPr>
          </w:p>
        </w:tc>
        <w:tc>
          <w:tcPr>
            <w:tcW w:w="2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72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2,023</w:t>
            </w:r>
          </w:p>
        </w:tc>
        <w:tc>
          <w:tcPr>
            <w:tcW w:w="120" w:type="dxa"/>
            <w:vAlign w:val="bottom"/>
            <w:shd w:val="clear" w:color="auto" w:fill="C0C0C0"/>
          </w:tcPr>
          <w:p>
            <w:pPr>
              <w:spacing w:after="0"/>
              <w:rPr>
                <w:sz w:val="18"/>
                <w:szCs w:val="18"/>
                <w:color w:val="auto"/>
              </w:rPr>
            </w:pPr>
          </w:p>
        </w:tc>
        <w:tc>
          <w:tcPr>
            <w:tcW w:w="20" w:type="dxa"/>
            <w:vAlign w:val="bottom"/>
            <w:shd w:val="clear" w:color="auto" w:fill="C0C0C0"/>
          </w:tcPr>
          <w:p>
            <w:pPr>
              <w:spacing w:after="0"/>
              <w:rPr>
                <w:sz w:val="18"/>
                <w:szCs w:val="18"/>
                <w:color w:val="auto"/>
              </w:rPr>
            </w:pPr>
          </w:p>
        </w:tc>
        <w:tc>
          <w:tcPr>
            <w:tcW w:w="20" w:type="dxa"/>
            <w:vAlign w:val="bottom"/>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8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Income (loss) before minority</w:t>
            </w:r>
          </w:p>
        </w:tc>
        <w:tc>
          <w:tcPr>
            <w:tcW w:w="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36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680" w:type="dxa"/>
            <w:vAlign w:val="bottom"/>
            <w:gridSpan w:val="2"/>
          </w:tcPr>
          <w:p>
            <w:pPr>
              <w:ind w:left="260"/>
              <w:spacing w:after="0"/>
              <w:rPr>
                <w:sz w:val="20"/>
                <w:szCs w:val="20"/>
                <w:color w:val="auto"/>
              </w:rPr>
            </w:pPr>
            <w:r>
              <w:rPr>
                <w:rFonts w:ascii="Arial" w:cs="Arial" w:eastAsia="Arial" w:hAnsi="Arial"/>
                <w:sz w:val="18"/>
                <w:szCs w:val="18"/>
                <w:b w:val="1"/>
                <w:bCs w:val="1"/>
                <w:color w:val="auto"/>
              </w:rPr>
              <w:t>interest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1,898</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(272)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9,057</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3,346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3680" w:type="dxa"/>
            <w:vAlign w:val="bottom"/>
            <w:gridSpan w:val="2"/>
          </w:tcPr>
          <w:p>
            <w:pPr>
              <w:ind w:left="80"/>
              <w:spacing w:after="0"/>
              <w:rPr>
                <w:sz w:val="20"/>
                <w:szCs w:val="20"/>
                <w:color w:val="auto"/>
              </w:rPr>
            </w:pPr>
            <w:r>
              <w:rPr>
                <w:rFonts w:ascii="Arial" w:cs="Arial" w:eastAsia="Arial" w:hAnsi="Arial"/>
                <w:sz w:val="18"/>
                <w:szCs w:val="18"/>
                <w:color w:val="auto"/>
              </w:rPr>
              <w:t>Minority interest in income of</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80" w:type="dxa"/>
            <w:vAlign w:val="bottom"/>
            <w:gridSpan w:val="2"/>
            <w:shd w:val="clear" w:color="auto" w:fill="C0C0C0"/>
          </w:tcPr>
          <w:p>
            <w:pPr>
              <w:ind w:left="160"/>
              <w:spacing w:after="0"/>
              <w:rPr>
                <w:sz w:val="20"/>
                <w:szCs w:val="20"/>
                <w:color w:val="auto"/>
              </w:rPr>
            </w:pPr>
            <w:r>
              <w:rPr>
                <w:rFonts w:ascii="Arial" w:cs="Arial" w:eastAsia="Arial" w:hAnsi="Arial"/>
                <w:sz w:val="18"/>
                <w:szCs w:val="18"/>
                <w:color w:val="auto"/>
              </w:rPr>
              <w:t>subsidiary</w:t>
            </w:r>
          </w:p>
        </w:tc>
        <w:tc>
          <w:tcPr>
            <w:tcW w:w="2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980" w:type="dxa"/>
            <w:vAlign w:val="bottom"/>
            <w:gridSpan w:val="2"/>
            <w:shd w:val="clear" w:color="auto" w:fill="C0C0C0"/>
          </w:tcPr>
          <w:p>
            <w:pPr>
              <w:jc w:val="right"/>
              <w:ind w:right="260"/>
              <w:spacing w:after="0"/>
              <w:rPr>
                <w:sz w:val="20"/>
                <w:szCs w:val="20"/>
                <w:color w:val="auto"/>
              </w:rPr>
            </w:pPr>
            <w:r>
              <w:rPr>
                <w:rFonts w:ascii="Arial" w:cs="Arial" w:eastAsia="Arial" w:hAnsi="Arial"/>
                <w:sz w:val="18"/>
                <w:szCs w:val="18"/>
                <w:color w:val="auto"/>
              </w:rPr>
              <w:t>(10)</w:t>
            </w:r>
          </w:p>
        </w:tc>
        <w:tc>
          <w:tcPr>
            <w:tcW w:w="20" w:type="dxa"/>
            <w:vAlign w:val="bottom"/>
            <w:shd w:val="clear" w:color="auto" w:fill="C0C0C0"/>
          </w:tcPr>
          <w:p>
            <w:pPr>
              <w:spacing w:after="0"/>
              <w:rPr>
                <w:sz w:val="18"/>
                <w:szCs w:val="18"/>
                <w:color w:val="auto"/>
              </w:rPr>
            </w:pPr>
          </w:p>
        </w:tc>
        <w:tc>
          <w:tcPr>
            <w:tcW w:w="160" w:type="dxa"/>
            <w:vAlign w:val="bottom"/>
            <w:shd w:val="clear" w:color="auto" w:fill="C0C0C0"/>
          </w:tcPr>
          <w:p>
            <w:pPr>
              <w:spacing w:after="0"/>
              <w:rPr>
                <w:sz w:val="18"/>
                <w:szCs w:val="18"/>
                <w:color w:val="auto"/>
              </w:rPr>
            </w:pPr>
          </w:p>
        </w:tc>
        <w:tc>
          <w:tcPr>
            <w:tcW w:w="940" w:type="dxa"/>
            <w:vAlign w:val="bottom"/>
            <w:gridSpan w:val="2"/>
            <w:shd w:val="clear" w:color="auto" w:fill="C0C0C0"/>
          </w:tcPr>
          <w:p>
            <w:pPr>
              <w:jc w:val="right"/>
              <w:ind w:right="220"/>
              <w:spacing w:after="0"/>
              <w:rPr>
                <w:sz w:val="20"/>
                <w:szCs w:val="20"/>
                <w:color w:val="auto"/>
              </w:rPr>
            </w:pPr>
            <w:r>
              <w:rPr>
                <w:rFonts w:ascii="Arial" w:cs="Arial" w:eastAsia="Arial" w:hAnsi="Arial"/>
                <w:sz w:val="18"/>
                <w:szCs w:val="18"/>
                <w:color w:val="auto"/>
              </w:rPr>
              <w:t>(21)</w:t>
            </w:r>
          </w:p>
        </w:tc>
        <w:tc>
          <w:tcPr>
            <w:tcW w:w="20" w:type="dxa"/>
            <w:vAlign w:val="bottom"/>
            <w:shd w:val="clear" w:color="auto" w:fill="C0C0C0"/>
          </w:tcPr>
          <w:p>
            <w:pPr>
              <w:spacing w:after="0"/>
              <w:rPr>
                <w:sz w:val="18"/>
                <w:szCs w:val="18"/>
                <w:color w:val="auto"/>
              </w:rPr>
            </w:pPr>
          </w:p>
        </w:tc>
        <w:tc>
          <w:tcPr>
            <w:tcW w:w="20" w:type="dxa"/>
            <w:vAlign w:val="bottom"/>
            <w:shd w:val="clear" w:color="auto" w:fill="C0C0C0"/>
          </w:tcPr>
          <w:p>
            <w:pPr>
              <w:spacing w:after="0"/>
              <w:rPr>
                <w:sz w:val="18"/>
                <w:szCs w:val="18"/>
                <w:color w:val="auto"/>
              </w:rPr>
            </w:pPr>
          </w:p>
        </w:tc>
        <w:tc>
          <w:tcPr>
            <w:tcW w:w="20" w:type="dxa"/>
            <w:vAlign w:val="bottom"/>
            <w:shd w:val="clear" w:color="auto" w:fill="C0C0C0"/>
          </w:tcPr>
          <w:p>
            <w:pPr>
              <w:spacing w:after="0"/>
              <w:rPr>
                <w:sz w:val="18"/>
                <w:szCs w:val="18"/>
                <w:color w:val="auto"/>
              </w:rPr>
            </w:pPr>
          </w:p>
        </w:tc>
        <w:tc>
          <w:tcPr>
            <w:tcW w:w="2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980" w:type="dxa"/>
            <w:vAlign w:val="bottom"/>
            <w:gridSpan w:val="2"/>
            <w:shd w:val="clear" w:color="auto" w:fill="C0C0C0"/>
          </w:tcPr>
          <w:p>
            <w:pPr>
              <w:jc w:val="right"/>
              <w:ind w:right="260"/>
              <w:spacing w:after="0"/>
              <w:rPr>
                <w:sz w:val="20"/>
                <w:szCs w:val="20"/>
                <w:color w:val="auto"/>
              </w:rPr>
            </w:pPr>
            <w:r>
              <w:rPr>
                <w:rFonts w:ascii="Arial" w:cs="Arial" w:eastAsia="Arial" w:hAnsi="Arial"/>
                <w:sz w:val="18"/>
                <w:szCs w:val="18"/>
                <w:color w:val="auto"/>
              </w:rPr>
              <w:t>(10)</w:t>
            </w:r>
          </w:p>
        </w:tc>
        <w:tc>
          <w:tcPr>
            <w:tcW w:w="2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840" w:type="dxa"/>
            <w:vAlign w:val="bottom"/>
            <w:gridSpan w:val="3"/>
            <w:shd w:val="clear" w:color="auto" w:fill="C0C0C0"/>
          </w:tcPr>
          <w:p>
            <w:pPr>
              <w:jc w:val="right"/>
              <w:ind w:right="80"/>
              <w:spacing w:after="0"/>
              <w:rPr>
                <w:sz w:val="20"/>
                <w:szCs w:val="20"/>
                <w:color w:val="auto"/>
              </w:rPr>
            </w:pPr>
            <w:r>
              <w:rPr>
                <w:rFonts w:ascii="Arial" w:cs="Arial" w:eastAsia="Arial" w:hAnsi="Arial"/>
                <w:sz w:val="18"/>
                <w:szCs w:val="18"/>
                <w:color w:val="auto"/>
              </w:rPr>
              <w:t>(49)</w:t>
            </w:r>
          </w:p>
        </w:tc>
        <w:tc>
          <w:tcPr>
            <w:tcW w:w="20" w:type="dxa"/>
            <w:vAlign w:val="bottom"/>
            <w:shd w:val="clear" w:color="auto" w:fill="C0C0C0"/>
          </w:tcPr>
          <w:p>
            <w:pPr>
              <w:spacing w:after="0"/>
              <w:rPr>
                <w:sz w:val="18"/>
                <w:szCs w:val="18"/>
                <w:color w:val="auto"/>
              </w:rPr>
            </w:pPr>
          </w:p>
        </w:tc>
        <w:tc>
          <w:tcPr>
            <w:tcW w:w="20" w:type="dxa"/>
            <w:vAlign w:val="bottom"/>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8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Net income (loss)</w:t>
            </w:r>
          </w:p>
        </w:tc>
        <w:tc>
          <w:tcPr>
            <w:tcW w:w="140" w:type="dxa"/>
            <w:vAlign w:val="bottom"/>
            <w:tcBorders>
              <w:bottom w:val="single" w:sz="8" w:color="auto"/>
            </w:tcBorders>
            <w:gridSpan w:val="2"/>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Borders>
              <w:bottom w:val="single" w:sz="8" w:color="auto"/>
            </w:tcBorders>
            <w:gridSpan w:val="2"/>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160" w:type="dxa"/>
            <w:vAlign w:val="bottom"/>
            <w:tcBorders>
              <w:bottom w:val="single" w:sz="8" w:color="auto"/>
            </w:tcBorders>
            <w:gridSpan w:val="3"/>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auto"/>
            </w:tcBorders>
            <w:gridSpan w:val="2"/>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3680" w:type="dxa"/>
            <w:vAlign w:val="bottom"/>
            <w:gridSpan w:val="2"/>
            <w:vMerge w:val="continue"/>
          </w:tcPr>
          <w:p>
            <w:pPr>
              <w:spacing w:after="0"/>
              <w:rPr>
                <w:sz w:val="24"/>
                <w:szCs w:val="24"/>
                <w:color w:val="auto"/>
              </w:rPr>
            </w:pPr>
          </w:p>
        </w:tc>
        <w:tc>
          <w:tcPr>
            <w:tcW w:w="140" w:type="dxa"/>
            <w:vAlign w:val="bottom"/>
            <w:gridSpan w:val="2"/>
          </w:tcPr>
          <w:p>
            <w:pPr>
              <w:jc w:val="right"/>
              <w:ind w:right="60"/>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1,888</w:t>
            </w:r>
          </w:p>
        </w:tc>
        <w:tc>
          <w:tcPr>
            <w:tcW w:w="320" w:type="dxa"/>
            <w:vAlign w:val="bottom"/>
          </w:tcPr>
          <w:p>
            <w:pPr>
              <w:spacing w:after="0"/>
              <w:rPr>
                <w:sz w:val="24"/>
                <w:szCs w:val="24"/>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(293)</w:t>
            </w:r>
          </w:p>
        </w:tc>
        <w:tc>
          <w:tcPr>
            <w:tcW w:w="200" w:type="dxa"/>
            <w:vAlign w:val="bottom"/>
            <w:gridSpan w:val="5"/>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9,047</w:t>
            </w:r>
          </w:p>
        </w:tc>
        <w:tc>
          <w:tcPr>
            <w:tcW w:w="320" w:type="dxa"/>
            <w:vAlign w:val="bottom"/>
          </w:tcPr>
          <w:p>
            <w:pPr>
              <w:spacing w:after="0"/>
              <w:rPr>
                <w:sz w:val="24"/>
                <w:szCs w:val="24"/>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3,297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680" w:type="dxa"/>
            <w:vAlign w:val="bottom"/>
            <w:gridSpan w:val="2"/>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0"/>
        </w:trPr>
        <w:tc>
          <w:tcPr>
            <w:tcW w:w="3700" w:type="dxa"/>
            <w:vAlign w:val="bottom"/>
            <w:gridSpan w:val="3"/>
          </w:tcPr>
          <w:p>
            <w:pPr>
              <w:spacing w:after="0"/>
              <w:rPr>
                <w:sz w:val="20"/>
                <w:szCs w:val="20"/>
                <w:color w:val="auto"/>
              </w:rPr>
            </w:pPr>
            <w:r>
              <w:rPr>
                <w:rFonts w:ascii="Arial" w:cs="Arial" w:eastAsia="Arial" w:hAnsi="Arial"/>
                <w:sz w:val="18"/>
                <w:szCs w:val="18"/>
                <w:color w:val="auto"/>
              </w:rPr>
              <w:t>Earnings (loss) per share:</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80" w:type="dxa"/>
            <w:vAlign w:val="bottom"/>
            <w:gridSpan w:val="2"/>
            <w:shd w:val="clear" w:color="auto" w:fill="C0C0C0"/>
          </w:tcPr>
          <w:p>
            <w:pPr>
              <w:ind w:left="80"/>
              <w:spacing w:after="0"/>
              <w:rPr>
                <w:sz w:val="20"/>
                <w:szCs w:val="20"/>
                <w:color w:val="auto"/>
              </w:rPr>
            </w:pPr>
            <w:r>
              <w:rPr>
                <w:rFonts w:ascii="Arial" w:cs="Arial" w:eastAsia="Arial" w:hAnsi="Arial"/>
                <w:sz w:val="18"/>
                <w:szCs w:val="18"/>
                <w:color w:val="auto"/>
              </w:rPr>
              <w:t>Basic</w:t>
            </w:r>
          </w:p>
        </w:tc>
        <w:tc>
          <w:tcPr>
            <w:tcW w:w="140" w:type="dxa"/>
            <w:vAlign w:val="bottom"/>
            <w:gridSpan w:val="2"/>
            <w:shd w:val="clear" w:color="auto" w:fill="C0C0C0"/>
          </w:tcPr>
          <w:p>
            <w:pPr>
              <w:jc w:val="right"/>
              <w:ind w:right="60"/>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0.10</w:t>
            </w:r>
          </w:p>
        </w:tc>
        <w:tc>
          <w:tcPr>
            <w:tcW w:w="320" w:type="dxa"/>
            <w:vAlign w:val="bottom"/>
            <w:shd w:val="clear" w:color="auto" w:fill="C0C0C0"/>
          </w:tcPr>
          <w:p>
            <w:pPr>
              <w:spacing w:after="0"/>
              <w:rPr>
                <w:sz w:val="18"/>
                <w:szCs w:val="18"/>
                <w:color w:val="auto"/>
              </w:rPr>
            </w:pPr>
          </w:p>
        </w:tc>
        <w:tc>
          <w:tcPr>
            <w:tcW w:w="180" w:type="dxa"/>
            <w:vAlign w:val="bottom"/>
            <w:gridSpan w:val="2"/>
            <w:shd w:val="clear" w:color="auto" w:fill="C0C0C0"/>
          </w:tcPr>
          <w:p>
            <w:pPr>
              <w:jc w:val="right"/>
              <w:ind w:right="8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0C0C0"/>
          </w:tcPr>
          <w:p>
            <w:pPr>
              <w:jc w:val="right"/>
              <w:ind w:right="220"/>
              <w:spacing w:after="0"/>
              <w:rPr>
                <w:sz w:val="20"/>
                <w:szCs w:val="20"/>
                <w:color w:val="auto"/>
              </w:rPr>
            </w:pPr>
            <w:r>
              <w:rPr>
                <w:rFonts w:ascii="Arial" w:cs="Arial" w:eastAsia="Arial" w:hAnsi="Arial"/>
                <w:sz w:val="18"/>
                <w:szCs w:val="18"/>
                <w:color w:val="auto"/>
              </w:rPr>
              <w:t>(0.02)</w:t>
            </w:r>
          </w:p>
        </w:tc>
        <w:tc>
          <w:tcPr>
            <w:tcW w:w="200" w:type="dxa"/>
            <w:vAlign w:val="bottom"/>
            <w:gridSpan w:val="5"/>
            <w:shd w:val="clear" w:color="auto" w:fill="C0C0C0"/>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0.49</w:t>
            </w:r>
          </w:p>
        </w:tc>
        <w:tc>
          <w:tcPr>
            <w:tcW w:w="320" w:type="dxa"/>
            <w:vAlign w:val="bottom"/>
            <w:shd w:val="clear" w:color="auto" w:fill="C0C0C0"/>
          </w:tcPr>
          <w:p>
            <w:pPr>
              <w:spacing w:after="0"/>
              <w:rPr>
                <w:sz w:val="18"/>
                <w:szCs w:val="18"/>
                <w:color w:val="auto"/>
              </w:rPr>
            </w:pPr>
          </w:p>
        </w:tc>
        <w:tc>
          <w:tcPr>
            <w:tcW w:w="12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0.18</w:t>
            </w:r>
          </w:p>
        </w:tc>
        <w:tc>
          <w:tcPr>
            <w:tcW w:w="120" w:type="dxa"/>
            <w:vAlign w:val="bottom"/>
            <w:shd w:val="clear" w:color="auto" w:fill="C0C0C0"/>
          </w:tcPr>
          <w:p>
            <w:pPr>
              <w:spacing w:after="0"/>
              <w:rPr>
                <w:sz w:val="18"/>
                <w:szCs w:val="18"/>
                <w:color w:val="auto"/>
              </w:rPr>
            </w:pPr>
          </w:p>
        </w:tc>
        <w:tc>
          <w:tcPr>
            <w:tcW w:w="20" w:type="dxa"/>
            <w:vAlign w:val="bottom"/>
            <w:shd w:val="clear" w:color="auto" w:fill="C0C0C0"/>
          </w:tcPr>
          <w:p>
            <w:pPr>
              <w:spacing w:after="0"/>
              <w:rPr>
                <w:sz w:val="18"/>
                <w:szCs w:val="18"/>
                <w:color w:val="auto"/>
              </w:rPr>
            </w:pPr>
          </w:p>
        </w:tc>
        <w:tc>
          <w:tcPr>
            <w:tcW w:w="20" w:type="dxa"/>
            <w:vAlign w:val="bottom"/>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gridSpan w:val="2"/>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Borders>
              <w:bottom w:val="single" w:sz="8" w:color="auto"/>
            </w:tcBorders>
            <w:gridSpan w:val="2"/>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160" w:type="dxa"/>
            <w:vAlign w:val="bottom"/>
            <w:tcBorders>
              <w:bottom w:val="single" w:sz="8" w:color="auto"/>
            </w:tcBorders>
            <w:gridSpan w:val="3"/>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Borders>
              <w:bottom w:val="single" w:sz="8" w:color="auto"/>
            </w:tcBorders>
            <w:gridSpan w:val="2"/>
          </w:tcPr>
          <w:p>
            <w:pPr>
              <w:spacing w:after="0"/>
              <w:rPr>
                <w:sz w:val="11"/>
                <w:szCs w:val="11"/>
                <w:color w:val="auto"/>
              </w:rPr>
            </w:pPr>
          </w:p>
        </w:tc>
        <w:tc>
          <w:tcPr>
            <w:tcW w:w="720" w:type="dxa"/>
            <w:vAlign w:val="bottom"/>
            <w:tcBorders>
              <w:bottom w:val="single" w:sz="8" w:color="auto"/>
            </w:tcBorders>
            <w:gridSpan w:val="2"/>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680" w:type="dxa"/>
            <w:vAlign w:val="bottom"/>
            <w:gridSpan w:val="2"/>
          </w:tcPr>
          <w:p>
            <w:pPr>
              <w:ind w:left="80"/>
              <w:spacing w:after="0"/>
              <w:rPr>
                <w:sz w:val="20"/>
                <w:szCs w:val="20"/>
                <w:color w:val="auto"/>
              </w:rPr>
            </w:pPr>
            <w:r>
              <w:rPr>
                <w:rFonts w:ascii="Arial" w:cs="Arial" w:eastAsia="Arial" w:hAnsi="Arial"/>
                <w:sz w:val="18"/>
                <w:szCs w:val="18"/>
                <w:color w:val="auto"/>
              </w:rPr>
              <w:t>Diluted</w:t>
            </w:r>
          </w:p>
        </w:tc>
        <w:tc>
          <w:tcPr>
            <w:tcW w:w="140" w:type="dxa"/>
            <w:vAlign w:val="bottom"/>
            <w:gridSpan w:val="2"/>
          </w:tcPr>
          <w:p>
            <w:pPr>
              <w:jc w:val="right"/>
              <w:ind w:right="60"/>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0.10</w:t>
            </w:r>
          </w:p>
        </w:tc>
        <w:tc>
          <w:tcPr>
            <w:tcW w:w="320" w:type="dxa"/>
            <w:vAlign w:val="bottom"/>
          </w:tcPr>
          <w:p>
            <w:pPr>
              <w:spacing w:after="0"/>
              <w:rPr>
                <w:sz w:val="24"/>
                <w:szCs w:val="24"/>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(0.02)</w:t>
            </w:r>
          </w:p>
        </w:tc>
        <w:tc>
          <w:tcPr>
            <w:tcW w:w="200" w:type="dxa"/>
            <w:vAlign w:val="bottom"/>
            <w:gridSpan w:val="5"/>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0.47</w:t>
            </w:r>
          </w:p>
        </w:tc>
        <w:tc>
          <w:tcPr>
            <w:tcW w:w="320" w:type="dxa"/>
            <w:vAlign w:val="bottom"/>
          </w:tcPr>
          <w:p>
            <w:pPr>
              <w:spacing w:after="0"/>
              <w:rPr>
                <w:sz w:val="24"/>
                <w:szCs w:val="24"/>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0.17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2850515</wp:posOffset>
            </wp:positionH>
            <wp:positionV relativeFrom="paragraph">
              <wp:posOffset>-766445</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-766445</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-766445</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-766445</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-766445</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-766445</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-766445</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-766445</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-329565</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-329565</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-329565</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-329565</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-329565</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-329565</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-329565</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-329565</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-29210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-29210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-29210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-29210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-29210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-29210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-29210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-29210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469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DAKTRONICS, INC. AND SUBSIDIARIES</w:t>
      </w:r>
    </w:p>
    <w:p>
      <w:pPr>
        <w:spacing w:after="0" w:line="21"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40" w:type="dxa"/>
            <w:vAlign w:val="bottom"/>
            <w:gridSpan w:val="5"/>
          </w:tcPr>
          <w:p>
            <w:pPr>
              <w:ind w:left="3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84"/>
        </w:trPr>
        <w:tc>
          <w:tcPr>
            <w:tcW w:w="51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5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0"/>
              </w:rPr>
              <w:t>February 1,</w:t>
            </w:r>
          </w:p>
        </w:tc>
        <w:tc>
          <w:tcPr>
            <w:tcW w:w="20" w:type="dxa"/>
            <w:vAlign w:val="bottom"/>
          </w:tcPr>
          <w:p>
            <w:pPr>
              <w:spacing w:after="0"/>
              <w:rPr>
                <w:sz w:val="20"/>
                <w:szCs w:val="20"/>
                <w:color w:val="auto"/>
              </w:rPr>
            </w:pPr>
          </w:p>
        </w:tc>
        <w:tc>
          <w:tcPr>
            <w:tcW w:w="9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8"/>
              </w:rPr>
              <w:t>January 26,</w:t>
            </w: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060" w:type="dxa"/>
            <w:vAlign w:val="bottom"/>
            <w:gridSpan w:val="3"/>
          </w:tcPr>
          <w:p>
            <w:pPr>
              <w:jc w:val="center"/>
              <w:ind w:left="916"/>
              <w:spacing w:after="0" w:line="149" w:lineRule="exact"/>
              <w:rPr>
                <w:sz w:val="20"/>
                <w:szCs w:val="20"/>
                <w:color w:val="auto"/>
              </w:rPr>
            </w:pPr>
            <w:r>
              <w:rPr>
                <w:rFonts w:ascii="Arial" w:cs="Arial" w:eastAsia="Arial" w:hAnsi="Arial"/>
                <w:sz w:val="14"/>
                <w:szCs w:val="14"/>
                <w:b w:val="1"/>
                <w:bCs w:val="1"/>
                <w:color w:val="auto"/>
                <w:w w:val="83"/>
              </w:rPr>
              <w:t>2003</w:t>
            </w: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2002</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5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4"/>
              </w:rPr>
              <w:t>(40 weeks)</w:t>
            </w:r>
          </w:p>
        </w:tc>
        <w:tc>
          <w:tcPr>
            <w:tcW w:w="20" w:type="dxa"/>
            <w:vAlign w:val="bottom"/>
          </w:tcPr>
          <w:p>
            <w:pPr>
              <w:spacing w:after="0"/>
              <w:rPr>
                <w:sz w:val="15"/>
                <w:szCs w:val="15"/>
                <w:color w:val="auto"/>
              </w:rPr>
            </w:pPr>
          </w:p>
        </w:tc>
        <w:tc>
          <w:tcPr>
            <w:tcW w:w="9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4"/>
              </w:rPr>
              <w:t>(39 weeks)</w:t>
            </w:r>
          </w:p>
        </w:tc>
        <w:tc>
          <w:tcPr>
            <w:tcW w:w="0" w:type="dxa"/>
            <w:vAlign w:val="bottom"/>
          </w:tcPr>
          <w:p>
            <w:pPr>
              <w:spacing w:after="0"/>
              <w:rPr>
                <w:sz w:val="1"/>
                <w:szCs w:val="1"/>
                <w:color w:val="auto"/>
              </w:rPr>
            </w:pPr>
          </w:p>
        </w:tc>
      </w:tr>
      <w:tr>
        <w:trPr>
          <w:trHeight w:val="95"/>
        </w:trPr>
        <w:tc>
          <w:tcPr>
            <w:tcW w:w="5140" w:type="dxa"/>
            <w:vAlign w:val="bottom"/>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102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7"/>
        </w:trPr>
        <w:tc>
          <w:tcPr>
            <w:tcW w:w="514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140" w:type="dxa"/>
            <w:vAlign w:val="bottom"/>
            <w:shd w:val="clear" w:color="auto" w:fill="C0C0C0"/>
          </w:tcPr>
          <w:p>
            <w:pPr>
              <w:ind w:left="100"/>
              <w:spacing w:after="0"/>
              <w:rPr>
                <w:sz w:val="20"/>
                <w:szCs w:val="20"/>
                <w:color w:val="auto"/>
              </w:rPr>
            </w:pPr>
            <w:r>
              <w:rPr>
                <w:rFonts w:ascii="Arial" w:cs="Arial" w:eastAsia="Arial" w:hAnsi="Arial"/>
                <w:sz w:val="18"/>
                <w:szCs w:val="18"/>
                <w:color w:val="auto"/>
              </w:rPr>
              <w:t>Net income</w:t>
            </w:r>
          </w:p>
        </w:tc>
        <w:tc>
          <w:tcPr>
            <w:tcW w:w="2060" w:type="dxa"/>
            <w:vAlign w:val="bottom"/>
            <w:gridSpan w:val="3"/>
            <w:shd w:val="clear" w:color="auto" w:fill="C0C0C0"/>
          </w:tcPr>
          <w:p>
            <w:pPr>
              <w:jc w:val="right"/>
              <w:ind w:right="252"/>
              <w:spacing w:after="0"/>
              <w:rPr>
                <w:sz w:val="20"/>
                <w:szCs w:val="20"/>
                <w:color w:val="auto"/>
              </w:rPr>
            </w:pPr>
            <w:r>
              <w:rPr>
                <w:rFonts w:ascii="Arial" w:cs="Arial" w:eastAsia="Arial" w:hAnsi="Arial"/>
                <w:sz w:val="18"/>
                <w:szCs w:val="18"/>
                <w:color w:val="auto"/>
              </w:rPr>
              <w:t>$   9,047</w:t>
            </w:r>
          </w:p>
        </w:tc>
        <w:tc>
          <w:tcPr>
            <w:tcW w:w="880" w:type="dxa"/>
            <w:vAlign w:val="bottom"/>
            <w:gridSpan w:val="2"/>
            <w:shd w:val="clear" w:color="auto" w:fill="C0C0C0"/>
          </w:tcPr>
          <w:p>
            <w:pPr>
              <w:jc w:val="right"/>
              <w:ind w:right="72"/>
              <w:spacing w:after="0"/>
              <w:rPr>
                <w:sz w:val="20"/>
                <w:szCs w:val="20"/>
                <w:color w:val="auto"/>
              </w:rPr>
            </w:pPr>
            <w:r>
              <w:rPr>
                <w:rFonts w:ascii="Arial" w:cs="Arial" w:eastAsia="Arial" w:hAnsi="Arial"/>
                <w:sz w:val="18"/>
                <w:szCs w:val="18"/>
                <w:color w:val="auto"/>
              </w:rPr>
              <w:t>$   3,297</w:t>
            </w:r>
          </w:p>
        </w:tc>
        <w:tc>
          <w:tcPr>
            <w:tcW w:w="20" w:type="dxa"/>
            <w:vAlign w:val="bottom"/>
            <w:shd w:val="clear" w:color="auto" w:fill="C0C0C0"/>
          </w:tcPr>
          <w:p>
            <w:pPr>
              <w:spacing w:after="0"/>
              <w:rPr>
                <w:sz w:val="18"/>
                <w:szCs w:val="18"/>
                <w:color w:val="auto"/>
              </w:rPr>
            </w:pPr>
          </w:p>
        </w:tc>
        <w:tc>
          <w:tcPr>
            <w:tcW w:w="20" w:type="dxa"/>
            <w:vAlign w:val="bottom"/>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140" w:type="dxa"/>
            <w:vAlign w:val="bottom"/>
          </w:tcPr>
          <w:p>
            <w:pPr>
              <w:ind w:left="80"/>
              <w:spacing w:after="0"/>
              <w:rPr>
                <w:sz w:val="20"/>
                <w:szCs w:val="20"/>
                <w:color w:val="auto"/>
              </w:rPr>
            </w:pPr>
            <w:r>
              <w:rPr>
                <w:rFonts w:ascii="Arial" w:cs="Arial" w:eastAsia="Arial" w:hAnsi="Arial"/>
                <w:sz w:val="18"/>
                <w:szCs w:val="18"/>
                <w:color w:val="auto"/>
              </w:rPr>
              <w:t>Adjustments to reconcile net income to net cash provided</w:t>
            </w: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180"/>
              <w:spacing w:after="0"/>
              <w:rPr>
                <w:sz w:val="20"/>
                <w:szCs w:val="20"/>
                <w:color w:val="auto"/>
              </w:rPr>
            </w:pPr>
            <w:r>
              <w:rPr>
                <w:rFonts w:ascii="Arial" w:cs="Arial" w:eastAsia="Arial" w:hAnsi="Arial"/>
                <w:sz w:val="18"/>
                <w:szCs w:val="18"/>
                <w:color w:val="auto"/>
              </w:rPr>
              <w:t>by operating activities:</w:t>
            </w: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4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2060" w:type="dxa"/>
            <w:vAlign w:val="bottom"/>
            <w:gridSpan w:val="3"/>
          </w:tcPr>
          <w:p>
            <w:pPr>
              <w:jc w:val="right"/>
              <w:ind w:right="252"/>
              <w:spacing w:after="0"/>
              <w:rPr>
                <w:sz w:val="20"/>
                <w:szCs w:val="20"/>
                <w:color w:val="auto"/>
              </w:rPr>
            </w:pPr>
            <w:r>
              <w:rPr>
                <w:rFonts w:ascii="Arial" w:cs="Arial" w:eastAsia="Arial" w:hAnsi="Arial"/>
                <w:sz w:val="18"/>
                <w:szCs w:val="18"/>
                <w:color w:val="auto"/>
              </w:rPr>
              <w:t>4,214</w:t>
            </w:r>
          </w:p>
        </w:tc>
        <w:tc>
          <w:tcPr>
            <w:tcW w:w="880" w:type="dxa"/>
            <w:vAlign w:val="bottom"/>
            <w:gridSpan w:val="2"/>
          </w:tcPr>
          <w:p>
            <w:pPr>
              <w:jc w:val="right"/>
              <w:ind w:right="72"/>
              <w:spacing w:after="0"/>
              <w:rPr>
                <w:sz w:val="20"/>
                <w:szCs w:val="20"/>
                <w:color w:val="auto"/>
              </w:rPr>
            </w:pPr>
            <w:r>
              <w:rPr>
                <w:rFonts w:ascii="Arial" w:cs="Arial" w:eastAsia="Arial" w:hAnsi="Arial"/>
                <w:sz w:val="18"/>
                <w:szCs w:val="18"/>
                <w:color w:val="auto"/>
              </w:rPr>
              <w:t>3,127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140" w:type="dxa"/>
            <w:vAlign w:val="bottom"/>
            <w:shd w:val="clear" w:color="auto" w:fill="C0C0C0"/>
          </w:tcPr>
          <w:p>
            <w:pPr>
              <w:ind w:left="180"/>
              <w:spacing w:after="0"/>
              <w:rPr>
                <w:sz w:val="20"/>
                <w:szCs w:val="20"/>
                <w:color w:val="auto"/>
              </w:rPr>
            </w:pPr>
            <w:r>
              <w:rPr>
                <w:rFonts w:ascii="Arial" w:cs="Arial" w:eastAsia="Arial" w:hAnsi="Arial"/>
                <w:sz w:val="18"/>
                <w:szCs w:val="18"/>
                <w:color w:val="auto"/>
              </w:rPr>
              <w:t>Amortization</w:t>
            </w:r>
          </w:p>
        </w:tc>
        <w:tc>
          <w:tcPr>
            <w:tcW w:w="2060" w:type="dxa"/>
            <w:vAlign w:val="bottom"/>
            <w:gridSpan w:val="3"/>
            <w:shd w:val="clear" w:color="auto" w:fill="C0C0C0"/>
          </w:tcPr>
          <w:p>
            <w:pPr>
              <w:jc w:val="right"/>
              <w:ind w:right="252"/>
              <w:spacing w:after="0"/>
              <w:rPr>
                <w:sz w:val="20"/>
                <w:szCs w:val="20"/>
                <w:color w:val="auto"/>
              </w:rPr>
            </w:pPr>
            <w:r>
              <w:rPr>
                <w:rFonts w:ascii="Arial" w:cs="Arial" w:eastAsia="Arial" w:hAnsi="Arial"/>
                <w:sz w:val="18"/>
                <w:szCs w:val="18"/>
                <w:color w:val="auto"/>
              </w:rPr>
              <w:t>190</w:t>
            </w:r>
          </w:p>
        </w:tc>
        <w:tc>
          <w:tcPr>
            <w:tcW w:w="880" w:type="dxa"/>
            <w:vAlign w:val="bottom"/>
            <w:gridSpan w:val="2"/>
            <w:shd w:val="clear" w:color="auto" w:fill="C0C0C0"/>
          </w:tcPr>
          <w:p>
            <w:pPr>
              <w:jc w:val="right"/>
              <w:ind w:right="72"/>
              <w:spacing w:after="0"/>
              <w:rPr>
                <w:sz w:val="20"/>
                <w:szCs w:val="20"/>
                <w:color w:val="auto"/>
              </w:rPr>
            </w:pPr>
            <w:r>
              <w:rPr>
                <w:rFonts w:ascii="Arial" w:cs="Arial" w:eastAsia="Arial" w:hAnsi="Arial"/>
                <w:sz w:val="18"/>
                <w:szCs w:val="18"/>
                <w:color w:val="auto"/>
              </w:rPr>
              <w:t>385</w:t>
            </w:r>
          </w:p>
        </w:tc>
        <w:tc>
          <w:tcPr>
            <w:tcW w:w="20" w:type="dxa"/>
            <w:vAlign w:val="bottom"/>
            <w:shd w:val="clear" w:color="auto" w:fill="C0C0C0"/>
          </w:tcPr>
          <w:p>
            <w:pPr>
              <w:spacing w:after="0"/>
              <w:rPr>
                <w:sz w:val="18"/>
                <w:szCs w:val="18"/>
                <w:color w:val="auto"/>
              </w:rPr>
            </w:pPr>
          </w:p>
        </w:tc>
        <w:tc>
          <w:tcPr>
            <w:tcW w:w="20" w:type="dxa"/>
            <w:vAlign w:val="bottom"/>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180"/>
              <w:spacing w:after="0"/>
              <w:rPr>
                <w:sz w:val="20"/>
                <w:szCs w:val="20"/>
                <w:color w:val="auto"/>
              </w:rPr>
            </w:pPr>
            <w:r>
              <w:rPr>
                <w:rFonts w:ascii="Arial" w:cs="Arial" w:eastAsia="Arial" w:hAnsi="Arial"/>
                <w:sz w:val="18"/>
                <w:szCs w:val="18"/>
                <w:color w:val="auto"/>
              </w:rPr>
              <w:t>Minority interest in income of subsidiary</w:t>
            </w:r>
          </w:p>
        </w:tc>
        <w:tc>
          <w:tcPr>
            <w:tcW w:w="2060" w:type="dxa"/>
            <w:vAlign w:val="bottom"/>
            <w:gridSpan w:val="3"/>
          </w:tcPr>
          <w:p>
            <w:pPr>
              <w:jc w:val="right"/>
              <w:ind w:right="252"/>
              <w:spacing w:after="0"/>
              <w:rPr>
                <w:sz w:val="20"/>
                <w:szCs w:val="20"/>
                <w:color w:val="auto"/>
              </w:rPr>
            </w:pPr>
            <w:r>
              <w:rPr>
                <w:rFonts w:ascii="Arial" w:cs="Arial" w:eastAsia="Arial" w:hAnsi="Arial"/>
                <w:sz w:val="18"/>
                <w:szCs w:val="18"/>
                <w:color w:val="auto"/>
              </w:rPr>
              <w:t>9</w:t>
            </w:r>
          </w:p>
        </w:tc>
        <w:tc>
          <w:tcPr>
            <w:tcW w:w="880" w:type="dxa"/>
            <w:vAlign w:val="bottom"/>
            <w:gridSpan w:val="2"/>
          </w:tcPr>
          <w:p>
            <w:pPr>
              <w:jc w:val="right"/>
              <w:ind w:right="72"/>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5140" w:type="dxa"/>
            <w:vAlign w:val="bottom"/>
            <w:shd w:val="clear" w:color="auto" w:fill="C0C0C0"/>
          </w:tcPr>
          <w:p>
            <w:pPr>
              <w:spacing w:after="0"/>
              <w:rPr>
                <w:sz w:val="11"/>
                <w:szCs w:val="11"/>
                <w:color w:val="auto"/>
              </w:rPr>
            </w:pPr>
          </w:p>
        </w:tc>
        <w:tc>
          <w:tcPr>
            <w:tcW w:w="1020" w:type="dxa"/>
            <w:vAlign w:val="bottom"/>
            <w:shd w:val="clear" w:color="auto" w:fill="C0C0C0"/>
          </w:tcPr>
          <w:p>
            <w:pPr>
              <w:spacing w:after="0"/>
              <w:rPr>
                <w:sz w:val="11"/>
                <w:szCs w:val="11"/>
                <w:color w:val="auto"/>
              </w:rPr>
            </w:pPr>
          </w:p>
        </w:tc>
        <w:tc>
          <w:tcPr>
            <w:tcW w:w="20" w:type="dxa"/>
            <w:vAlign w:val="bottom"/>
            <w:shd w:val="clear" w:color="auto" w:fill="C0C0C0"/>
          </w:tcPr>
          <w:p>
            <w:pPr>
              <w:spacing w:after="0"/>
              <w:rPr>
                <w:sz w:val="11"/>
                <w:szCs w:val="11"/>
                <w:color w:val="auto"/>
              </w:rPr>
            </w:pPr>
          </w:p>
        </w:tc>
        <w:tc>
          <w:tcPr>
            <w:tcW w:w="1020" w:type="dxa"/>
            <w:vAlign w:val="bottom"/>
            <w:shd w:val="clear" w:color="auto" w:fill="C0C0C0"/>
          </w:tcPr>
          <w:p>
            <w:pPr>
              <w:spacing w:after="0"/>
              <w:rPr>
                <w:sz w:val="11"/>
                <w:szCs w:val="11"/>
                <w:color w:val="auto"/>
              </w:rPr>
            </w:pPr>
          </w:p>
        </w:tc>
        <w:tc>
          <w:tcPr>
            <w:tcW w:w="20" w:type="dxa"/>
            <w:vAlign w:val="bottom"/>
            <w:shd w:val="clear" w:color="auto" w:fill="C0C0C0"/>
          </w:tcPr>
          <w:p>
            <w:pPr>
              <w:spacing w:after="0"/>
              <w:rPr>
                <w:sz w:val="11"/>
                <w:szCs w:val="11"/>
                <w:color w:val="auto"/>
              </w:rPr>
            </w:pPr>
          </w:p>
        </w:tc>
        <w:tc>
          <w:tcPr>
            <w:tcW w:w="860" w:type="dxa"/>
            <w:vAlign w:val="bottom"/>
            <w:shd w:val="clear" w:color="auto" w:fill="C0C0C0"/>
          </w:tcPr>
          <w:p>
            <w:pPr>
              <w:spacing w:after="0"/>
              <w:rPr>
                <w:sz w:val="11"/>
                <w:szCs w:val="11"/>
                <w:color w:val="auto"/>
              </w:rPr>
            </w:pPr>
          </w:p>
        </w:tc>
        <w:tc>
          <w:tcPr>
            <w:tcW w:w="20" w:type="dxa"/>
            <w:vAlign w:val="bottom"/>
            <w:shd w:val="clear" w:color="auto" w:fill="C0C0C0"/>
          </w:tcPr>
          <w:p>
            <w:pPr>
              <w:spacing w:after="0"/>
              <w:rPr>
                <w:sz w:val="11"/>
                <w:szCs w:val="11"/>
                <w:color w:val="auto"/>
              </w:rPr>
            </w:pPr>
          </w:p>
        </w:tc>
        <w:tc>
          <w:tcPr>
            <w:tcW w:w="20" w:type="dxa"/>
            <w:vAlign w:val="bottom"/>
            <w:shd w:val="clear" w:color="auto" w:fill="C0C0C0"/>
          </w:tcPr>
          <w:p>
            <w:pPr>
              <w:spacing w:after="0"/>
              <w:rPr>
                <w:sz w:val="11"/>
                <w:szCs w:val="11"/>
                <w:color w:val="auto"/>
              </w:rPr>
            </w:pPr>
          </w:p>
        </w:tc>
        <w:tc>
          <w:tcPr>
            <w:tcW w:w="0" w:type="dxa"/>
            <w:vAlign w:val="bottom"/>
          </w:tcPr>
          <w:p>
            <w:pPr>
              <w:spacing w:after="0"/>
              <w:rPr>
                <w:sz w:val="1"/>
                <w:szCs w:val="1"/>
                <w:color w:val="auto"/>
              </w:rPr>
            </w:pPr>
          </w:p>
        </w:tc>
      </w:tr>
    </w:tbl>
    <w:p>
      <w:pPr>
        <w:sectPr>
          <w:pgSz w:w="11900" w:h="16900" w:orient="portrait"/>
          <w:cols w:equalWidth="0" w:num="1">
            <w:col w:w="10219"/>
          </w:cols>
          <w:pgMar w:left="240" w:top="590" w:right="1440"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40" w:type="dxa"/>
            <w:vAlign w:val="bottom"/>
            <w:gridSpan w:val="2"/>
            <w:shd w:val="clear" w:color="auto" w:fill="C0C0C0"/>
          </w:tcPr>
          <w:p>
            <w:pPr>
              <w:ind w:left="160"/>
              <w:spacing w:after="0"/>
              <w:rPr>
                <w:sz w:val="20"/>
                <w:szCs w:val="20"/>
                <w:color w:val="auto"/>
              </w:rPr>
            </w:pPr>
            <w:r>
              <w:rPr>
                <w:rFonts w:ascii="Arial" w:cs="Arial" w:eastAsia="Arial" w:hAnsi="Arial"/>
                <w:sz w:val="18"/>
                <w:szCs w:val="18"/>
                <w:color w:val="auto"/>
              </w:rPr>
              <w:t>Provision for doubtful accounts</w:t>
            </w:r>
          </w:p>
        </w:tc>
        <w:tc>
          <w:tcPr>
            <w:tcW w:w="160" w:type="dxa"/>
            <w:vAlign w:val="bottom"/>
            <w:shd w:val="clear" w:color="auto" w:fill="C0C0C0"/>
          </w:tcPr>
          <w:p>
            <w:pPr>
              <w:spacing w:after="0"/>
              <w:rPr>
                <w:sz w:val="18"/>
                <w:szCs w:val="18"/>
                <w:color w:val="auto"/>
              </w:rPr>
            </w:pPr>
          </w:p>
        </w:tc>
        <w:tc>
          <w:tcPr>
            <w:tcW w:w="900" w:type="dxa"/>
            <w:vAlign w:val="bottom"/>
            <w:tcBorders>
              <w:right w:val="single" w:sz="8" w:color="C0C0C0"/>
            </w:tcBorders>
            <w:gridSpan w:val="2"/>
            <w:shd w:val="clear" w:color="auto" w:fill="C0C0C0"/>
          </w:tcPr>
          <w:p>
            <w:pPr>
              <w:jc w:val="right"/>
              <w:ind w:right="280"/>
              <w:spacing w:after="0"/>
              <w:rPr>
                <w:sz w:val="20"/>
                <w:szCs w:val="20"/>
                <w:color w:val="auto"/>
              </w:rPr>
            </w:pPr>
            <w:r>
              <w:rPr>
                <w:rFonts w:ascii="Arial" w:cs="Arial" w:eastAsia="Arial" w:hAnsi="Arial"/>
                <w:sz w:val="18"/>
                <w:szCs w:val="18"/>
                <w:color w:val="auto"/>
              </w:rPr>
              <w:t>(440)</w:t>
            </w:r>
          </w:p>
        </w:tc>
        <w:tc>
          <w:tcPr>
            <w:tcW w:w="180" w:type="dxa"/>
            <w:vAlign w:val="bottom"/>
            <w:shd w:val="clear" w:color="auto" w:fill="C0C0C0"/>
          </w:tcPr>
          <w:p>
            <w:pPr>
              <w:spacing w:after="0"/>
              <w:rPr>
                <w:sz w:val="18"/>
                <w:szCs w:val="18"/>
                <w:color w:val="auto"/>
              </w:rPr>
            </w:pPr>
          </w:p>
        </w:tc>
        <w:tc>
          <w:tcPr>
            <w:tcW w:w="56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504</w:t>
            </w:r>
          </w:p>
        </w:tc>
        <w:tc>
          <w:tcPr>
            <w:tcW w:w="160" w:type="dxa"/>
            <w:vAlign w:val="bottom"/>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ind w:left="160"/>
              <w:spacing w:after="0"/>
              <w:rPr>
                <w:sz w:val="20"/>
                <w:szCs w:val="20"/>
                <w:color w:val="auto"/>
              </w:rPr>
            </w:pPr>
            <w:r>
              <w:rPr>
                <w:rFonts w:ascii="Arial" w:cs="Arial" w:eastAsia="Arial" w:hAnsi="Arial"/>
                <w:sz w:val="18"/>
                <w:szCs w:val="18"/>
                <w:color w:val="auto"/>
              </w:rPr>
              <w:t>Loss on sale of property and equipment</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743</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0C0C0"/>
          </w:tcPr>
          <w:p>
            <w:pPr>
              <w:ind w:left="160"/>
              <w:spacing w:after="0"/>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C0C0C0"/>
          </w:tcPr>
          <w:p>
            <w:pPr>
              <w:spacing w:after="0"/>
              <w:rPr>
                <w:sz w:val="18"/>
                <w:szCs w:val="18"/>
                <w:color w:val="auto"/>
              </w:rPr>
            </w:pPr>
          </w:p>
        </w:tc>
        <w:tc>
          <w:tcPr>
            <w:tcW w:w="900" w:type="dxa"/>
            <w:vAlign w:val="bottom"/>
            <w:tcBorders>
              <w:right w:val="single" w:sz="8" w:color="C0C0C0"/>
            </w:tcBorders>
            <w:gridSpan w:val="2"/>
            <w:shd w:val="clear" w:color="auto" w:fill="C0C0C0"/>
          </w:tcPr>
          <w:p>
            <w:pPr>
              <w:jc w:val="right"/>
              <w:ind w:right="280"/>
              <w:spacing w:after="0"/>
              <w:rPr>
                <w:sz w:val="20"/>
                <w:szCs w:val="20"/>
                <w:color w:val="auto"/>
              </w:rPr>
            </w:pPr>
            <w:r>
              <w:rPr>
                <w:rFonts w:ascii="Arial" w:cs="Arial" w:eastAsia="Arial" w:hAnsi="Arial"/>
                <w:sz w:val="18"/>
                <w:szCs w:val="18"/>
                <w:color w:val="auto"/>
              </w:rPr>
              <w:t>(592)</w:t>
            </w:r>
          </w:p>
        </w:tc>
        <w:tc>
          <w:tcPr>
            <w:tcW w:w="180" w:type="dxa"/>
            <w:vAlign w:val="bottom"/>
            <w:shd w:val="clear" w:color="auto" w:fill="C0C0C0"/>
          </w:tcPr>
          <w:p>
            <w:pPr>
              <w:spacing w:after="0"/>
              <w:rPr>
                <w:sz w:val="18"/>
                <w:szCs w:val="18"/>
                <w:color w:val="auto"/>
              </w:rPr>
            </w:pPr>
          </w:p>
        </w:tc>
        <w:tc>
          <w:tcPr>
            <w:tcW w:w="720" w:type="dxa"/>
            <w:vAlign w:val="bottom"/>
            <w:gridSpan w:val="3"/>
            <w:shd w:val="clear" w:color="auto" w:fill="C0C0C0"/>
          </w:tcPr>
          <w:p>
            <w:pPr>
              <w:jc w:val="right"/>
              <w:ind w:right="1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40" w:type="dxa"/>
            <w:vAlign w:val="bottom"/>
            <w:gridSpan w:val="2"/>
          </w:tcPr>
          <w:p>
            <w:pPr>
              <w:ind w:left="160"/>
              <w:spacing w:after="0"/>
              <w:rPr>
                <w:sz w:val="20"/>
                <w:szCs w:val="20"/>
                <w:color w:val="auto"/>
              </w:rPr>
            </w:pPr>
            <w:r>
              <w:rPr>
                <w:rFonts w:ascii="Arial" w:cs="Arial" w:eastAsia="Arial" w:hAnsi="Arial"/>
                <w:sz w:val="18"/>
                <w:szCs w:val="18"/>
                <w:color w:val="auto"/>
              </w:rPr>
              <w:t>Change in operating assets and liabilities</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943</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(1,743)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0C0C0"/>
          </w:tcPr>
          <w:p>
            <w:pPr>
              <w:ind w:left="260"/>
              <w:spacing w:after="0"/>
              <w:rPr>
                <w:sz w:val="20"/>
                <w:szCs w:val="20"/>
                <w:color w:val="auto"/>
              </w:rPr>
            </w:pPr>
            <w:r>
              <w:rPr>
                <w:rFonts w:ascii="Arial" w:cs="Arial" w:eastAsia="Arial" w:hAnsi="Arial"/>
                <w:sz w:val="18"/>
                <w:szCs w:val="18"/>
                <w:b w:val="1"/>
                <w:bCs w:val="1"/>
                <w:color w:val="auto"/>
              </w:rPr>
              <w:t>Net cash provided by operating activities</w:t>
            </w:r>
          </w:p>
        </w:tc>
        <w:tc>
          <w:tcPr>
            <w:tcW w:w="160" w:type="dxa"/>
            <w:vAlign w:val="bottom"/>
            <w:shd w:val="clear" w:color="auto" w:fill="C0C0C0"/>
          </w:tcPr>
          <w:p>
            <w:pPr>
              <w:spacing w:after="0"/>
              <w:rPr>
                <w:sz w:val="18"/>
                <w:szCs w:val="18"/>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8"/>
              </w:rPr>
              <w:t>14,114</w:t>
            </w:r>
          </w:p>
        </w:tc>
        <w:tc>
          <w:tcPr>
            <w:tcW w:w="340" w:type="dxa"/>
            <w:vAlign w:val="bottom"/>
            <w:tcBorders>
              <w:right w:val="single" w:sz="8" w:color="C0C0C0"/>
            </w:tcBorders>
            <w:shd w:val="clear" w:color="auto" w:fill="C0C0C0"/>
          </w:tcPr>
          <w:p>
            <w:pPr>
              <w:spacing w:after="0"/>
              <w:rPr>
                <w:sz w:val="18"/>
                <w:szCs w:val="18"/>
                <w:color w:val="auto"/>
              </w:rPr>
            </w:pPr>
          </w:p>
        </w:tc>
        <w:tc>
          <w:tcPr>
            <w:tcW w:w="180" w:type="dxa"/>
            <w:vAlign w:val="bottom"/>
            <w:shd w:val="clear" w:color="auto" w:fill="C0C0C0"/>
          </w:tcPr>
          <w:p>
            <w:pPr>
              <w:spacing w:after="0"/>
              <w:rPr>
                <w:sz w:val="18"/>
                <w:szCs w:val="18"/>
                <w:color w:val="auto"/>
              </w:rPr>
            </w:pPr>
          </w:p>
        </w:tc>
        <w:tc>
          <w:tcPr>
            <w:tcW w:w="56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5,608</w:t>
            </w:r>
          </w:p>
        </w:tc>
        <w:tc>
          <w:tcPr>
            <w:tcW w:w="160" w:type="dxa"/>
            <w:vAlign w:val="bottom"/>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160" w:type="dxa"/>
            <w:vAlign w:val="bottom"/>
            <w:gridSpan w:val="3"/>
            <w:vMerge w:val="restart"/>
          </w:tcPr>
          <w:p>
            <w:pPr>
              <w:spacing w:after="0"/>
              <w:rPr>
                <w:sz w:val="20"/>
                <w:szCs w:val="20"/>
                <w:color w:val="auto"/>
              </w:rPr>
            </w:pPr>
            <w:r>
              <w:rPr>
                <w:rFonts w:ascii="Arial" w:cs="Arial" w:eastAsia="Arial" w:hAnsi="Arial"/>
                <w:sz w:val="18"/>
                <w:szCs w:val="18"/>
                <w:color w:val="auto"/>
              </w:rPr>
              <w:t>CASH FLOWS FROM INVESTING ACTIVITIES:</w:t>
            </w: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616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gridSpan w:val="2"/>
          </w:tcPr>
          <w:p>
            <w:pPr>
              <w:ind w:left="80"/>
              <w:spacing w:after="0"/>
              <w:rPr>
                <w:sz w:val="20"/>
                <w:szCs w:val="20"/>
                <w:color w:val="auto"/>
              </w:rPr>
            </w:pPr>
            <w:r>
              <w:rPr>
                <w:rFonts w:ascii="Arial" w:cs="Arial" w:eastAsia="Arial" w:hAnsi="Arial"/>
                <w:sz w:val="18"/>
                <w:szCs w:val="18"/>
                <w:color w:val="auto"/>
              </w:rPr>
              <w:t>Purchase of property and equipment</w:t>
            </w:r>
          </w:p>
        </w:tc>
        <w:tc>
          <w:tcPr>
            <w:tcW w:w="160" w:type="dxa"/>
            <w:vAlign w:val="bottom"/>
          </w:tcPr>
          <w:p>
            <w:pPr>
              <w:spacing w:after="0"/>
              <w:rPr>
                <w:sz w:val="19"/>
                <w:szCs w:val="19"/>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(3,982)</w:t>
            </w:r>
          </w:p>
        </w:tc>
        <w:tc>
          <w:tcPr>
            <w:tcW w:w="180" w:type="dxa"/>
            <w:vAlign w:val="bottom"/>
          </w:tcPr>
          <w:p>
            <w:pPr>
              <w:spacing w:after="0"/>
              <w:rPr>
                <w:sz w:val="19"/>
                <w:szCs w:val="19"/>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(6,533)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40" w:type="dxa"/>
            <w:vAlign w:val="bottom"/>
            <w:gridSpan w:val="2"/>
            <w:shd w:val="clear" w:color="auto" w:fill="C0C0C0"/>
          </w:tcPr>
          <w:p>
            <w:pPr>
              <w:ind w:left="80"/>
              <w:spacing w:after="0"/>
              <w:rPr>
                <w:sz w:val="20"/>
                <w:szCs w:val="20"/>
                <w:color w:val="auto"/>
              </w:rPr>
            </w:pPr>
            <w:r>
              <w:rPr>
                <w:rFonts w:ascii="Arial" w:cs="Arial" w:eastAsia="Arial" w:hAnsi="Arial"/>
                <w:sz w:val="18"/>
                <w:szCs w:val="18"/>
                <w:color w:val="auto"/>
              </w:rPr>
              <w:t>Proceeds from sale of property and equipment</w:t>
            </w:r>
          </w:p>
        </w:tc>
        <w:tc>
          <w:tcPr>
            <w:tcW w:w="160" w:type="dxa"/>
            <w:vAlign w:val="bottom"/>
            <w:shd w:val="clear" w:color="auto" w:fill="C0C0C0"/>
          </w:tcPr>
          <w:p>
            <w:pPr>
              <w:spacing w:after="0"/>
              <w:rPr>
                <w:sz w:val="18"/>
                <w:szCs w:val="18"/>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738</w:t>
            </w:r>
          </w:p>
        </w:tc>
        <w:tc>
          <w:tcPr>
            <w:tcW w:w="340" w:type="dxa"/>
            <w:vAlign w:val="bottom"/>
            <w:tcBorders>
              <w:right w:val="single" w:sz="8" w:color="C0C0C0"/>
            </w:tcBorders>
            <w:shd w:val="clear" w:color="auto" w:fill="C0C0C0"/>
          </w:tcPr>
          <w:p>
            <w:pPr>
              <w:spacing w:after="0"/>
              <w:rPr>
                <w:sz w:val="18"/>
                <w:szCs w:val="18"/>
                <w:color w:val="auto"/>
              </w:rPr>
            </w:pPr>
          </w:p>
        </w:tc>
        <w:tc>
          <w:tcPr>
            <w:tcW w:w="180" w:type="dxa"/>
            <w:vAlign w:val="bottom"/>
            <w:shd w:val="clear" w:color="auto" w:fill="C0C0C0"/>
          </w:tcPr>
          <w:p>
            <w:pPr>
              <w:spacing w:after="0"/>
              <w:rPr>
                <w:sz w:val="18"/>
                <w:szCs w:val="18"/>
                <w:color w:val="auto"/>
              </w:rPr>
            </w:pPr>
          </w:p>
        </w:tc>
        <w:tc>
          <w:tcPr>
            <w:tcW w:w="720" w:type="dxa"/>
            <w:vAlign w:val="bottom"/>
            <w:gridSpan w:val="3"/>
            <w:shd w:val="clear" w:color="auto" w:fill="C0C0C0"/>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140" w:type="dxa"/>
            <w:vAlign w:val="bottom"/>
            <w:gridSpan w:val="2"/>
            <w:vMerge w:val="restart"/>
          </w:tcPr>
          <w:p>
            <w:pPr>
              <w:ind w:left="260"/>
              <w:spacing w:after="0"/>
              <w:rPr>
                <w:sz w:val="20"/>
                <w:szCs w:val="20"/>
                <w:color w:val="auto"/>
              </w:rPr>
            </w:pPr>
            <w:r>
              <w:rPr>
                <w:rFonts w:ascii="Arial" w:cs="Arial" w:eastAsia="Arial" w:hAnsi="Arial"/>
                <w:sz w:val="18"/>
                <w:szCs w:val="18"/>
                <w:b w:val="1"/>
                <w:bCs w:val="1"/>
                <w:color w:val="auto"/>
              </w:rPr>
              <w:t>Net cash used in investing activities</w:t>
            </w: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14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(3,244)</w:t>
            </w:r>
          </w:p>
        </w:tc>
        <w:tc>
          <w:tcPr>
            <w:tcW w:w="180" w:type="dxa"/>
            <w:vAlign w:val="bottom"/>
          </w:tcPr>
          <w:p>
            <w:pPr>
              <w:spacing w:after="0"/>
              <w:rPr>
                <w:sz w:val="24"/>
                <w:szCs w:val="24"/>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(6,533)</w:t>
            </w:r>
          </w:p>
        </w:tc>
        <w:tc>
          <w:tcPr>
            <w:tcW w:w="0" w:type="dxa"/>
            <w:vAlign w:val="bottom"/>
          </w:tcPr>
          <w:p>
            <w:pPr>
              <w:spacing w:after="0"/>
              <w:rPr>
                <w:sz w:val="1"/>
                <w:szCs w:val="1"/>
                <w:color w:val="auto"/>
              </w:rPr>
            </w:pPr>
          </w:p>
        </w:tc>
      </w:tr>
      <w:tr>
        <w:trPr>
          <w:trHeight w:val="110"/>
        </w:trPr>
        <w:tc>
          <w:tcPr>
            <w:tcW w:w="6160" w:type="dxa"/>
            <w:vAlign w:val="bottom"/>
            <w:gridSpan w:val="3"/>
            <w:vMerge w:val="restart"/>
          </w:tcPr>
          <w:p>
            <w:pPr>
              <w:spacing w:after="0"/>
              <w:rPr>
                <w:sz w:val="20"/>
                <w:szCs w:val="20"/>
                <w:color w:val="auto"/>
              </w:rPr>
            </w:pPr>
            <w:r>
              <w:rPr>
                <w:rFonts w:ascii="Arial" w:cs="Arial" w:eastAsia="Arial" w:hAnsi="Arial"/>
                <w:sz w:val="18"/>
                <w:szCs w:val="18"/>
                <w:color w:val="auto"/>
              </w:rPr>
              <w:t>CASH FLOWS FROM FINANCING ACTIVITIES:</w:t>
            </w: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616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40" w:type="dxa"/>
            <w:vAlign w:val="bottom"/>
            <w:gridSpan w:val="2"/>
            <w:shd w:val="clear" w:color="auto" w:fill="C0C0C0"/>
          </w:tcPr>
          <w:p>
            <w:pPr>
              <w:ind w:left="80"/>
              <w:spacing w:after="0"/>
              <w:rPr>
                <w:sz w:val="20"/>
                <w:szCs w:val="20"/>
                <w:color w:val="auto"/>
              </w:rPr>
            </w:pPr>
            <w:r>
              <w:rPr>
                <w:rFonts w:ascii="Arial" w:cs="Arial" w:eastAsia="Arial" w:hAnsi="Arial"/>
                <w:sz w:val="18"/>
                <w:szCs w:val="18"/>
                <w:color w:val="auto"/>
              </w:rPr>
              <w:t>Net borrowings on notes payable</w:t>
            </w:r>
          </w:p>
        </w:tc>
        <w:tc>
          <w:tcPr>
            <w:tcW w:w="160" w:type="dxa"/>
            <w:vAlign w:val="bottom"/>
            <w:shd w:val="clear" w:color="auto" w:fill="C0C0C0"/>
          </w:tcPr>
          <w:p>
            <w:pPr>
              <w:spacing w:after="0"/>
              <w:rPr>
                <w:sz w:val="18"/>
                <w:szCs w:val="18"/>
                <w:color w:val="auto"/>
              </w:rPr>
            </w:pPr>
          </w:p>
        </w:tc>
        <w:tc>
          <w:tcPr>
            <w:tcW w:w="900" w:type="dxa"/>
            <w:vAlign w:val="bottom"/>
            <w:tcBorders>
              <w:right w:val="single" w:sz="8" w:color="C0C0C0"/>
            </w:tcBorders>
            <w:gridSpan w:val="2"/>
            <w:shd w:val="clear" w:color="auto" w:fill="C0C0C0"/>
          </w:tcPr>
          <w:p>
            <w:pPr>
              <w:jc w:val="right"/>
              <w:ind w:right="280"/>
              <w:spacing w:after="0"/>
              <w:rPr>
                <w:sz w:val="20"/>
                <w:szCs w:val="20"/>
                <w:color w:val="auto"/>
              </w:rPr>
            </w:pPr>
            <w:r>
              <w:rPr>
                <w:rFonts w:ascii="Arial" w:cs="Arial" w:eastAsia="Arial" w:hAnsi="Arial"/>
                <w:sz w:val="18"/>
                <w:szCs w:val="18"/>
                <w:color w:val="auto"/>
              </w:rPr>
              <w:t>(51)</w:t>
            </w:r>
          </w:p>
        </w:tc>
        <w:tc>
          <w:tcPr>
            <w:tcW w:w="180" w:type="dxa"/>
            <w:vAlign w:val="bottom"/>
            <w:shd w:val="clear" w:color="auto" w:fill="C0C0C0"/>
          </w:tcPr>
          <w:p>
            <w:pPr>
              <w:spacing w:after="0"/>
              <w:rPr>
                <w:sz w:val="18"/>
                <w:szCs w:val="18"/>
                <w:color w:val="auto"/>
              </w:rPr>
            </w:pPr>
          </w:p>
        </w:tc>
        <w:tc>
          <w:tcPr>
            <w:tcW w:w="56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443</w:t>
            </w:r>
          </w:p>
        </w:tc>
        <w:tc>
          <w:tcPr>
            <w:tcW w:w="160" w:type="dxa"/>
            <w:vAlign w:val="bottom"/>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ind w:left="80"/>
              <w:spacing w:after="0"/>
              <w:rPr>
                <w:sz w:val="20"/>
                <w:szCs w:val="20"/>
                <w:color w:val="auto"/>
              </w:rPr>
            </w:pPr>
            <w:r>
              <w:rPr>
                <w:rFonts w:ascii="Arial" w:cs="Arial" w:eastAsia="Arial" w:hAnsi="Arial"/>
                <w:sz w:val="18"/>
                <w:szCs w:val="18"/>
                <w:color w:val="auto"/>
              </w:rPr>
              <w:t>Proceeds from issuance of long-term debt</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1,588</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0C0C0"/>
          </w:tcPr>
          <w:p>
            <w:pPr>
              <w:ind w:left="80"/>
              <w:spacing w:after="0"/>
              <w:rPr>
                <w:sz w:val="20"/>
                <w:szCs w:val="20"/>
                <w:color w:val="auto"/>
              </w:rPr>
            </w:pPr>
            <w:r>
              <w:rPr>
                <w:rFonts w:ascii="Arial" w:cs="Arial" w:eastAsia="Arial" w:hAnsi="Arial"/>
                <w:sz w:val="18"/>
                <w:szCs w:val="18"/>
                <w:color w:val="auto"/>
              </w:rPr>
              <w:t>Principal payments on long-term debt</w:t>
            </w:r>
          </w:p>
        </w:tc>
        <w:tc>
          <w:tcPr>
            <w:tcW w:w="160" w:type="dxa"/>
            <w:vAlign w:val="bottom"/>
            <w:shd w:val="clear" w:color="auto" w:fill="C0C0C0"/>
          </w:tcPr>
          <w:p>
            <w:pPr>
              <w:spacing w:after="0"/>
              <w:rPr>
                <w:sz w:val="18"/>
                <w:szCs w:val="18"/>
                <w:color w:val="auto"/>
              </w:rPr>
            </w:pPr>
          </w:p>
        </w:tc>
        <w:tc>
          <w:tcPr>
            <w:tcW w:w="900" w:type="dxa"/>
            <w:vAlign w:val="bottom"/>
            <w:tcBorders>
              <w:right w:val="single" w:sz="8" w:color="C0C0C0"/>
            </w:tcBorders>
            <w:gridSpan w:val="2"/>
            <w:shd w:val="clear" w:color="auto" w:fill="C0C0C0"/>
          </w:tcPr>
          <w:p>
            <w:pPr>
              <w:jc w:val="right"/>
              <w:ind w:right="280"/>
              <w:spacing w:after="0"/>
              <w:rPr>
                <w:sz w:val="20"/>
                <w:szCs w:val="20"/>
                <w:color w:val="auto"/>
              </w:rPr>
            </w:pPr>
            <w:r>
              <w:rPr>
                <w:rFonts w:ascii="Arial" w:cs="Arial" w:eastAsia="Arial" w:hAnsi="Arial"/>
                <w:sz w:val="18"/>
                <w:szCs w:val="18"/>
                <w:color w:val="auto"/>
              </w:rPr>
              <w:t>(6,095)</w:t>
            </w:r>
          </w:p>
        </w:tc>
        <w:tc>
          <w:tcPr>
            <w:tcW w:w="180" w:type="dxa"/>
            <w:vAlign w:val="bottom"/>
            <w:shd w:val="clear" w:color="auto" w:fill="C0C0C0"/>
          </w:tcPr>
          <w:p>
            <w:pPr>
              <w:spacing w:after="0"/>
              <w:rPr>
                <w:sz w:val="18"/>
                <w:szCs w:val="18"/>
                <w:color w:val="auto"/>
              </w:rPr>
            </w:pPr>
          </w:p>
        </w:tc>
        <w:tc>
          <w:tcPr>
            <w:tcW w:w="720" w:type="dxa"/>
            <w:vAlign w:val="bottom"/>
            <w:gridSpan w:val="3"/>
            <w:shd w:val="clear" w:color="auto" w:fill="C0C0C0"/>
          </w:tcPr>
          <w:p>
            <w:pPr>
              <w:jc w:val="right"/>
              <w:ind w:right="120"/>
              <w:spacing w:after="0"/>
              <w:rPr>
                <w:sz w:val="20"/>
                <w:szCs w:val="20"/>
                <w:color w:val="auto"/>
              </w:rPr>
            </w:pPr>
            <w:r>
              <w:rPr>
                <w:rFonts w:ascii="Arial" w:cs="Arial" w:eastAsia="Arial" w:hAnsi="Arial"/>
                <w:sz w:val="18"/>
                <w:szCs w:val="18"/>
                <w:color w:val="auto"/>
              </w:rPr>
              <w:t>(2,432)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40" w:type="dxa"/>
            <w:vAlign w:val="bottom"/>
            <w:gridSpan w:val="2"/>
          </w:tcPr>
          <w:p>
            <w:pPr>
              <w:ind w:left="80"/>
              <w:spacing w:after="0"/>
              <w:rPr>
                <w:sz w:val="20"/>
                <w:szCs w:val="20"/>
                <w:color w:val="auto"/>
              </w:rPr>
            </w:pPr>
            <w:r>
              <w:rPr>
                <w:rFonts w:ascii="Arial" w:cs="Arial" w:eastAsia="Arial" w:hAnsi="Arial"/>
                <w:sz w:val="18"/>
                <w:szCs w:val="18"/>
                <w:color w:val="auto"/>
              </w:rPr>
              <w:t>Proceeds from exercise of stock options</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441</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531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0C0C0"/>
          </w:tcPr>
          <w:p>
            <w:pPr>
              <w:ind w:left="26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60" w:type="dxa"/>
            <w:vAlign w:val="bottom"/>
            <w:shd w:val="clear" w:color="auto" w:fill="C0C0C0"/>
          </w:tcPr>
          <w:p>
            <w:pPr>
              <w:spacing w:after="0"/>
              <w:rPr>
                <w:sz w:val="18"/>
                <w:szCs w:val="18"/>
                <w:color w:val="auto"/>
              </w:rPr>
            </w:pPr>
          </w:p>
        </w:tc>
        <w:tc>
          <w:tcPr>
            <w:tcW w:w="900" w:type="dxa"/>
            <w:vAlign w:val="bottom"/>
            <w:tcBorders>
              <w:right w:val="single" w:sz="8" w:color="C0C0C0"/>
            </w:tcBorders>
            <w:gridSpan w:val="2"/>
            <w:shd w:val="clear" w:color="auto" w:fill="C0C0C0"/>
          </w:tcPr>
          <w:p>
            <w:pPr>
              <w:jc w:val="right"/>
              <w:ind w:right="280"/>
              <w:spacing w:after="0"/>
              <w:rPr>
                <w:sz w:val="20"/>
                <w:szCs w:val="20"/>
                <w:color w:val="auto"/>
              </w:rPr>
            </w:pPr>
            <w:r>
              <w:rPr>
                <w:rFonts w:ascii="Arial" w:cs="Arial" w:eastAsia="Arial" w:hAnsi="Arial"/>
                <w:sz w:val="18"/>
                <w:szCs w:val="18"/>
                <w:color w:val="auto"/>
              </w:rPr>
              <w:t>(4,117)</w:t>
            </w:r>
          </w:p>
        </w:tc>
        <w:tc>
          <w:tcPr>
            <w:tcW w:w="180" w:type="dxa"/>
            <w:vAlign w:val="bottom"/>
            <w:shd w:val="clear" w:color="auto" w:fill="C0C0C0"/>
          </w:tcPr>
          <w:p>
            <w:pPr>
              <w:spacing w:after="0"/>
              <w:rPr>
                <w:sz w:val="18"/>
                <w:szCs w:val="18"/>
                <w:color w:val="auto"/>
              </w:rPr>
            </w:pPr>
          </w:p>
        </w:tc>
        <w:tc>
          <w:tcPr>
            <w:tcW w:w="720" w:type="dxa"/>
            <w:vAlign w:val="bottom"/>
            <w:gridSpan w:val="3"/>
            <w:shd w:val="clear" w:color="auto" w:fill="C0C0C0"/>
          </w:tcPr>
          <w:p>
            <w:pPr>
              <w:jc w:val="right"/>
              <w:ind w:right="120"/>
              <w:spacing w:after="0"/>
              <w:rPr>
                <w:sz w:val="20"/>
                <w:szCs w:val="20"/>
                <w:color w:val="auto"/>
              </w:rPr>
            </w:pPr>
            <w:r>
              <w:rPr>
                <w:rFonts w:ascii="Arial" w:cs="Arial" w:eastAsia="Arial" w:hAnsi="Arial"/>
                <w:sz w:val="18"/>
                <w:szCs w:val="18"/>
                <w:color w:val="auto"/>
              </w:rPr>
              <w:t>(1,458)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140" w:type="dxa"/>
            <w:vAlign w:val="bottom"/>
            <w:gridSpan w:val="2"/>
          </w:tcPr>
          <w:p>
            <w:pPr>
              <w:ind w:left="80"/>
              <w:spacing w:after="0"/>
              <w:rPr>
                <w:sz w:val="20"/>
                <w:szCs w:val="20"/>
                <w:color w:val="auto"/>
              </w:rPr>
            </w:pPr>
            <w:r>
              <w:rPr>
                <w:rFonts w:ascii="Arial" w:cs="Arial" w:eastAsia="Arial" w:hAnsi="Arial"/>
                <w:sz w:val="18"/>
                <w:szCs w:val="18"/>
                <w:color w:val="auto"/>
              </w:rPr>
              <w:t>Effect of exchange rate changes on cash</w:t>
            </w: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gridSpan w:val="2"/>
            <w:shd w:val="clear" w:color="auto" w:fill="C0C0C0"/>
          </w:tcPr>
          <w:p>
            <w:pPr>
              <w:spacing w:after="0"/>
              <w:rPr>
                <w:sz w:val="20"/>
                <w:szCs w:val="20"/>
                <w:color w:val="auto"/>
              </w:rPr>
            </w:pPr>
            <w:r>
              <w:rPr>
                <w:rFonts w:ascii="Arial" w:cs="Arial" w:eastAsia="Arial" w:hAnsi="Arial"/>
                <w:sz w:val="18"/>
                <w:szCs w:val="18"/>
                <w:b w:val="1"/>
                <w:bCs w:val="1"/>
                <w:color w:val="auto"/>
              </w:rPr>
              <w:t>Increase (decrease) in cash and cash equivalents</w:t>
            </w:r>
          </w:p>
        </w:tc>
        <w:tc>
          <w:tcPr>
            <w:tcW w:w="160" w:type="dxa"/>
            <w:vAlign w:val="bottom"/>
            <w:shd w:val="clear" w:color="auto" w:fill="C0C0C0"/>
          </w:tcPr>
          <w:p>
            <w:pPr>
              <w:spacing w:after="0"/>
              <w:rPr>
                <w:sz w:val="18"/>
                <w:szCs w:val="18"/>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6,766</w:t>
            </w:r>
          </w:p>
        </w:tc>
        <w:tc>
          <w:tcPr>
            <w:tcW w:w="340" w:type="dxa"/>
            <w:vAlign w:val="bottom"/>
            <w:tcBorders>
              <w:right w:val="single" w:sz="8" w:color="C0C0C0"/>
            </w:tcBorders>
            <w:shd w:val="clear" w:color="auto" w:fill="C0C0C0"/>
          </w:tcPr>
          <w:p>
            <w:pPr>
              <w:spacing w:after="0"/>
              <w:rPr>
                <w:sz w:val="18"/>
                <w:szCs w:val="18"/>
                <w:color w:val="auto"/>
              </w:rPr>
            </w:pPr>
          </w:p>
        </w:tc>
        <w:tc>
          <w:tcPr>
            <w:tcW w:w="180" w:type="dxa"/>
            <w:vAlign w:val="bottom"/>
            <w:shd w:val="clear" w:color="auto" w:fill="C0C0C0"/>
          </w:tcPr>
          <w:p>
            <w:pPr>
              <w:spacing w:after="0"/>
              <w:rPr>
                <w:sz w:val="18"/>
                <w:szCs w:val="18"/>
                <w:color w:val="auto"/>
              </w:rPr>
            </w:pPr>
          </w:p>
        </w:tc>
        <w:tc>
          <w:tcPr>
            <w:tcW w:w="720" w:type="dxa"/>
            <w:vAlign w:val="bottom"/>
            <w:gridSpan w:val="3"/>
            <w:shd w:val="clear" w:color="auto" w:fill="C0C0C0"/>
          </w:tcPr>
          <w:p>
            <w:pPr>
              <w:jc w:val="right"/>
              <w:ind w:right="120"/>
              <w:spacing w:after="0"/>
              <w:rPr>
                <w:sz w:val="20"/>
                <w:szCs w:val="20"/>
                <w:color w:val="auto"/>
              </w:rPr>
            </w:pPr>
            <w:r>
              <w:rPr>
                <w:rFonts w:ascii="Arial" w:cs="Arial" w:eastAsia="Arial" w:hAnsi="Arial"/>
                <w:sz w:val="18"/>
                <w:szCs w:val="18"/>
                <w:color w:val="auto"/>
              </w:rPr>
              <w:t>(2,400)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40" w:type="dxa"/>
            <w:vAlign w:val="bottom"/>
            <w:gridSpan w:val="2"/>
          </w:tcPr>
          <w:p>
            <w:pPr>
              <w:ind w:left="200"/>
              <w:spacing w:after="0"/>
              <w:rPr>
                <w:sz w:val="20"/>
                <w:szCs w:val="20"/>
                <w:color w:val="auto"/>
              </w:rPr>
            </w:pPr>
            <w:r>
              <w:rPr>
                <w:rFonts w:ascii="Arial" w:cs="Arial" w:eastAsia="Arial" w:hAnsi="Arial"/>
                <w:sz w:val="18"/>
                <w:szCs w:val="18"/>
                <w:color w:val="auto"/>
              </w:rPr>
              <w:t>Beginning</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2,097</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2,896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0C0C0"/>
          </w:tcPr>
          <w:p>
            <w:pPr>
              <w:ind w:left="200"/>
              <w:spacing w:after="0"/>
              <w:rPr>
                <w:sz w:val="20"/>
                <w:szCs w:val="20"/>
                <w:color w:val="auto"/>
              </w:rPr>
            </w:pPr>
            <w:r>
              <w:rPr>
                <w:rFonts w:ascii="Arial" w:cs="Arial" w:eastAsia="Arial" w:hAnsi="Arial"/>
                <w:sz w:val="18"/>
                <w:szCs w:val="18"/>
                <w:color w:val="auto"/>
              </w:rPr>
              <w:t>Ending</w:t>
            </w:r>
          </w:p>
        </w:tc>
        <w:tc>
          <w:tcPr>
            <w:tcW w:w="160" w:type="dxa"/>
            <w:vAlign w:val="bottom"/>
            <w:shd w:val="clear" w:color="auto" w:fill="C0C0C0"/>
          </w:tcPr>
          <w:p>
            <w:pPr>
              <w:jc w:val="right"/>
              <w:ind w:right="3"/>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8,863</w:t>
            </w:r>
          </w:p>
        </w:tc>
        <w:tc>
          <w:tcPr>
            <w:tcW w:w="340" w:type="dxa"/>
            <w:vAlign w:val="bottom"/>
            <w:tcBorders>
              <w:right w:val="single" w:sz="8" w:color="C0C0C0"/>
            </w:tcBorders>
            <w:shd w:val="clear" w:color="auto" w:fill="C0C0C0"/>
          </w:tcPr>
          <w:p>
            <w:pPr>
              <w:spacing w:after="0"/>
              <w:rPr>
                <w:sz w:val="18"/>
                <w:szCs w:val="18"/>
                <w:color w:val="auto"/>
              </w:rPr>
            </w:pPr>
          </w:p>
        </w:tc>
        <w:tc>
          <w:tcPr>
            <w:tcW w:w="180" w:type="dxa"/>
            <w:vAlign w:val="bottom"/>
            <w:shd w:val="clear" w:color="auto" w:fill="C0C0C0"/>
          </w:tcPr>
          <w:p>
            <w:pPr>
              <w:jc w:val="right"/>
              <w:ind w:right="23"/>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496</w:t>
            </w:r>
          </w:p>
        </w:tc>
        <w:tc>
          <w:tcPr>
            <w:tcW w:w="160" w:type="dxa"/>
            <w:vAlign w:val="bottom"/>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6140" w:type="dxa"/>
            <w:vAlign w:val="bottom"/>
            <w:gridSpan w:val="2"/>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3"/>
        </w:trPr>
        <w:tc>
          <w:tcPr>
            <w:tcW w:w="6160" w:type="dxa"/>
            <w:vAlign w:val="bottom"/>
            <w:gridSpan w:val="3"/>
          </w:tcPr>
          <w:p>
            <w:pPr>
              <w:spacing w:after="0"/>
              <w:rPr>
                <w:sz w:val="20"/>
                <w:szCs w:val="20"/>
                <w:color w:val="auto"/>
              </w:rPr>
            </w:pPr>
            <w:r>
              <w:rPr>
                <w:rFonts w:ascii="Arial" w:cs="Arial" w:eastAsia="Arial" w:hAnsi="Arial"/>
                <w:sz w:val="18"/>
                <w:szCs w:val="18"/>
                <w:color w:val="auto"/>
              </w:rPr>
              <w:t>SUPPLEMENTAL DISCLOSURES OF CASH FLOW</w:t>
            </w: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ind w:left="80"/>
              <w:spacing w:after="0"/>
              <w:rPr>
                <w:sz w:val="20"/>
                <w:szCs w:val="20"/>
                <w:color w:val="auto"/>
              </w:rPr>
            </w:pPr>
            <w:r>
              <w:rPr>
                <w:rFonts w:ascii="Arial" w:cs="Arial" w:eastAsia="Arial" w:hAnsi="Arial"/>
                <w:sz w:val="18"/>
                <w:szCs w:val="18"/>
                <w:color w:val="auto"/>
              </w:rPr>
              <w:t>INFORMATION:</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ind w:left="80"/>
              <w:spacing w:after="0"/>
              <w:rPr>
                <w:sz w:val="20"/>
                <w:szCs w:val="20"/>
                <w:color w:val="auto"/>
              </w:rPr>
            </w:pPr>
            <w:r>
              <w:rPr>
                <w:rFonts w:ascii="Arial" w:cs="Arial" w:eastAsia="Arial" w:hAnsi="Arial"/>
                <w:sz w:val="18"/>
                <w:szCs w:val="18"/>
                <w:color w:val="auto"/>
              </w:rPr>
              <w:t>Cash payments for:</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gridSpan w:val="2"/>
          </w:tcPr>
          <w:p>
            <w:pPr>
              <w:ind w:left="260"/>
              <w:spacing w:after="0"/>
              <w:rPr>
                <w:sz w:val="20"/>
                <w:szCs w:val="20"/>
                <w:color w:val="auto"/>
              </w:rPr>
            </w:pPr>
            <w:r>
              <w:rPr>
                <w:rFonts w:ascii="Arial" w:cs="Arial" w:eastAsia="Arial" w:hAnsi="Arial"/>
                <w:sz w:val="18"/>
                <w:szCs w:val="18"/>
                <w:color w:val="auto"/>
              </w:rPr>
              <w:t>Interest</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691</w:t>
            </w:r>
          </w:p>
        </w:tc>
        <w:tc>
          <w:tcPr>
            <w:tcW w:w="340" w:type="dxa"/>
            <w:vAlign w:val="bottom"/>
          </w:tcPr>
          <w:p>
            <w:pPr>
              <w:spacing w:after="0"/>
              <w:rPr>
                <w:sz w:val="19"/>
                <w:szCs w:val="19"/>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1,120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40" w:type="dxa"/>
            <w:vAlign w:val="bottom"/>
            <w:gridSpan w:val="2"/>
            <w:shd w:val="clear" w:color="auto" w:fill="C0C0C0"/>
          </w:tcPr>
          <w:p>
            <w:pPr>
              <w:ind w:left="260"/>
              <w:spacing w:after="0"/>
              <w:rPr>
                <w:sz w:val="20"/>
                <w:szCs w:val="20"/>
                <w:color w:val="auto"/>
              </w:rPr>
            </w:pPr>
            <w:r>
              <w:rPr>
                <w:rFonts w:ascii="Arial" w:cs="Arial" w:eastAsia="Arial" w:hAnsi="Arial"/>
                <w:sz w:val="18"/>
                <w:szCs w:val="18"/>
                <w:color w:val="auto"/>
              </w:rPr>
              <w:t>Income taxes, net of refunds</w:t>
            </w:r>
          </w:p>
        </w:tc>
        <w:tc>
          <w:tcPr>
            <w:tcW w:w="160" w:type="dxa"/>
            <w:vAlign w:val="bottom"/>
            <w:shd w:val="clear" w:color="auto" w:fill="C0C0C0"/>
          </w:tcPr>
          <w:p>
            <w:pPr>
              <w:spacing w:after="0"/>
              <w:rPr>
                <w:sz w:val="18"/>
                <w:szCs w:val="18"/>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5,525</w:t>
            </w:r>
          </w:p>
        </w:tc>
        <w:tc>
          <w:tcPr>
            <w:tcW w:w="340" w:type="dxa"/>
            <w:vAlign w:val="bottom"/>
            <w:tcBorders>
              <w:right w:val="single" w:sz="8" w:color="C0C0C0"/>
            </w:tcBorders>
            <w:shd w:val="clear" w:color="auto" w:fill="C0C0C0"/>
          </w:tcPr>
          <w:p>
            <w:pPr>
              <w:spacing w:after="0"/>
              <w:rPr>
                <w:sz w:val="18"/>
                <w:szCs w:val="18"/>
                <w:color w:val="auto"/>
              </w:rPr>
            </w:pPr>
          </w:p>
        </w:tc>
        <w:tc>
          <w:tcPr>
            <w:tcW w:w="180" w:type="dxa"/>
            <w:vAlign w:val="bottom"/>
            <w:shd w:val="clear" w:color="auto" w:fill="C0C0C0"/>
          </w:tcPr>
          <w:p>
            <w:pPr>
              <w:spacing w:after="0"/>
              <w:rPr>
                <w:sz w:val="18"/>
                <w:szCs w:val="18"/>
                <w:color w:val="auto"/>
              </w:rPr>
            </w:pPr>
          </w:p>
        </w:tc>
        <w:tc>
          <w:tcPr>
            <w:tcW w:w="56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1,537</w:t>
            </w:r>
          </w:p>
        </w:tc>
        <w:tc>
          <w:tcPr>
            <w:tcW w:w="160" w:type="dxa"/>
            <w:vAlign w:val="bottom"/>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6160" w:type="dxa"/>
            <w:vAlign w:val="bottom"/>
            <w:gridSpan w:val="3"/>
          </w:tcPr>
          <w:p>
            <w:pPr>
              <w:spacing w:after="0"/>
              <w:rPr>
                <w:sz w:val="20"/>
                <w:szCs w:val="20"/>
                <w:color w:val="auto"/>
              </w:rPr>
            </w:pPr>
            <w:r>
              <w:rPr>
                <w:rFonts w:ascii="Arial" w:cs="Arial" w:eastAsia="Arial" w:hAnsi="Arial"/>
                <w:sz w:val="18"/>
                <w:szCs w:val="18"/>
                <w:color w:val="auto"/>
              </w:rPr>
              <w:t>SUPPLEMENTAL SCHEDULE OF NONCASH</w:t>
            </w: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ind w:left="80"/>
              <w:spacing w:after="0"/>
              <w:rPr>
                <w:sz w:val="20"/>
                <w:szCs w:val="20"/>
                <w:color w:val="auto"/>
              </w:rPr>
            </w:pPr>
            <w:r>
              <w:rPr>
                <w:rFonts w:ascii="Arial" w:cs="Arial" w:eastAsia="Arial" w:hAnsi="Arial"/>
                <w:sz w:val="18"/>
                <w:szCs w:val="18"/>
                <w:color w:val="auto"/>
              </w:rPr>
              <w:t>INVESTING AND FINANCING ACTIVITIES:</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gridSpan w:val="2"/>
          </w:tcPr>
          <w:p>
            <w:pPr>
              <w:ind w:left="80"/>
              <w:spacing w:after="0"/>
              <w:rPr>
                <w:sz w:val="20"/>
                <w:szCs w:val="20"/>
                <w:color w:val="auto"/>
              </w:rPr>
            </w:pPr>
            <w:r>
              <w:rPr>
                <w:rFonts w:ascii="Arial" w:cs="Arial" w:eastAsia="Arial" w:hAnsi="Arial"/>
                <w:sz w:val="18"/>
                <w:szCs w:val="18"/>
                <w:color w:val="auto"/>
              </w:rPr>
              <w:t>Property and equipment acquired through long term debt</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2,150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40" w:type="dxa"/>
            <w:vAlign w:val="bottom"/>
            <w:gridSpan w:val="2"/>
            <w:shd w:val="clear" w:color="auto" w:fill="C0C0C0"/>
          </w:tcPr>
          <w:p>
            <w:pPr>
              <w:ind w:left="80"/>
              <w:spacing w:after="0"/>
              <w:rPr>
                <w:sz w:val="20"/>
                <w:szCs w:val="20"/>
                <w:color w:val="auto"/>
              </w:rPr>
            </w:pPr>
            <w:r>
              <w:rPr>
                <w:rFonts w:ascii="Arial" w:cs="Arial" w:eastAsia="Arial" w:hAnsi="Arial"/>
                <w:sz w:val="18"/>
                <w:szCs w:val="18"/>
                <w:color w:val="auto"/>
              </w:rPr>
              <w:t>Tax benefits related to exercise of stock options</w:t>
            </w:r>
          </w:p>
        </w:tc>
        <w:tc>
          <w:tcPr>
            <w:tcW w:w="160" w:type="dxa"/>
            <w:vAlign w:val="bottom"/>
            <w:shd w:val="clear" w:color="auto" w:fill="C0C0C0"/>
          </w:tcPr>
          <w:p>
            <w:pPr>
              <w:jc w:val="right"/>
              <w:ind w:right="3"/>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144</w:t>
            </w:r>
          </w:p>
        </w:tc>
        <w:tc>
          <w:tcPr>
            <w:tcW w:w="340" w:type="dxa"/>
            <w:vAlign w:val="bottom"/>
            <w:tcBorders>
              <w:right w:val="single" w:sz="8" w:color="C0C0C0"/>
            </w:tcBorders>
            <w:shd w:val="clear" w:color="auto" w:fill="C0C0C0"/>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-1468120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-1468120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-1468120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-1468120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1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469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jc w:val="center"/>
        <w:ind w:right="2139"/>
        <w:spacing w:after="0"/>
        <w:rPr>
          <w:sz w:val="20"/>
          <w:szCs w:val="20"/>
          <w:color w:val="auto"/>
        </w:rPr>
      </w:pPr>
      <w:r>
        <w:rPr>
          <w:rFonts w:ascii="Arial" w:cs="Arial" w:eastAsia="Arial" w:hAnsi="Arial"/>
          <w:sz w:val="18"/>
          <w:szCs w:val="18"/>
          <w:b w:val="1"/>
          <w:bCs w:val="1"/>
          <w:color w:val="auto"/>
        </w:rPr>
        <w:t>DAKTRONICS, INC. AND SUBSIDIARIES</w:t>
      </w:r>
    </w:p>
    <w:p>
      <w:pPr>
        <w:spacing w:after="0" w:line="21" w:lineRule="exact"/>
        <w:rPr>
          <w:sz w:val="20"/>
          <w:szCs w:val="20"/>
          <w:color w:val="auto"/>
        </w:rPr>
      </w:pPr>
    </w:p>
    <w:p>
      <w:pPr>
        <w:jc w:val="center"/>
        <w:ind w:right="2139"/>
        <w:spacing w:after="0"/>
        <w:rPr>
          <w:sz w:val="20"/>
          <w:szCs w:val="20"/>
          <w:color w:val="auto"/>
        </w:rPr>
      </w:pPr>
      <w:r>
        <w:rPr>
          <w:rFonts w:ascii="Arial" w:cs="Arial" w:eastAsia="Arial" w:hAnsi="Arial"/>
          <w:sz w:val="18"/>
          <w:szCs w:val="18"/>
          <w:color w:val="auto"/>
        </w:rPr>
        <w:t>NOTES TO THE CONSOLIDATED FINANCIAL STATEMENTS</w:t>
      </w:r>
    </w:p>
    <w:p>
      <w:pPr>
        <w:spacing w:after="0" w:line="9" w:lineRule="exact"/>
        <w:rPr>
          <w:sz w:val="20"/>
          <w:szCs w:val="20"/>
          <w:color w:val="auto"/>
        </w:rPr>
      </w:pPr>
    </w:p>
    <w:p>
      <w:pPr>
        <w:jc w:val="center"/>
        <w:ind w:right="2139"/>
        <w:spacing w:after="0"/>
        <w:rPr>
          <w:sz w:val="20"/>
          <w:szCs w:val="20"/>
          <w:color w:val="auto"/>
        </w:rPr>
      </w:pPr>
      <w:r>
        <w:rPr>
          <w:rFonts w:ascii="Arial" w:cs="Arial" w:eastAsia="Arial" w:hAnsi="Arial"/>
          <w:sz w:val="18"/>
          <w:szCs w:val="18"/>
          <w:color w:val="auto"/>
        </w:rPr>
        <w:t>(in thousands, except share and per share amounts)</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(unaudited)</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312" w:lineRule="exact"/>
        <w:rPr>
          <w:sz w:val="20"/>
          <w:szCs w:val="20"/>
          <w:color w:val="auto"/>
        </w:rPr>
      </w:pPr>
    </w:p>
    <w:p>
      <w:pPr>
        <w:ind w:right="2139" w:firstLine="351"/>
        <w:spacing w:after="0" w:line="291" w:lineRule="auto"/>
        <w:rPr>
          <w:sz w:val="20"/>
          <w:szCs w:val="20"/>
          <w:color w:val="auto"/>
        </w:rPr>
      </w:pPr>
      <w:r>
        <w:rPr>
          <w:rFonts w:ascii="Arial" w:cs="Arial" w:eastAsia="Arial" w:hAnsi="Arial"/>
          <w:sz w:val="16"/>
          <w:szCs w:val="16"/>
          <w:color w:val="auto"/>
        </w:rPr>
        <w:t>In the opinion of management, the accompanying unaudited financial statements contain all adjustments necessary to fairly present the Company’s financial position, results of operations and cash flows for the periods presented. The preparation of financial statements in conformity with accounting principles generally accepted in the United States of America requires management to make estimates and assumptions that affect the reported amounts therein. Due to the inherent uncertainty involved in making estimates, actual results in future periods may differ from those estimates.</w:t>
      </w:r>
    </w:p>
    <w:p>
      <w:pPr>
        <w:spacing w:after="0" w:line="174" w:lineRule="exact"/>
        <w:rPr>
          <w:sz w:val="20"/>
          <w:szCs w:val="20"/>
          <w:color w:val="auto"/>
        </w:rPr>
      </w:pPr>
    </w:p>
    <w:p>
      <w:pPr>
        <w:ind w:right="2179" w:firstLine="351"/>
        <w:spacing w:after="0" w:line="288" w:lineRule="auto"/>
        <w:rPr>
          <w:sz w:val="20"/>
          <w:szCs w:val="20"/>
          <w:color w:val="auto"/>
        </w:rPr>
      </w:pPr>
      <w:r>
        <w:rPr>
          <w:rFonts w:ascii="Arial" w:cs="Arial" w:eastAsia="Arial" w:hAnsi="Arial"/>
          <w:sz w:val="16"/>
          <w:szCs w:val="16"/>
          <w:color w:val="auto"/>
        </w:rPr>
        <w:t>Certain information and footnote disclosures normally included in financial statements prepared in accordance with accounting principles generally accepted in the United States of America have been condensed or omitted. The balance sheet at April 27, 2002, has been derived from the audited financial statements at that date but does not include all of the information and footnotes required by generally accepted accounting principles for complete financial statements. These financial statements should be read in conjunction with the Company’s financial statements and notes thereto for the year ended April 27, 2002, which are contained in the Company’s Annual Report on Form 10-K, previously filed with the Securities and Exchange Commission. The results of operations for the interim periods presented are not necessarily indicative of results that may be expected for any other interim period or for the full fiscal year.</w:t>
      </w:r>
    </w:p>
    <w:p>
      <w:pPr>
        <w:spacing w:after="0" w:line="174" w:lineRule="exact"/>
        <w:rPr>
          <w:sz w:val="20"/>
          <w:szCs w:val="20"/>
          <w:color w:val="auto"/>
        </w:rPr>
      </w:pPr>
    </w:p>
    <w:p>
      <w:pPr>
        <w:ind w:right="2179" w:firstLine="348"/>
        <w:spacing w:after="0" w:line="370" w:lineRule="auto"/>
        <w:rPr>
          <w:sz w:val="20"/>
          <w:szCs w:val="20"/>
          <w:color w:val="auto"/>
        </w:rPr>
      </w:pPr>
      <w:r>
        <w:rPr>
          <w:rFonts w:ascii="Arial" w:cs="Arial" w:eastAsia="Arial" w:hAnsi="Arial"/>
          <w:sz w:val="15"/>
          <w:szCs w:val="15"/>
          <w:color w:val="auto"/>
        </w:rPr>
        <w:t>The consolidated financial statements include the accounts of the Company and its wholly owned and greater than 50% owned subsidiaries. All significant inter-company accounts and transactions have been eliminated.</w:t>
      </w:r>
    </w:p>
    <w:p>
      <w:pPr>
        <w:sectPr>
          <w:pgSz w:w="11900" w:h="16838" w:orient="portrait"/>
          <w:cols w:equalWidth="0" w:num="1">
            <w:col w:w="10219"/>
          </w:cols>
          <w:pgMar w:left="240" w:top="140" w:right="1440" w:bottom="0" w:gutter="0" w:footer="0" w:header="0"/>
        </w:sectPr>
      </w:pPr>
    </w:p>
    <w:bookmarkStart w:id="5" w:name="page6"/>
    <w:bookmarkEnd w:id="5"/>
    <w:p>
      <w:pPr>
        <w:ind w:right="2579" w:firstLine="351"/>
        <w:spacing w:after="0" w:line="259" w:lineRule="auto"/>
        <w:rPr>
          <w:sz w:val="20"/>
          <w:szCs w:val="20"/>
          <w:color w:val="auto"/>
        </w:rPr>
      </w:pPr>
      <w:r>
        <w:rPr>
          <w:rFonts w:ascii="Arial" w:cs="Arial" w:eastAsia="Arial" w:hAnsi="Arial"/>
          <w:sz w:val="18"/>
          <w:szCs w:val="18"/>
          <w:color w:val="auto"/>
        </w:rPr>
        <w:t>Certain reclassifications have been made to the fiscal year 2002 financial statements to conform to the presentation used in the fiscal 2003 financial statements. The reclassifications had no effect on shareholders’ equity or net income as previously reported.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Recently Issued Accounting Pronouncements</w:t>
      </w:r>
    </w:p>
    <w:p>
      <w:pPr>
        <w:spacing w:after="0" w:line="312" w:lineRule="exact"/>
        <w:rPr>
          <w:sz w:val="20"/>
          <w:szCs w:val="20"/>
          <w:color w:val="auto"/>
        </w:rPr>
      </w:pPr>
    </w:p>
    <w:p>
      <w:pPr>
        <w:ind w:right="2179" w:firstLine="351"/>
        <w:spacing w:after="0" w:line="318" w:lineRule="auto"/>
        <w:rPr>
          <w:sz w:val="20"/>
          <w:szCs w:val="20"/>
          <w:color w:val="auto"/>
        </w:rPr>
      </w:pPr>
      <w:r>
        <w:rPr>
          <w:rFonts w:ascii="Arial" w:cs="Arial" w:eastAsia="Arial" w:hAnsi="Arial"/>
          <w:sz w:val="15"/>
          <w:szCs w:val="15"/>
          <w:color w:val="auto"/>
        </w:rPr>
        <w:t>In June 2001, the Financial Accounting Standards Board issued Statement of Financial Accounting Standards (“SFAS”) No. 143, “Accounting for Asset Retirement Obligations.” This statement, which is effective for fiscal years beginning after June 15, 2002, covers the accounting for closure or removal-type costs that are incurred with respect to long-lived assets. The nature of the Company’s business and long-lived assets is such that adoption of this new standard should have no significant impact on the Company’s financial position or results of operations.</w:t>
      </w:r>
    </w:p>
    <w:p>
      <w:pPr>
        <w:spacing w:after="0" w:line="154" w:lineRule="exact"/>
        <w:rPr>
          <w:sz w:val="20"/>
          <w:szCs w:val="20"/>
          <w:color w:val="auto"/>
        </w:rPr>
      </w:pPr>
    </w:p>
    <w:p>
      <w:pPr>
        <w:ind w:right="2119" w:firstLine="351"/>
        <w:spacing w:after="0" w:line="286" w:lineRule="auto"/>
        <w:rPr>
          <w:sz w:val="20"/>
          <w:szCs w:val="20"/>
          <w:color w:val="auto"/>
        </w:rPr>
      </w:pPr>
      <w:r>
        <w:rPr>
          <w:rFonts w:ascii="Arial" w:cs="Arial" w:eastAsia="Arial" w:hAnsi="Arial"/>
          <w:sz w:val="16"/>
          <w:szCs w:val="16"/>
          <w:color w:val="auto"/>
        </w:rPr>
        <w:t>In August 2001, the FASB issued SFAS No. 144, “Accounting for the Impairment or Disposal of Long-Lived Assets,” which supersedes FASB No. 121, “Accounting for the Impairment of Long-Lived Assets and for Long-Lived Assets to be Disposed of.” The new statement also supersedes certain aspects of APB 30, “Reporting the Results of Operations-Reporting the Effects of Disposal of a Segment of a Business, and Extraordinary, Unusual and Infrequently Occurring Events and Transactions,” with regard to reporting the effects of a disposal of a segment of a business and will require expected future operating losses from discontinued operations to be reported in discontinued operations in the period incurred rather than as of the measurement date as presently required by APB 30. Additionally, certain dispositions may now qualify for discontinued operations treatment. The provisions of the statement are required to be applied for fiscal years beginning after December 15, 2001 and interim periods within those fiscal years. The adoption of SFAS No.144 had no impact on the Company’s financial position or results of operations.</w:t>
      </w:r>
    </w:p>
    <w:p>
      <w:pPr>
        <w:spacing w:after="0" w:line="181" w:lineRule="exact"/>
        <w:rPr>
          <w:sz w:val="20"/>
          <w:szCs w:val="20"/>
          <w:color w:val="auto"/>
        </w:rPr>
      </w:pPr>
    </w:p>
    <w:p>
      <w:pPr>
        <w:ind w:right="2319" w:firstLine="351"/>
        <w:spacing w:after="0" w:line="332" w:lineRule="auto"/>
        <w:rPr>
          <w:sz w:val="20"/>
          <w:szCs w:val="20"/>
          <w:color w:val="auto"/>
        </w:rPr>
      </w:pPr>
      <w:r>
        <w:rPr>
          <w:rFonts w:ascii="Arial" w:cs="Arial" w:eastAsia="Arial" w:hAnsi="Arial"/>
          <w:sz w:val="16"/>
          <w:szCs w:val="16"/>
          <w:color w:val="auto"/>
        </w:rPr>
        <w:t xml:space="preserve">In July 2002, the FASB issued Statement of Financial Accounting Standards No. 146, </w:t>
      </w:r>
      <w:r>
        <w:rPr>
          <w:rFonts w:ascii="Arial" w:cs="Arial" w:eastAsia="Arial" w:hAnsi="Arial"/>
          <w:sz w:val="16"/>
          <w:szCs w:val="16"/>
          <w:i w:val="1"/>
          <w:iCs w:val="1"/>
          <w:color w:val="auto"/>
        </w:rPr>
        <w:t>Accounting for Costs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Associated with Exit or Disposal Activities </w:t>
      </w:r>
      <w:r>
        <w:rPr>
          <w:rFonts w:ascii="Arial" w:cs="Arial" w:eastAsia="Arial" w:hAnsi="Arial"/>
          <w:sz w:val="16"/>
          <w:szCs w:val="16"/>
          <w:color w:val="auto"/>
        </w:rPr>
        <w:t>(SFAS 146). SFAS 146 addresses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469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right="2119"/>
        <w:spacing w:after="0" w:line="290" w:lineRule="auto"/>
        <w:rPr>
          <w:sz w:val="20"/>
          <w:szCs w:val="20"/>
          <w:color w:val="auto"/>
        </w:rPr>
      </w:pPr>
      <w:r>
        <w:rPr>
          <w:rFonts w:ascii="Arial" w:cs="Arial" w:eastAsia="Arial" w:hAnsi="Arial"/>
          <w:sz w:val="16"/>
          <w:szCs w:val="16"/>
          <w:color w:val="auto"/>
        </w:rPr>
        <w:t xml:space="preserve">accounting and reporting for costs associated with exit or disposal activities and replaces Emerging Issues Task Force Issue No. 94-3, </w:t>
      </w:r>
      <w:r>
        <w:rPr>
          <w:rFonts w:ascii="Arial" w:cs="Arial" w:eastAsia="Arial" w:hAnsi="Arial"/>
          <w:sz w:val="16"/>
          <w:szCs w:val="16"/>
          <w:i w:val="1"/>
          <w:iCs w:val="1"/>
          <w:color w:val="auto"/>
        </w:rPr>
        <w:t>Liability Recognition for Certain Employee Termination Benefits and Other Costs to Exit an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Activity (including Certain Costs Incurred in Restructuring). </w:t>
      </w:r>
      <w:r>
        <w:rPr>
          <w:rFonts w:ascii="Arial" w:cs="Arial" w:eastAsia="Arial" w:hAnsi="Arial"/>
          <w:sz w:val="16"/>
          <w:szCs w:val="16"/>
          <w:color w:val="auto"/>
        </w:rPr>
        <w:t>SFAS 146 requires that a liability for a cost</w:t>
      </w:r>
      <w:r>
        <w:rPr>
          <w:rFonts w:ascii="Arial" w:cs="Arial" w:eastAsia="Arial" w:hAnsi="Arial"/>
          <w:sz w:val="16"/>
          <w:szCs w:val="16"/>
          <w:i w:val="1"/>
          <w:iCs w:val="1"/>
          <w:color w:val="auto"/>
        </w:rPr>
        <w:t xml:space="preserve"> </w:t>
      </w:r>
      <w:r>
        <w:rPr>
          <w:rFonts w:ascii="Arial" w:cs="Arial" w:eastAsia="Arial" w:hAnsi="Arial"/>
          <w:sz w:val="16"/>
          <w:szCs w:val="16"/>
          <w:color w:val="auto"/>
        </w:rPr>
        <w:t>associated with an exit or disposal activity be recognized when the liability is incurred. SFAS 146 also establishes that fair value is the objective for initial measurement of the liability. The statement is effective for exit or disposal activities initiated after December 31, 2002. The adoption of this new standard did not have a significant impact on the Company’s financial position or results of operations.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 Recognition</w:t>
      </w:r>
    </w:p>
    <w:p>
      <w:pPr>
        <w:spacing w:after="0" w:line="312" w:lineRule="exact"/>
        <w:rPr>
          <w:sz w:val="20"/>
          <w:szCs w:val="20"/>
          <w:color w:val="auto"/>
        </w:rPr>
      </w:pPr>
    </w:p>
    <w:p>
      <w:pPr>
        <w:ind w:right="2179" w:firstLine="351"/>
        <w:spacing w:after="0" w:line="294" w:lineRule="auto"/>
        <w:rPr>
          <w:sz w:val="20"/>
          <w:szCs w:val="20"/>
          <w:color w:val="auto"/>
        </w:rPr>
      </w:pPr>
      <w:r>
        <w:rPr>
          <w:rFonts w:ascii="Arial" w:cs="Arial" w:eastAsia="Arial" w:hAnsi="Arial"/>
          <w:sz w:val="16"/>
          <w:szCs w:val="16"/>
          <w:i w:val="1"/>
          <w:iCs w:val="1"/>
          <w:color w:val="auto"/>
        </w:rPr>
        <w:t xml:space="preserve">Long-term contracts: </w:t>
      </w:r>
      <w:r>
        <w:rPr>
          <w:rFonts w:ascii="Arial" w:cs="Arial" w:eastAsia="Arial" w:hAnsi="Arial"/>
          <w:sz w:val="16"/>
          <w:szCs w:val="16"/>
          <w:color w:val="auto"/>
        </w:rPr>
        <w:t>Earnings on long-term contacts (defined by the Company as contracts in excess of</w:t>
      </w:r>
      <w:r>
        <w:rPr>
          <w:rFonts w:ascii="Arial" w:cs="Arial" w:eastAsia="Arial" w:hAnsi="Arial"/>
          <w:sz w:val="16"/>
          <w:szCs w:val="16"/>
          <w:i w:val="1"/>
          <w:iCs w:val="1"/>
          <w:color w:val="auto"/>
        </w:rPr>
        <w:t xml:space="preserve"> </w:t>
      </w:r>
      <w:r>
        <w:rPr>
          <w:rFonts w:ascii="Arial" w:cs="Arial" w:eastAsia="Arial" w:hAnsi="Arial"/>
          <w:sz w:val="16"/>
          <w:szCs w:val="16"/>
          <w:color w:val="auto"/>
        </w:rPr>
        <w:t>$100,000 of non-standard products and services) are recognized on the percentage-of-completion method, measured by the percentage of costs incurred to date to estimated total costs for each contract. Operating expenses are charged to operations as incurred and are not allocated to contract costs. Provisions for estimated losses on uncompleted contracts are made in the period in which such losses are estimable.</w:t>
      </w:r>
    </w:p>
    <w:p>
      <w:pPr>
        <w:spacing w:after="0" w:line="170" w:lineRule="exact"/>
        <w:rPr>
          <w:sz w:val="20"/>
          <w:szCs w:val="20"/>
          <w:color w:val="auto"/>
        </w:rPr>
      </w:pPr>
    </w:p>
    <w:p>
      <w:pPr>
        <w:ind w:right="2219" w:firstLine="351"/>
        <w:spacing w:after="0" w:line="268" w:lineRule="auto"/>
        <w:rPr>
          <w:sz w:val="20"/>
          <w:szCs w:val="20"/>
          <w:color w:val="auto"/>
        </w:rPr>
      </w:pPr>
      <w:r>
        <w:rPr>
          <w:rFonts w:ascii="Arial" w:cs="Arial" w:eastAsia="Arial" w:hAnsi="Arial"/>
          <w:sz w:val="18"/>
          <w:szCs w:val="18"/>
          <w:i w:val="1"/>
          <w:iCs w:val="1"/>
          <w:color w:val="auto"/>
        </w:rPr>
        <w:t xml:space="preserve">Equipment other than long-term contracts: </w:t>
      </w:r>
      <w:r>
        <w:rPr>
          <w:rFonts w:ascii="Arial" w:cs="Arial" w:eastAsia="Arial" w:hAnsi="Arial"/>
          <w:sz w:val="18"/>
          <w:szCs w:val="18"/>
          <w:color w:val="auto"/>
        </w:rPr>
        <w:t>The Company recognizes revenue on equipment sales, other than</w:t>
      </w:r>
      <w:r>
        <w:rPr>
          <w:rFonts w:ascii="Arial" w:cs="Arial" w:eastAsia="Arial" w:hAnsi="Arial"/>
          <w:sz w:val="18"/>
          <w:szCs w:val="18"/>
          <w:i w:val="1"/>
          <w:iCs w:val="1"/>
          <w:color w:val="auto"/>
        </w:rPr>
        <w:t xml:space="preserve"> </w:t>
      </w:r>
      <w:r>
        <w:rPr>
          <w:rFonts w:ascii="Arial" w:cs="Arial" w:eastAsia="Arial" w:hAnsi="Arial"/>
          <w:sz w:val="18"/>
          <w:szCs w:val="18"/>
          <w:color w:val="auto"/>
        </w:rPr>
        <w:t>long-term contracts, when title passes, which is usually upon shipment.</w:t>
      </w:r>
    </w:p>
    <w:p>
      <w:pPr>
        <w:spacing w:after="0" w:line="186" w:lineRule="exact"/>
        <w:rPr>
          <w:sz w:val="20"/>
          <w:szCs w:val="20"/>
          <w:color w:val="auto"/>
        </w:rPr>
      </w:pPr>
    </w:p>
    <w:p>
      <w:pPr>
        <w:ind w:right="2099" w:firstLine="351"/>
        <w:spacing w:after="0" w:line="256" w:lineRule="auto"/>
        <w:rPr>
          <w:sz w:val="20"/>
          <w:szCs w:val="20"/>
          <w:color w:val="auto"/>
        </w:rPr>
      </w:pPr>
      <w:r>
        <w:rPr>
          <w:rFonts w:ascii="Arial" w:cs="Arial" w:eastAsia="Arial" w:hAnsi="Arial"/>
          <w:sz w:val="18"/>
          <w:szCs w:val="18"/>
          <w:i w:val="1"/>
          <w:iCs w:val="1"/>
          <w:color w:val="auto"/>
        </w:rPr>
        <w:t xml:space="preserve">Advertising rights: </w:t>
      </w:r>
      <w:r>
        <w:rPr>
          <w:rFonts w:ascii="Arial" w:cs="Arial" w:eastAsia="Arial" w:hAnsi="Arial"/>
          <w:sz w:val="18"/>
          <w:szCs w:val="18"/>
          <w:color w:val="auto"/>
        </w:rPr>
        <w:t>The Company occasionally sells and installs its products at facilities in exchange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rights to sell and retain future advertising revenues. It recognizes revenue for the amount of the present value of the future advertising payments at such time that all such advertising is sold for the full term of the contract for the advertising rights.</w:t>
      </w:r>
    </w:p>
    <w:p>
      <w:pPr>
        <w:spacing w:after="0" w:line="197" w:lineRule="exact"/>
        <w:rPr>
          <w:sz w:val="20"/>
          <w:szCs w:val="20"/>
          <w:color w:val="auto"/>
        </w:rPr>
      </w:pPr>
    </w:p>
    <w:p>
      <w:pPr>
        <w:ind w:right="2119" w:firstLine="351"/>
        <w:spacing w:after="0" w:line="294" w:lineRule="auto"/>
        <w:rPr>
          <w:sz w:val="20"/>
          <w:szCs w:val="20"/>
          <w:color w:val="auto"/>
        </w:rPr>
      </w:pPr>
      <w:r>
        <w:rPr>
          <w:rFonts w:ascii="Arial" w:cs="Arial" w:eastAsia="Arial" w:hAnsi="Arial"/>
          <w:sz w:val="16"/>
          <w:szCs w:val="16"/>
          <w:color w:val="auto"/>
        </w:rPr>
        <w:t>On those transactions where the Company has not sold the advertising for the full term of the rights, it records the related cost of equipment as advertising rights and amortizes that cost over the term of the rights. Revenue is recognized when it is earned under the provisions of applicable advertising contracts. Advance collections of advertising revenues are recorded as deferred income. The cost of capitalized advertising rights, net of amortization, was $400 as of February 1, 2003 and $489 as of April 27, 2002.</w:t>
      </w:r>
    </w:p>
    <w:p>
      <w:pPr>
        <w:spacing w:after="0" w:line="170" w:lineRule="exact"/>
        <w:rPr>
          <w:sz w:val="20"/>
          <w:szCs w:val="20"/>
          <w:color w:val="auto"/>
        </w:rPr>
      </w:pPr>
    </w:p>
    <w:p>
      <w:pPr>
        <w:ind w:right="2119" w:firstLine="351"/>
        <w:spacing w:after="0" w:line="306" w:lineRule="auto"/>
        <w:rPr>
          <w:sz w:val="20"/>
          <w:szCs w:val="20"/>
          <w:color w:val="auto"/>
        </w:rPr>
      </w:pPr>
      <w:r>
        <w:rPr>
          <w:rFonts w:ascii="Arial" w:cs="Arial" w:eastAsia="Arial" w:hAnsi="Arial"/>
          <w:sz w:val="16"/>
          <w:szCs w:val="16"/>
          <w:i w:val="1"/>
          <w:iCs w:val="1"/>
          <w:color w:val="auto"/>
        </w:rPr>
        <w:t xml:space="preserve">Product maintenance: </w:t>
      </w:r>
      <w:r>
        <w:rPr>
          <w:rFonts w:ascii="Arial" w:cs="Arial" w:eastAsia="Arial" w:hAnsi="Arial"/>
          <w:sz w:val="16"/>
          <w:szCs w:val="16"/>
          <w:color w:val="auto"/>
        </w:rPr>
        <w:t>In connection with the sale of the Company’s products, it also occasionally sells</w:t>
      </w:r>
      <w:r>
        <w:rPr>
          <w:rFonts w:ascii="Arial" w:cs="Arial" w:eastAsia="Arial" w:hAnsi="Arial"/>
          <w:sz w:val="16"/>
          <w:szCs w:val="16"/>
          <w:i w:val="1"/>
          <w:iCs w:val="1"/>
          <w:color w:val="auto"/>
        </w:rPr>
        <w:t xml:space="preserve"> </w:t>
      </w:r>
      <w:r>
        <w:rPr>
          <w:rFonts w:ascii="Arial" w:cs="Arial" w:eastAsia="Arial" w:hAnsi="Arial"/>
          <w:sz w:val="16"/>
          <w:szCs w:val="16"/>
          <w:color w:val="auto"/>
        </w:rPr>
        <w:t>separately priced extended warranties and product maintenance contracts. The revenue related to such contracts are deferred and recognized as net sales over the term of the agreement which varies from two to ten years.</w:t>
      </w:r>
    </w:p>
    <w:p>
      <w:pPr>
        <w:spacing w:after="0" w:line="161" w:lineRule="exact"/>
        <w:rPr>
          <w:sz w:val="20"/>
          <w:szCs w:val="20"/>
          <w:color w:val="auto"/>
        </w:rPr>
      </w:pPr>
    </w:p>
    <w:p>
      <w:pPr>
        <w:ind w:right="2199" w:firstLine="351"/>
        <w:spacing w:after="0" w:line="312" w:lineRule="auto"/>
        <w:rPr>
          <w:sz w:val="20"/>
          <w:szCs w:val="20"/>
          <w:color w:val="auto"/>
        </w:rPr>
      </w:pPr>
      <w:r>
        <w:rPr>
          <w:rFonts w:ascii="Arial" w:cs="Arial" w:eastAsia="Arial" w:hAnsi="Arial"/>
          <w:sz w:val="15"/>
          <w:szCs w:val="15"/>
          <w:i w:val="1"/>
          <w:iCs w:val="1"/>
          <w:color w:val="auto"/>
        </w:rPr>
        <w:t xml:space="preserve">Software: </w:t>
      </w:r>
      <w:r>
        <w:rPr>
          <w:rFonts w:ascii="Arial" w:cs="Arial" w:eastAsia="Arial" w:hAnsi="Arial"/>
          <w:sz w:val="15"/>
          <w:szCs w:val="15"/>
          <w:color w:val="auto"/>
        </w:rPr>
        <w:t>The Company typically sells its proprietary software bundled with its video displays and certain</w:t>
      </w:r>
      <w:r>
        <w:rPr>
          <w:rFonts w:ascii="Arial" w:cs="Arial" w:eastAsia="Arial" w:hAnsi="Arial"/>
          <w:sz w:val="15"/>
          <w:szCs w:val="15"/>
          <w:i w:val="1"/>
          <w:iCs w:val="1"/>
          <w:color w:val="auto"/>
        </w:rPr>
        <w:t xml:space="preserve"> </w:t>
      </w:r>
      <w:r>
        <w:rPr>
          <w:rFonts w:ascii="Arial" w:cs="Arial" w:eastAsia="Arial" w:hAnsi="Arial"/>
          <w:sz w:val="15"/>
          <w:szCs w:val="15"/>
          <w:color w:val="auto"/>
        </w:rPr>
        <w:t>other products. Pursuant to American Institute of Certified Public Accountants (“AICPA”) Statement of Position (“SOP”) 97-2, “Software Revenue Recognition,” as amended by SOP 98-4, “Deferral of the Effective Date of a Provision of SOP 97-2” and SOP 98-9, “Modification of SOP 97-2, Software Revenue Recognition with Respect to Certain Transactions” revenues from software license fees on sales, other than long-term contracts are recognized when persuasive evidence of an agreement exists, delivery of the product has occurred, the fee is fixed or determinable and collection is probable. For sales of software, included in long-term contracts, the revenue is</w:t>
      </w:r>
    </w:p>
    <w:p>
      <w:pPr>
        <w:sectPr>
          <w:pgSz w:w="11900" w:h="16838" w:orient="portrait"/>
          <w:cols w:equalWidth="0" w:num="1">
            <w:col w:w="10219"/>
          </w:cols>
          <w:pgMar w:left="240" w:top="131" w:right="1440" w:bottom="0" w:gutter="0" w:footer="0" w:header="0"/>
        </w:sectPr>
      </w:pPr>
    </w:p>
    <w:bookmarkStart w:id="6" w:name="page7"/>
    <w:bookmarkEnd w:id="6"/>
    <w:p>
      <w:pPr>
        <w:ind w:right="2139"/>
        <w:spacing w:after="0" w:line="268" w:lineRule="auto"/>
        <w:rPr>
          <w:sz w:val="20"/>
          <w:szCs w:val="20"/>
          <w:color w:val="auto"/>
        </w:rPr>
      </w:pPr>
      <w:r>
        <w:rPr>
          <w:rFonts w:ascii="Arial" w:cs="Arial" w:eastAsia="Arial" w:hAnsi="Arial"/>
          <w:sz w:val="18"/>
          <w:szCs w:val="18"/>
          <w:color w:val="auto"/>
        </w:rPr>
        <w:t>recognized under the percentage-of-completion method for long-term contracts starting when the above-mentioned criteria have been meet.</w:t>
      </w:r>
    </w:p>
    <w:p>
      <w:pPr>
        <w:spacing w:after="0" w:line="186" w:lineRule="exact"/>
        <w:rPr>
          <w:sz w:val="20"/>
          <w:szCs w:val="20"/>
          <w:color w:val="auto"/>
        </w:rPr>
      </w:pPr>
    </w:p>
    <w:p>
      <w:pPr>
        <w:ind w:right="2159" w:firstLine="351"/>
        <w:spacing w:after="0" w:line="259" w:lineRule="auto"/>
        <w:rPr>
          <w:sz w:val="20"/>
          <w:szCs w:val="20"/>
          <w:color w:val="auto"/>
        </w:rPr>
      </w:pPr>
      <w:r>
        <w:rPr>
          <w:rFonts w:ascii="Arial" w:cs="Arial" w:eastAsia="Arial" w:hAnsi="Arial"/>
          <w:sz w:val="18"/>
          <w:szCs w:val="18"/>
          <w:i w:val="1"/>
          <w:iCs w:val="1"/>
          <w:color w:val="auto"/>
        </w:rPr>
        <w:t xml:space="preserve">Services: </w:t>
      </w:r>
      <w:r>
        <w:rPr>
          <w:rFonts w:ascii="Arial" w:cs="Arial" w:eastAsia="Arial" w:hAnsi="Arial"/>
          <w:sz w:val="18"/>
          <w:szCs w:val="18"/>
          <w:color w:val="auto"/>
        </w:rPr>
        <w:t>Revenues generated by the Company for services, event support, control room design, on-site</w:t>
      </w:r>
      <w:r>
        <w:rPr>
          <w:rFonts w:ascii="Arial" w:cs="Arial" w:eastAsia="Arial" w:hAnsi="Arial"/>
          <w:sz w:val="18"/>
          <w:szCs w:val="18"/>
          <w:i w:val="1"/>
          <w:iCs w:val="1"/>
          <w:color w:val="auto"/>
        </w:rPr>
        <w:t xml:space="preserve"> </w:t>
      </w:r>
      <w:r>
        <w:rPr>
          <w:rFonts w:ascii="Arial" w:cs="Arial" w:eastAsia="Arial" w:hAnsi="Arial"/>
          <w:sz w:val="18"/>
          <w:szCs w:val="18"/>
          <w:color w:val="auto"/>
        </w:rPr>
        <w:t>training, and continuing technical support for operators of the Company’s equipment are recognized as net sales as the services are performed.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469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Earnings Per Share</w:t>
      </w:r>
    </w:p>
    <w:p>
      <w:pPr>
        <w:spacing w:after="0" w:line="299" w:lineRule="exact"/>
        <w:rPr>
          <w:sz w:val="20"/>
          <w:szCs w:val="20"/>
          <w:color w:val="auto"/>
        </w:rPr>
      </w:pPr>
    </w:p>
    <w:p>
      <w:pPr>
        <w:ind w:right="2219" w:firstLine="351"/>
        <w:spacing w:after="0" w:line="256" w:lineRule="auto"/>
        <w:rPr>
          <w:sz w:val="20"/>
          <w:szCs w:val="20"/>
          <w:color w:val="auto"/>
        </w:rPr>
      </w:pPr>
      <w:r>
        <w:rPr>
          <w:rFonts w:ascii="Arial" w:cs="Arial" w:eastAsia="Arial" w:hAnsi="Arial"/>
          <w:sz w:val="18"/>
          <w:szCs w:val="18"/>
          <w:color w:val="auto"/>
        </w:rPr>
        <w:t>Earnings per common share have been computed on the basis of the weighted-average number of common shares outstanding during each period presented. A reconciliation of the income and common share amounts used in the calculation of basic and diluted earnings per share (EPS) for the three and six months ended February 1, 2003 and January 26, 2002 follows: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7"/>
              </w:rPr>
              <w:t>Per Share</w:t>
            </w:r>
          </w:p>
        </w:tc>
        <w:tc>
          <w:tcPr>
            <w:tcW w:w="0" w:type="dxa"/>
            <w:vAlign w:val="bottom"/>
          </w:tcPr>
          <w:p>
            <w:pPr>
              <w:spacing w:after="0"/>
              <w:rPr>
                <w:sz w:val="1"/>
                <w:szCs w:val="1"/>
                <w:color w:val="auto"/>
              </w:rPr>
            </w:pPr>
          </w:p>
        </w:tc>
      </w:tr>
      <w:tr>
        <w:trPr>
          <w:trHeight w:val="174"/>
        </w:trPr>
        <w:tc>
          <w:tcPr>
            <w:tcW w:w="4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Net Income</w:t>
            </w:r>
          </w:p>
        </w:tc>
        <w:tc>
          <w:tcPr>
            <w:tcW w:w="20" w:type="dxa"/>
            <w:vAlign w:val="bottom"/>
          </w:tcPr>
          <w:p>
            <w:pPr>
              <w:spacing w:after="0"/>
              <w:rPr>
                <w:sz w:val="15"/>
                <w:szCs w:val="15"/>
                <w:color w:val="auto"/>
              </w:rPr>
            </w:pPr>
          </w:p>
        </w:tc>
        <w:tc>
          <w:tcPr>
            <w:tcW w:w="1180" w:type="dxa"/>
            <w:vAlign w:val="bottom"/>
            <w:gridSpan w:val="2"/>
          </w:tcPr>
          <w:p>
            <w:pPr>
              <w:ind w:left="40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95"/>
        </w:trPr>
        <w:tc>
          <w:tcPr>
            <w:tcW w:w="4460" w:type="dxa"/>
            <w:vAlign w:val="bottom"/>
            <w:gridSpan w:val="2"/>
            <w:vMerge w:val="restart"/>
          </w:tcPr>
          <w:p>
            <w:pPr>
              <w:spacing w:after="0"/>
              <w:rPr>
                <w:sz w:val="20"/>
                <w:szCs w:val="20"/>
                <w:color w:val="auto"/>
              </w:rPr>
            </w:pPr>
            <w:r>
              <w:rPr>
                <w:rFonts w:ascii="Arial" w:cs="Arial" w:eastAsia="Arial" w:hAnsi="Arial"/>
                <w:sz w:val="18"/>
                <w:szCs w:val="18"/>
                <w:color w:val="auto"/>
              </w:rPr>
              <w:t>For the three months ended February 1, 2003:</w:t>
            </w:r>
          </w:p>
        </w:tc>
        <w:tc>
          <w:tcPr>
            <w:tcW w:w="1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446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ind w:left="280"/>
              <w:spacing w:after="0"/>
              <w:rPr>
                <w:sz w:val="20"/>
                <w:szCs w:val="20"/>
                <w:color w:val="auto"/>
              </w:rPr>
            </w:pPr>
            <w:r>
              <w:rPr>
                <w:rFonts w:ascii="Arial" w:cs="Arial" w:eastAsia="Arial" w:hAnsi="Arial"/>
                <w:sz w:val="18"/>
                <w:szCs w:val="18"/>
                <w:color w:val="auto"/>
              </w:rPr>
              <w:t>Basic earnings per share</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1,888</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18,382,970</w:t>
            </w:r>
          </w:p>
        </w:tc>
        <w:tc>
          <w:tcPr>
            <w:tcW w:w="220" w:type="dxa"/>
            <w:vAlign w:val="bottom"/>
          </w:tcPr>
          <w:p>
            <w:pPr>
              <w:spacing w:after="0"/>
              <w:rPr>
                <w:sz w:val="18"/>
                <w:szCs w:val="18"/>
                <w:color w:val="auto"/>
              </w:rPr>
            </w:pPr>
          </w:p>
        </w:tc>
        <w:tc>
          <w:tcPr>
            <w:tcW w:w="220" w:type="dxa"/>
            <w:vAlign w:val="bottom"/>
            <w:gridSpan w:val="3"/>
          </w:tcPr>
          <w:p>
            <w:pPr>
              <w:jc w:val="right"/>
              <w:ind w:right="10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0.10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ind w:left="280"/>
              <w:spacing w:after="0"/>
              <w:rPr>
                <w:sz w:val="20"/>
                <w:szCs w:val="20"/>
                <w:color w:val="auto"/>
              </w:rPr>
            </w:pPr>
            <w:r>
              <w:rPr>
                <w:rFonts w:ascii="Arial" w:cs="Arial" w:eastAsia="Arial" w:hAnsi="Arial"/>
                <w:sz w:val="18"/>
                <w:szCs w:val="18"/>
                <w:color w:val="auto"/>
              </w:rPr>
              <w:t>Effect of dilutive securities:</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60" w:type="dxa"/>
            <w:vAlign w:val="bottom"/>
            <w:gridSpan w:val="2"/>
          </w:tcPr>
          <w:p>
            <w:pPr>
              <w:ind w:left="360"/>
              <w:spacing w:after="0"/>
              <w:rPr>
                <w:sz w:val="20"/>
                <w:szCs w:val="20"/>
                <w:color w:val="auto"/>
              </w:rPr>
            </w:pPr>
            <w:r>
              <w:rPr>
                <w:rFonts w:ascii="Arial" w:cs="Arial" w:eastAsia="Arial" w:hAnsi="Arial"/>
                <w:sz w:val="18"/>
                <w:szCs w:val="18"/>
                <w:color w:val="auto"/>
              </w:rPr>
              <w:t>Exercise of stock options</w:t>
            </w:r>
          </w:p>
        </w:tc>
        <w:tc>
          <w:tcPr>
            <w:tcW w:w="180" w:type="dxa"/>
            <w:vAlign w:val="bottom"/>
          </w:tcPr>
          <w:p>
            <w:pPr>
              <w:spacing w:after="0"/>
              <w:rPr>
                <w:sz w:val="19"/>
                <w:szCs w:val="19"/>
                <w:color w:val="auto"/>
              </w:rPr>
            </w:pPr>
          </w:p>
        </w:tc>
        <w:tc>
          <w:tcPr>
            <w:tcW w:w="11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1,313,903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4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Borders>
              <w:bottom w:val="single" w:sz="8" w:color="auto"/>
            </w:tcBorders>
            <w:gridSpan w:val="2"/>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auto"/>
            </w:tcBorders>
            <w:gridSpan w:val="2"/>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460" w:type="dxa"/>
            <w:vAlign w:val="bottom"/>
            <w:gridSpan w:val="2"/>
          </w:tcPr>
          <w:p>
            <w:pPr>
              <w:ind w:left="280"/>
              <w:spacing w:after="0"/>
              <w:rPr>
                <w:sz w:val="20"/>
                <w:szCs w:val="20"/>
                <w:color w:val="auto"/>
              </w:rPr>
            </w:pPr>
            <w:r>
              <w:rPr>
                <w:rFonts w:ascii="Arial" w:cs="Arial" w:eastAsia="Arial" w:hAnsi="Arial"/>
                <w:sz w:val="18"/>
                <w:szCs w:val="18"/>
                <w:color w:val="auto"/>
              </w:rPr>
              <w:t>Diluted earnings per share</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1,888</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19,696,873</w:t>
            </w:r>
          </w:p>
        </w:tc>
        <w:tc>
          <w:tcPr>
            <w:tcW w:w="220" w:type="dxa"/>
            <w:vAlign w:val="bottom"/>
          </w:tcPr>
          <w:p>
            <w:pPr>
              <w:spacing w:after="0"/>
              <w:rPr>
                <w:sz w:val="24"/>
                <w:szCs w:val="24"/>
                <w:color w:val="auto"/>
              </w:rPr>
            </w:pPr>
          </w:p>
        </w:tc>
        <w:tc>
          <w:tcPr>
            <w:tcW w:w="220" w:type="dxa"/>
            <w:vAlign w:val="bottom"/>
            <w:gridSpan w:val="3"/>
          </w:tcPr>
          <w:p>
            <w:pPr>
              <w:jc w:val="right"/>
              <w:ind w:right="10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0.10</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4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3"/>
        </w:trPr>
        <w:tc>
          <w:tcPr>
            <w:tcW w:w="4460" w:type="dxa"/>
            <w:vAlign w:val="bottom"/>
            <w:gridSpan w:val="2"/>
          </w:tcPr>
          <w:p>
            <w:pPr>
              <w:spacing w:after="0"/>
              <w:rPr>
                <w:sz w:val="20"/>
                <w:szCs w:val="20"/>
                <w:color w:val="auto"/>
              </w:rPr>
            </w:pPr>
            <w:r>
              <w:rPr>
                <w:rFonts w:ascii="Arial" w:cs="Arial" w:eastAsia="Arial" w:hAnsi="Arial"/>
                <w:sz w:val="18"/>
                <w:szCs w:val="18"/>
                <w:color w:val="auto"/>
              </w:rPr>
              <w:t>For the three months ended January 26, 2002:</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ind w:left="280"/>
              <w:spacing w:after="0"/>
              <w:rPr>
                <w:sz w:val="20"/>
                <w:szCs w:val="20"/>
                <w:color w:val="auto"/>
              </w:rPr>
            </w:pPr>
            <w:r>
              <w:rPr>
                <w:rFonts w:ascii="Arial" w:cs="Arial" w:eastAsia="Arial" w:hAnsi="Arial"/>
                <w:sz w:val="18"/>
                <w:szCs w:val="18"/>
                <w:color w:val="auto"/>
              </w:rPr>
              <w:t>Basic earnings per share</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100" w:type="dxa"/>
            <w:vAlign w:val="bottom"/>
            <w:gridSpan w:val="3"/>
          </w:tcPr>
          <w:p>
            <w:pPr>
              <w:jc w:val="right"/>
              <w:ind w:right="260"/>
              <w:spacing w:after="0"/>
              <w:rPr>
                <w:sz w:val="20"/>
                <w:szCs w:val="20"/>
                <w:color w:val="auto"/>
              </w:rPr>
            </w:pPr>
            <w:r>
              <w:rPr>
                <w:rFonts w:ascii="Arial" w:cs="Arial" w:eastAsia="Arial" w:hAnsi="Arial"/>
                <w:sz w:val="18"/>
                <w:szCs w:val="18"/>
                <w:color w:val="auto"/>
              </w:rPr>
              <w:t>(293)</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18,217,183</w:t>
            </w:r>
          </w:p>
        </w:tc>
        <w:tc>
          <w:tcPr>
            <w:tcW w:w="220" w:type="dxa"/>
            <w:vAlign w:val="bottom"/>
          </w:tcPr>
          <w:p>
            <w:pPr>
              <w:spacing w:after="0"/>
              <w:rPr>
                <w:sz w:val="18"/>
                <w:szCs w:val="18"/>
                <w:color w:val="auto"/>
              </w:rPr>
            </w:pPr>
          </w:p>
        </w:tc>
        <w:tc>
          <w:tcPr>
            <w:tcW w:w="220" w:type="dxa"/>
            <w:vAlign w:val="bottom"/>
            <w:gridSpan w:val="3"/>
          </w:tcPr>
          <w:p>
            <w:pPr>
              <w:jc w:val="right"/>
              <w:ind w:right="100"/>
              <w:spacing w:after="0"/>
              <w:rPr>
                <w:sz w:val="20"/>
                <w:szCs w:val="20"/>
                <w:color w:val="auto"/>
              </w:rPr>
            </w:pPr>
            <w:r>
              <w:rPr>
                <w:rFonts w:ascii="Arial" w:cs="Arial" w:eastAsia="Arial" w:hAnsi="Arial"/>
                <w:sz w:val="18"/>
                <w:szCs w:val="18"/>
                <w:color w:val="auto"/>
                <w:w w:val="99"/>
              </w:rPr>
              <w:t>$</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4460" w:type="dxa"/>
            <w:vAlign w:val="bottom"/>
            <w:gridSpan w:val="2"/>
          </w:tcPr>
          <w:p>
            <w:pPr>
              <w:ind w:left="280"/>
              <w:spacing w:after="0"/>
              <w:rPr>
                <w:sz w:val="20"/>
                <w:szCs w:val="20"/>
                <w:color w:val="auto"/>
              </w:rPr>
            </w:pPr>
            <w:r>
              <w:rPr>
                <w:rFonts w:ascii="Arial" w:cs="Arial" w:eastAsia="Arial" w:hAnsi="Arial"/>
                <w:sz w:val="18"/>
                <w:szCs w:val="18"/>
                <w:color w:val="auto"/>
              </w:rPr>
              <w:t>Effect of dilutive securities:</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60" w:type="dxa"/>
            <w:vAlign w:val="bottom"/>
            <w:gridSpan w:val="2"/>
          </w:tcPr>
          <w:p>
            <w:pPr>
              <w:ind w:left="360"/>
              <w:spacing w:after="0"/>
              <w:rPr>
                <w:sz w:val="20"/>
                <w:szCs w:val="20"/>
                <w:color w:val="auto"/>
              </w:rPr>
            </w:pPr>
            <w:r>
              <w:rPr>
                <w:rFonts w:ascii="Arial" w:cs="Arial" w:eastAsia="Arial" w:hAnsi="Arial"/>
                <w:sz w:val="18"/>
                <w:szCs w:val="18"/>
                <w:color w:val="auto"/>
              </w:rPr>
              <w:t>Exercise of stock options and warrants</w:t>
            </w:r>
          </w:p>
        </w:tc>
        <w:tc>
          <w:tcPr>
            <w:tcW w:w="180" w:type="dxa"/>
            <w:vAlign w:val="bottom"/>
          </w:tcPr>
          <w:p>
            <w:pPr>
              <w:spacing w:after="0"/>
              <w:rPr>
                <w:sz w:val="19"/>
                <w:szCs w:val="19"/>
                <w:color w:val="auto"/>
              </w:rPr>
            </w:pPr>
          </w:p>
        </w:tc>
        <w:tc>
          <w:tcPr>
            <w:tcW w:w="11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990,668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4460" w:type="dxa"/>
            <w:vAlign w:val="bottom"/>
            <w:gridSpan w:val="2"/>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20" w:type="dxa"/>
            <w:vAlign w:val="bottom"/>
            <w:gridSpan w:val="2"/>
          </w:tcPr>
          <w:p>
            <w:pPr>
              <w:spacing w:after="0"/>
              <w:rPr>
                <w:sz w:val="9"/>
                <w:szCs w:val="9"/>
                <w:color w:val="auto"/>
              </w:rPr>
            </w:pPr>
          </w:p>
        </w:tc>
        <w:tc>
          <w:tcPr>
            <w:tcW w:w="980" w:type="dxa"/>
            <w:vAlign w:val="bottom"/>
            <w:tcBorders>
              <w:bottom w:val="single" w:sz="8" w:color="auto"/>
            </w:tcBorders>
            <w:gridSpan w:val="2"/>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auto"/>
            </w:tcBorders>
            <w:gridSpan w:val="2"/>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6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460" w:type="dxa"/>
            <w:vAlign w:val="bottom"/>
            <w:gridSpan w:val="2"/>
          </w:tcPr>
          <w:p>
            <w:pPr>
              <w:ind w:left="280"/>
              <w:spacing w:after="0"/>
              <w:rPr>
                <w:sz w:val="20"/>
                <w:szCs w:val="20"/>
                <w:color w:val="auto"/>
              </w:rPr>
            </w:pPr>
            <w:r>
              <w:rPr>
                <w:rFonts w:ascii="Arial" w:cs="Arial" w:eastAsia="Arial" w:hAnsi="Arial"/>
                <w:sz w:val="18"/>
                <w:szCs w:val="18"/>
                <w:color w:val="auto"/>
              </w:rPr>
              <w:t>Diluted earnings per share</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100" w:type="dxa"/>
            <w:vAlign w:val="bottom"/>
            <w:gridSpan w:val="3"/>
          </w:tcPr>
          <w:p>
            <w:pPr>
              <w:jc w:val="right"/>
              <w:ind w:right="260"/>
              <w:spacing w:after="0"/>
              <w:rPr>
                <w:sz w:val="20"/>
                <w:szCs w:val="20"/>
                <w:color w:val="auto"/>
              </w:rPr>
            </w:pPr>
            <w:r>
              <w:rPr>
                <w:rFonts w:ascii="Arial" w:cs="Arial" w:eastAsia="Arial" w:hAnsi="Arial"/>
                <w:sz w:val="18"/>
                <w:szCs w:val="18"/>
                <w:color w:val="auto"/>
              </w:rPr>
              <w:t>(293)</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19,207,851</w:t>
            </w:r>
          </w:p>
        </w:tc>
        <w:tc>
          <w:tcPr>
            <w:tcW w:w="220" w:type="dxa"/>
            <w:vAlign w:val="bottom"/>
          </w:tcPr>
          <w:p>
            <w:pPr>
              <w:spacing w:after="0"/>
              <w:rPr>
                <w:sz w:val="24"/>
                <w:szCs w:val="24"/>
                <w:color w:val="auto"/>
              </w:rPr>
            </w:pPr>
          </w:p>
        </w:tc>
        <w:tc>
          <w:tcPr>
            <w:tcW w:w="220" w:type="dxa"/>
            <w:vAlign w:val="bottom"/>
            <w:gridSpan w:val="3"/>
          </w:tcPr>
          <w:p>
            <w:pPr>
              <w:jc w:val="right"/>
              <w:ind w:right="100"/>
              <w:spacing w:after="0"/>
              <w:rPr>
                <w:sz w:val="20"/>
                <w:szCs w:val="20"/>
                <w:color w:val="auto"/>
              </w:rPr>
            </w:pPr>
            <w:r>
              <w:rPr>
                <w:rFonts w:ascii="Arial" w:cs="Arial" w:eastAsia="Arial" w:hAnsi="Arial"/>
                <w:sz w:val="18"/>
                <w:szCs w:val="18"/>
                <w:color w:val="auto"/>
                <w:w w:val="99"/>
              </w:rPr>
              <w:t>$</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134"/>
        </w:trPr>
        <w:tc>
          <w:tcPr>
            <w:tcW w:w="4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3"/>
        </w:trPr>
        <w:tc>
          <w:tcPr>
            <w:tcW w:w="4460" w:type="dxa"/>
            <w:vAlign w:val="bottom"/>
            <w:gridSpan w:val="2"/>
          </w:tcPr>
          <w:p>
            <w:pPr>
              <w:spacing w:after="0"/>
              <w:rPr>
                <w:sz w:val="20"/>
                <w:szCs w:val="20"/>
                <w:color w:val="auto"/>
              </w:rPr>
            </w:pPr>
            <w:r>
              <w:rPr>
                <w:rFonts w:ascii="Arial" w:cs="Arial" w:eastAsia="Arial" w:hAnsi="Arial"/>
                <w:sz w:val="18"/>
                <w:szCs w:val="18"/>
                <w:color w:val="auto"/>
              </w:rPr>
              <w:t>For the nine months ended February 1, 2003:</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ind w:left="280"/>
              <w:spacing w:after="0"/>
              <w:rPr>
                <w:sz w:val="20"/>
                <w:szCs w:val="20"/>
                <w:color w:val="auto"/>
              </w:rPr>
            </w:pPr>
            <w:r>
              <w:rPr>
                <w:rFonts w:ascii="Arial" w:cs="Arial" w:eastAsia="Arial" w:hAnsi="Arial"/>
                <w:sz w:val="18"/>
                <w:szCs w:val="18"/>
                <w:color w:val="auto"/>
              </w:rPr>
              <w:t>Basic earnings per share</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9,047</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18,329,934</w:t>
            </w:r>
          </w:p>
        </w:tc>
        <w:tc>
          <w:tcPr>
            <w:tcW w:w="220" w:type="dxa"/>
            <w:vAlign w:val="bottom"/>
          </w:tcPr>
          <w:p>
            <w:pPr>
              <w:spacing w:after="0"/>
              <w:rPr>
                <w:sz w:val="18"/>
                <w:szCs w:val="18"/>
                <w:color w:val="auto"/>
              </w:rPr>
            </w:pPr>
          </w:p>
        </w:tc>
        <w:tc>
          <w:tcPr>
            <w:tcW w:w="220" w:type="dxa"/>
            <w:vAlign w:val="bottom"/>
            <w:gridSpan w:val="3"/>
          </w:tcPr>
          <w:p>
            <w:pPr>
              <w:jc w:val="right"/>
              <w:ind w:right="10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0.49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ind w:left="280"/>
              <w:spacing w:after="0"/>
              <w:rPr>
                <w:sz w:val="20"/>
                <w:szCs w:val="20"/>
                <w:color w:val="auto"/>
              </w:rPr>
            </w:pPr>
            <w:r>
              <w:rPr>
                <w:rFonts w:ascii="Arial" w:cs="Arial" w:eastAsia="Arial" w:hAnsi="Arial"/>
                <w:sz w:val="18"/>
                <w:szCs w:val="18"/>
                <w:color w:val="auto"/>
              </w:rPr>
              <w:t>Effect of dilutive securities:</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60" w:type="dxa"/>
            <w:vAlign w:val="bottom"/>
            <w:gridSpan w:val="2"/>
          </w:tcPr>
          <w:p>
            <w:pPr>
              <w:ind w:left="360"/>
              <w:spacing w:after="0"/>
              <w:rPr>
                <w:sz w:val="20"/>
                <w:szCs w:val="20"/>
                <w:color w:val="auto"/>
              </w:rPr>
            </w:pPr>
            <w:r>
              <w:rPr>
                <w:rFonts w:ascii="Arial" w:cs="Arial" w:eastAsia="Arial" w:hAnsi="Arial"/>
                <w:sz w:val="18"/>
                <w:szCs w:val="18"/>
                <w:color w:val="auto"/>
              </w:rPr>
              <w:t>Exercise of stock options</w:t>
            </w:r>
          </w:p>
        </w:tc>
        <w:tc>
          <w:tcPr>
            <w:tcW w:w="180" w:type="dxa"/>
            <w:vAlign w:val="bottom"/>
          </w:tcPr>
          <w:p>
            <w:pPr>
              <w:spacing w:after="0"/>
              <w:rPr>
                <w:sz w:val="19"/>
                <w:szCs w:val="19"/>
                <w:color w:val="auto"/>
              </w:rPr>
            </w:pPr>
          </w:p>
        </w:tc>
        <w:tc>
          <w:tcPr>
            <w:tcW w:w="11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1,066,409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110"/>
        </w:trPr>
        <w:tc>
          <w:tcPr>
            <w:tcW w:w="4460" w:type="dxa"/>
            <w:vAlign w:val="bottom"/>
            <w:gridSpan w:val="2"/>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Borders>
              <w:bottom w:val="single" w:sz="8" w:color="auto"/>
            </w:tcBorders>
            <w:gridSpan w:val="2"/>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auto"/>
            </w:tcBorders>
            <w:gridSpan w:val="2"/>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460" w:type="dxa"/>
            <w:vAlign w:val="bottom"/>
            <w:gridSpan w:val="2"/>
          </w:tcPr>
          <w:p>
            <w:pPr>
              <w:ind w:left="280"/>
              <w:spacing w:after="0"/>
              <w:rPr>
                <w:sz w:val="20"/>
                <w:szCs w:val="20"/>
                <w:color w:val="auto"/>
              </w:rPr>
            </w:pPr>
            <w:r>
              <w:rPr>
                <w:rFonts w:ascii="Arial" w:cs="Arial" w:eastAsia="Arial" w:hAnsi="Arial"/>
                <w:sz w:val="18"/>
                <w:szCs w:val="18"/>
                <w:color w:val="auto"/>
              </w:rPr>
              <w:t>Diluted earnings per share</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9,047</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19,396,343</w:t>
            </w:r>
          </w:p>
        </w:tc>
        <w:tc>
          <w:tcPr>
            <w:tcW w:w="220" w:type="dxa"/>
            <w:vAlign w:val="bottom"/>
          </w:tcPr>
          <w:p>
            <w:pPr>
              <w:spacing w:after="0"/>
              <w:rPr>
                <w:sz w:val="24"/>
                <w:szCs w:val="24"/>
                <w:color w:val="auto"/>
              </w:rPr>
            </w:pPr>
          </w:p>
        </w:tc>
        <w:tc>
          <w:tcPr>
            <w:tcW w:w="220" w:type="dxa"/>
            <w:vAlign w:val="bottom"/>
            <w:gridSpan w:val="3"/>
          </w:tcPr>
          <w:p>
            <w:pPr>
              <w:jc w:val="right"/>
              <w:ind w:right="10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0.47</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4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3"/>
        </w:trPr>
        <w:tc>
          <w:tcPr>
            <w:tcW w:w="4460" w:type="dxa"/>
            <w:vAlign w:val="bottom"/>
            <w:gridSpan w:val="2"/>
          </w:tcPr>
          <w:p>
            <w:pPr>
              <w:spacing w:after="0"/>
              <w:rPr>
                <w:sz w:val="20"/>
                <w:szCs w:val="20"/>
                <w:color w:val="auto"/>
              </w:rPr>
            </w:pPr>
            <w:r>
              <w:rPr>
                <w:rFonts w:ascii="Arial" w:cs="Arial" w:eastAsia="Arial" w:hAnsi="Arial"/>
                <w:sz w:val="18"/>
                <w:szCs w:val="18"/>
                <w:color w:val="auto"/>
              </w:rPr>
              <w:t>For the nine months ended January 26, 2002:</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ind w:left="280"/>
              <w:spacing w:after="0"/>
              <w:rPr>
                <w:sz w:val="20"/>
                <w:szCs w:val="20"/>
                <w:color w:val="auto"/>
              </w:rPr>
            </w:pPr>
            <w:r>
              <w:rPr>
                <w:rFonts w:ascii="Arial" w:cs="Arial" w:eastAsia="Arial" w:hAnsi="Arial"/>
                <w:sz w:val="18"/>
                <w:szCs w:val="18"/>
                <w:color w:val="auto"/>
              </w:rPr>
              <w:t>Basic earnings per share</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3,297</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18,307,103</w:t>
            </w:r>
          </w:p>
        </w:tc>
        <w:tc>
          <w:tcPr>
            <w:tcW w:w="220" w:type="dxa"/>
            <w:vAlign w:val="bottom"/>
          </w:tcPr>
          <w:p>
            <w:pPr>
              <w:spacing w:after="0"/>
              <w:rPr>
                <w:sz w:val="18"/>
                <w:szCs w:val="18"/>
                <w:color w:val="auto"/>
              </w:rPr>
            </w:pPr>
          </w:p>
        </w:tc>
        <w:tc>
          <w:tcPr>
            <w:tcW w:w="220" w:type="dxa"/>
            <w:vAlign w:val="bottom"/>
            <w:gridSpan w:val="3"/>
          </w:tcPr>
          <w:p>
            <w:pPr>
              <w:jc w:val="right"/>
              <w:ind w:right="10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0.18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ind w:left="280"/>
              <w:spacing w:after="0"/>
              <w:rPr>
                <w:sz w:val="20"/>
                <w:szCs w:val="20"/>
                <w:color w:val="auto"/>
              </w:rPr>
            </w:pPr>
            <w:r>
              <w:rPr>
                <w:rFonts w:ascii="Arial" w:cs="Arial" w:eastAsia="Arial" w:hAnsi="Arial"/>
                <w:sz w:val="18"/>
                <w:szCs w:val="18"/>
                <w:color w:val="auto"/>
              </w:rPr>
              <w:t>Effect of dilutive securities:</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60" w:type="dxa"/>
            <w:vAlign w:val="bottom"/>
            <w:gridSpan w:val="2"/>
          </w:tcPr>
          <w:p>
            <w:pPr>
              <w:ind w:left="360"/>
              <w:spacing w:after="0"/>
              <w:rPr>
                <w:sz w:val="20"/>
                <w:szCs w:val="20"/>
                <w:color w:val="auto"/>
              </w:rPr>
            </w:pPr>
            <w:r>
              <w:rPr>
                <w:rFonts w:ascii="Arial" w:cs="Arial" w:eastAsia="Arial" w:hAnsi="Arial"/>
                <w:sz w:val="18"/>
                <w:szCs w:val="18"/>
                <w:color w:val="auto"/>
              </w:rPr>
              <w:t>Exercise of stock options and warrants</w:t>
            </w:r>
          </w:p>
        </w:tc>
        <w:tc>
          <w:tcPr>
            <w:tcW w:w="180" w:type="dxa"/>
            <w:vAlign w:val="bottom"/>
          </w:tcPr>
          <w:p>
            <w:pPr>
              <w:spacing w:after="0"/>
              <w:rPr>
                <w:sz w:val="19"/>
                <w:szCs w:val="19"/>
                <w:color w:val="auto"/>
              </w:rPr>
            </w:pPr>
          </w:p>
        </w:tc>
        <w:tc>
          <w:tcPr>
            <w:tcW w:w="11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1,210,969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110"/>
        </w:trPr>
        <w:tc>
          <w:tcPr>
            <w:tcW w:w="4460" w:type="dxa"/>
            <w:vAlign w:val="bottom"/>
            <w:gridSpan w:val="2"/>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Borders>
              <w:bottom w:val="single" w:sz="8" w:color="auto"/>
            </w:tcBorders>
            <w:gridSpan w:val="2"/>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auto"/>
            </w:tcBorders>
            <w:gridSpan w:val="2"/>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460" w:type="dxa"/>
            <w:vAlign w:val="bottom"/>
            <w:gridSpan w:val="2"/>
          </w:tcPr>
          <w:p>
            <w:pPr>
              <w:ind w:left="280"/>
              <w:spacing w:after="0"/>
              <w:rPr>
                <w:sz w:val="20"/>
                <w:szCs w:val="20"/>
                <w:color w:val="auto"/>
              </w:rPr>
            </w:pPr>
            <w:r>
              <w:rPr>
                <w:rFonts w:ascii="Arial" w:cs="Arial" w:eastAsia="Arial" w:hAnsi="Arial"/>
                <w:sz w:val="18"/>
                <w:szCs w:val="18"/>
                <w:color w:val="auto"/>
              </w:rPr>
              <w:t>Diluted earnings per share</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3,297</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19,518,072</w:t>
            </w:r>
          </w:p>
        </w:tc>
        <w:tc>
          <w:tcPr>
            <w:tcW w:w="220" w:type="dxa"/>
            <w:vAlign w:val="bottom"/>
          </w:tcPr>
          <w:p>
            <w:pPr>
              <w:spacing w:after="0"/>
              <w:rPr>
                <w:sz w:val="24"/>
                <w:szCs w:val="24"/>
                <w:color w:val="auto"/>
              </w:rPr>
            </w:pPr>
          </w:p>
        </w:tc>
        <w:tc>
          <w:tcPr>
            <w:tcW w:w="220" w:type="dxa"/>
            <w:vAlign w:val="bottom"/>
            <w:gridSpan w:val="3"/>
          </w:tcPr>
          <w:p>
            <w:pPr>
              <w:jc w:val="right"/>
              <w:ind w:right="10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0.17</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4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3433445</wp:posOffset>
            </wp:positionH>
            <wp:positionV relativeFrom="paragraph">
              <wp:posOffset>-3013710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2816225</wp:posOffset>
            </wp:positionH>
            <wp:positionV relativeFrom="paragraph">
              <wp:posOffset>-3013710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-3013710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-3013710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-3013710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-3013710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-2018665</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2816225</wp:posOffset>
            </wp:positionH>
            <wp:positionV relativeFrom="paragraph">
              <wp:posOffset>-2018665</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-2018665</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-2018665</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-2018665</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-2018665</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-1024255</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2816225</wp:posOffset>
            </wp:positionH>
            <wp:positionV relativeFrom="paragraph">
              <wp:posOffset>-1024255</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-1024255</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-1024255</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-1024255</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-1024255</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-29210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2816225</wp:posOffset>
            </wp:positionH>
            <wp:positionV relativeFrom="paragraph">
              <wp:posOffset>-29210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-29210</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-29210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-29210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-29210</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Goodwill and Other Intangible Assets — Adoption of SFAS No. 142</w:t>
      </w:r>
    </w:p>
    <w:p>
      <w:pPr>
        <w:spacing w:after="0" w:line="299" w:lineRule="exact"/>
        <w:rPr>
          <w:sz w:val="20"/>
          <w:szCs w:val="20"/>
          <w:color w:val="auto"/>
        </w:rPr>
      </w:pPr>
    </w:p>
    <w:p>
      <w:pPr>
        <w:jc w:val="both"/>
        <w:ind w:right="2119" w:firstLine="351"/>
        <w:spacing w:after="0" w:line="294" w:lineRule="auto"/>
        <w:rPr>
          <w:sz w:val="20"/>
          <w:szCs w:val="20"/>
          <w:color w:val="auto"/>
        </w:rPr>
      </w:pPr>
      <w:r>
        <w:rPr>
          <w:rFonts w:ascii="Arial" w:cs="Arial" w:eastAsia="Arial" w:hAnsi="Arial"/>
          <w:sz w:val="16"/>
          <w:szCs w:val="16"/>
          <w:color w:val="auto"/>
        </w:rPr>
        <w:t>Effective April 28, 2002, in accordance with SFAS No. 142, the Company ceased amortizing goodwill with a net book value of approximately $1,061 as of April 27, 2002. The adoption of SFAS No. 142 is expected to reduce fiscal 2003 annual amortization expense by approximately $108. Instead goodwill will be reviewed for impairment at least annually. The transitional impairment review was performed during the quarter ended February 1, 2003 and the carrying value of goodwill was not impaired.</w:t>
      </w:r>
    </w:p>
    <w:p>
      <w:pPr>
        <w:spacing w:after="0" w:line="170" w:lineRule="exact"/>
        <w:rPr>
          <w:sz w:val="20"/>
          <w:szCs w:val="20"/>
          <w:color w:val="auto"/>
        </w:rPr>
      </w:pPr>
    </w:p>
    <w:p>
      <w:pPr>
        <w:jc w:val="both"/>
        <w:ind w:right="2219" w:firstLine="351"/>
        <w:spacing w:after="0" w:line="306" w:lineRule="auto"/>
        <w:rPr>
          <w:sz w:val="20"/>
          <w:szCs w:val="20"/>
          <w:color w:val="auto"/>
        </w:rPr>
      </w:pPr>
      <w:r>
        <w:rPr>
          <w:rFonts w:ascii="Arial" w:cs="Arial" w:eastAsia="Arial" w:hAnsi="Arial"/>
          <w:sz w:val="16"/>
          <w:szCs w:val="16"/>
          <w:color w:val="auto"/>
        </w:rPr>
        <w:t>For the three and nine months ended January 26, 2002, $139 and $188 of goodwill amortization expense, net of tax benefits was recorded. The following table presents the impact of SFAS 142 on net income and the related per share amounts as if it had been in effect for the three and nine months ended January 26,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469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68" w:lineRule="exact"/>
        <w:rPr>
          <w:sz w:val="20"/>
          <w:szCs w:val="20"/>
          <w:color w:val="auto"/>
        </w:rPr>
      </w:pPr>
    </w:p>
    <w:tbl>
      <w:tblPr>
        <w:tblLayout w:type="fixed"/>
        <w:tblInd w:w="3200" w:type="dxa"/>
        <w:tblCellMar>
          <w:top w:w="0" w:type="dxa"/>
          <w:left w:w="0" w:type="dxa"/>
          <w:bottom w:w="0" w:type="dxa"/>
          <w:right w:w="0" w:type="dxa"/>
        </w:tblCellMar>
      </w:tblPr>
      <w:tr>
        <w:trPr>
          <w:trHeight w:val="174"/>
        </w:trPr>
        <w:tc>
          <w:tcPr>
            <w:tcW w:w="40" w:type="dxa"/>
            <w:vAlign w:val="bottom"/>
          </w:tcPr>
          <w:p>
            <w:pPr>
              <w:spacing w:after="0"/>
              <w:rPr>
                <w:sz w:val="15"/>
                <w:szCs w:val="15"/>
                <w:color w:val="auto"/>
              </w:rPr>
            </w:pPr>
          </w:p>
        </w:tc>
        <w:tc>
          <w:tcPr>
            <w:tcW w:w="2440" w:type="dxa"/>
            <w:vAlign w:val="bottom"/>
            <w:gridSpan w:val="3"/>
          </w:tcPr>
          <w:p>
            <w:pPr>
              <w:ind w:left="620"/>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300" w:type="dxa"/>
            <w:vAlign w:val="bottom"/>
            <w:gridSpan w:val="3"/>
          </w:tcPr>
          <w:p>
            <w:pPr>
              <w:ind w:left="560"/>
              <w:spacing w:after="0"/>
              <w:rPr>
                <w:sz w:val="20"/>
                <w:szCs w:val="20"/>
                <w:color w:val="auto"/>
              </w:rPr>
            </w:pPr>
            <w:r>
              <w:rPr>
                <w:rFonts w:ascii="Arial" w:cs="Arial" w:eastAsia="Arial" w:hAnsi="Arial"/>
                <w:sz w:val="14"/>
                <w:szCs w:val="14"/>
                <w:b w:val="1"/>
                <w:bCs w:val="1"/>
                <w:color w:val="auto"/>
              </w:rPr>
              <w:t>Nine Months Ended</w:t>
            </w:r>
          </w:p>
        </w:tc>
        <w:tc>
          <w:tcPr>
            <w:tcW w:w="20" w:type="dxa"/>
            <w:vAlign w:val="bottom"/>
          </w:tcPr>
          <w:p>
            <w:pPr>
              <w:spacing w:after="0"/>
              <w:rPr>
                <w:sz w:val="15"/>
                <w:szCs w:val="15"/>
                <w:color w:val="auto"/>
              </w:rPr>
            </w:pPr>
          </w:p>
        </w:tc>
      </w:tr>
      <w:tr>
        <w:trPr>
          <w:trHeight w:val="95"/>
        </w:trPr>
        <w:tc>
          <w:tcPr>
            <w:tcW w:w="4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37"/>
        </w:trPr>
        <w:tc>
          <w:tcPr>
            <w:tcW w:w="4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2"/>
              </w:rPr>
              <w:t>February 1,</w:t>
            </w:r>
          </w:p>
        </w:tc>
        <w:tc>
          <w:tcPr>
            <w:tcW w:w="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8"/>
              </w:rPr>
              <w:t>January 26,</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2"/>
              </w:rPr>
              <w:t>February 1,</w:t>
            </w:r>
          </w:p>
        </w:tc>
        <w:tc>
          <w:tcPr>
            <w:tcW w:w="4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8"/>
              </w:rPr>
              <w:t>January 26,</w:t>
            </w:r>
          </w:p>
        </w:tc>
        <w:tc>
          <w:tcPr>
            <w:tcW w:w="20" w:type="dxa"/>
            <w:vAlign w:val="bottom"/>
          </w:tcPr>
          <w:p>
            <w:pPr>
              <w:spacing w:after="0"/>
              <w:rPr>
                <w:sz w:val="20"/>
                <w:szCs w:val="20"/>
                <w:color w:val="auto"/>
              </w:rPr>
            </w:pPr>
          </w:p>
        </w:tc>
      </w:tr>
      <w:tr>
        <w:trPr>
          <w:trHeight w:val="174"/>
        </w:trPr>
        <w:tc>
          <w:tcPr>
            <w:tcW w:w="40" w:type="dxa"/>
            <w:vAlign w:val="bottom"/>
          </w:tcPr>
          <w:p>
            <w:pPr>
              <w:spacing w:after="0"/>
              <w:rPr>
                <w:sz w:val="15"/>
                <w:szCs w:val="15"/>
                <w:color w:val="auto"/>
              </w:rPr>
            </w:pPr>
          </w:p>
        </w:tc>
        <w:tc>
          <w:tcPr>
            <w:tcW w:w="1180" w:type="dxa"/>
            <w:vAlign w:val="bottom"/>
          </w:tcPr>
          <w:p>
            <w:pPr>
              <w:jc w:val="right"/>
              <w:ind w:right="412"/>
              <w:spacing w:after="0"/>
              <w:rPr>
                <w:sz w:val="20"/>
                <w:szCs w:val="20"/>
                <w:color w:val="auto"/>
              </w:rPr>
            </w:pPr>
            <w:r>
              <w:rPr>
                <w:rFonts w:ascii="Arial" w:cs="Arial" w:eastAsia="Arial" w:hAnsi="Arial"/>
                <w:sz w:val="14"/>
                <w:szCs w:val="14"/>
                <w:b w:val="1"/>
                <w:bCs w:val="1"/>
                <w:color w:val="auto"/>
              </w:rPr>
              <w:t>2003</w:t>
            </w:r>
          </w:p>
        </w:tc>
        <w:tc>
          <w:tcPr>
            <w:tcW w:w="1260" w:type="dxa"/>
            <w:vAlign w:val="bottom"/>
            <w:gridSpan w:val="2"/>
          </w:tcPr>
          <w:p>
            <w:pPr>
              <w:jc w:val="right"/>
              <w:ind w:right="392"/>
              <w:spacing w:after="0"/>
              <w:rPr>
                <w:sz w:val="20"/>
                <w:szCs w:val="20"/>
                <w:color w:val="auto"/>
              </w:rPr>
            </w:pPr>
            <w:r>
              <w:rPr>
                <w:rFonts w:ascii="Arial" w:cs="Arial" w:eastAsia="Arial" w:hAnsi="Arial"/>
                <w:sz w:val="14"/>
                <w:szCs w:val="14"/>
                <w:b w:val="1"/>
                <w:bCs w:val="1"/>
                <w:color w:val="auto"/>
              </w:rPr>
              <w:t>2002</w:t>
            </w:r>
          </w:p>
        </w:tc>
        <w:tc>
          <w:tcPr>
            <w:tcW w:w="1260" w:type="dxa"/>
            <w:vAlign w:val="bottom"/>
            <w:gridSpan w:val="4"/>
          </w:tcPr>
          <w:p>
            <w:pPr>
              <w:jc w:val="right"/>
              <w:ind w:right="392"/>
              <w:spacing w:after="0"/>
              <w:rPr>
                <w:sz w:val="20"/>
                <w:szCs w:val="20"/>
                <w:color w:val="auto"/>
              </w:rPr>
            </w:pPr>
            <w:r>
              <w:rPr>
                <w:rFonts w:ascii="Arial" w:cs="Arial" w:eastAsia="Arial" w:hAnsi="Arial"/>
                <w:sz w:val="14"/>
                <w:szCs w:val="14"/>
                <w:b w:val="1"/>
                <w:bCs w:val="1"/>
                <w:color w:val="auto"/>
              </w:rPr>
              <w:t>2003</w:t>
            </w:r>
          </w:p>
        </w:tc>
        <w:tc>
          <w:tcPr>
            <w:tcW w:w="1140" w:type="dxa"/>
            <w:vAlign w:val="bottom"/>
            <w:gridSpan w:val="2"/>
          </w:tcPr>
          <w:p>
            <w:pPr>
              <w:jc w:val="right"/>
              <w:ind w:right="332"/>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15"/>
                <w:szCs w:val="15"/>
                <w:color w:val="auto"/>
              </w:rPr>
            </w:pPr>
          </w:p>
        </w:tc>
      </w:tr>
      <w:tr>
        <w:trPr>
          <w:trHeight w:val="95"/>
        </w:trPr>
        <w:tc>
          <w:tcPr>
            <w:tcW w:w="4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bl>
    <w:p>
      <w:pPr>
        <w:sectPr>
          <w:pgSz w:w="11900" w:h="16838" w:orient="portrait"/>
          <w:cols w:equalWidth="0" w:num="1">
            <w:col w:w="10219"/>
          </w:cols>
          <w:pgMar w:left="240" w:top="131" w:right="1440"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80" w:type="dxa"/>
            <w:vAlign w:val="bottom"/>
            <w:shd w:val="clear" w:color="auto" w:fill="C0C0C0"/>
          </w:tcPr>
          <w:p>
            <w:pPr>
              <w:spacing w:after="0"/>
              <w:rPr>
                <w:sz w:val="20"/>
                <w:szCs w:val="20"/>
                <w:color w:val="auto"/>
              </w:rPr>
            </w:pPr>
            <w:r>
              <w:rPr>
                <w:rFonts w:ascii="Arial" w:cs="Arial" w:eastAsia="Arial" w:hAnsi="Arial"/>
                <w:sz w:val="18"/>
                <w:szCs w:val="18"/>
                <w:color w:val="auto"/>
              </w:rPr>
              <w:t>Reported net income</w:t>
            </w:r>
          </w:p>
        </w:tc>
        <w:tc>
          <w:tcPr>
            <w:tcW w:w="340" w:type="dxa"/>
            <w:vAlign w:val="bottom"/>
            <w:shd w:val="clear" w:color="auto" w:fill="C0C0C0"/>
          </w:tcPr>
          <w:p>
            <w:pPr>
              <w:jc w:val="right"/>
              <w:ind w:right="18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1,888</w:t>
            </w:r>
          </w:p>
        </w:tc>
        <w:tc>
          <w:tcPr>
            <w:tcW w:w="240" w:type="dxa"/>
            <w:vAlign w:val="bottom"/>
            <w:shd w:val="clear" w:color="auto" w:fill="C0C0C0"/>
          </w:tcPr>
          <w:p>
            <w:pPr>
              <w:spacing w:after="0"/>
              <w:rPr>
                <w:sz w:val="18"/>
                <w:szCs w:val="18"/>
                <w:color w:val="auto"/>
              </w:rPr>
            </w:pPr>
          </w:p>
        </w:tc>
        <w:tc>
          <w:tcPr>
            <w:tcW w:w="360" w:type="dxa"/>
            <w:vAlign w:val="bottom"/>
            <w:shd w:val="clear" w:color="auto" w:fill="C0C0C0"/>
          </w:tcPr>
          <w:p>
            <w:pPr>
              <w:jc w:val="right"/>
              <w:ind w:right="172"/>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0C0C0"/>
          </w:tcPr>
          <w:p>
            <w:pPr>
              <w:jc w:val="right"/>
              <w:ind w:right="280"/>
              <w:spacing w:after="0"/>
              <w:rPr>
                <w:sz w:val="20"/>
                <w:szCs w:val="20"/>
                <w:color w:val="auto"/>
              </w:rPr>
            </w:pPr>
            <w:r>
              <w:rPr>
                <w:rFonts w:ascii="Arial" w:cs="Arial" w:eastAsia="Arial" w:hAnsi="Arial"/>
                <w:sz w:val="18"/>
                <w:szCs w:val="18"/>
                <w:color w:val="auto"/>
              </w:rPr>
              <w:t>(293)</w:t>
            </w:r>
          </w:p>
        </w:tc>
        <w:tc>
          <w:tcPr>
            <w:tcW w:w="340" w:type="dxa"/>
            <w:vAlign w:val="bottom"/>
            <w:shd w:val="clear" w:color="auto" w:fill="C0C0C0"/>
          </w:tcPr>
          <w:p>
            <w:pPr>
              <w:jc w:val="right"/>
              <w:ind w:right="18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9,047</w:t>
            </w:r>
          </w:p>
        </w:tc>
        <w:tc>
          <w:tcPr>
            <w:tcW w:w="240" w:type="dxa"/>
            <w:vAlign w:val="bottom"/>
            <w:shd w:val="clear" w:color="auto" w:fill="C0C0C0"/>
          </w:tcPr>
          <w:p>
            <w:pPr>
              <w:spacing w:after="0"/>
              <w:rPr>
                <w:sz w:val="18"/>
                <w:szCs w:val="18"/>
                <w:color w:val="auto"/>
              </w:rPr>
            </w:pPr>
          </w:p>
        </w:tc>
        <w:tc>
          <w:tcPr>
            <w:tcW w:w="34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3,297</w:t>
            </w:r>
          </w:p>
        </w:tc>
        <w:tc>
          <w:tcPr>
            <w:tcW w:w="160" w:type="dxa"/>
            <w:vAlign w:val="bottom"/>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Goodwill amortization, net of</w:t>
            </w: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80" w:type="dxa"/>
            <w:vAlign w:val="bottom"/>
          </w:tcPr>
          <w:p>
            <w:pPr>
              <w:ind w:left="120"/>
              <w:spacing w:after="0"/>
              <w:rPr>
                <w:sz w:val="20"/>
                <w:szCs w:val="20"/>
                <w:color w:val="auto"/>
              </w:rPr>
            </w:pPr>
            <w:r>
              <w:rPr>
                <w:rFonts w:ascii="Arial" w:cs="Arial" w:eastAsia="Arial" w:hAnsi="Arial"/>
                <w:sz w:val="18"/>
                <w:szCs w:val="18"/>
                <w:color w:val="auto"/>
              </w:rPr>
              <w:t>tax effects</w:t>
            </w:r>
          </w:p>
        </w:tc>
        <w:tc>
          <w:tcPr>
            <w:tcW w:w="34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139</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188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0C0C0"/>
          </w:tcPr>
          <w:p>
            <w:pPr>
              <w:spacing w:after="0"/>
              <w:rPr>
                <w:sz w:val="20"/>
                <w:szCs w:val="20"/>
                <w:color w:val="auto"/>
              </w:rPr>
            </w:pPr>
            <w:r>
              <w:rPr>
                <w:rFonts w:ascii="Arial" w:cs="Arial" w:eastAsia="Arial" w:hAnsi="Arial"/>
                <w:sz w:val="18"/>
                <w:szCs w:val="18"/>
                <w:color w:val="auto"/>
              </w:rPr>
              <w:t>Adjusted net income</w:t>
            </w:r>
          </w:p>
        </w:tc>
        <w:tc>
          <w:tcPr>
            <w:tcW w:w="340" w:type="dxa"/>
            <w:vAlign w:val="bottom"/>
            <w:shd w:val="clear" w:color="auto" w:fill="C0C0C0"/>
          </w:tcPr>
          <w:p>
            <w:pPr>
              <w:jc w:val="right"/>
              <w:ind w:right="18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1,888</w:t>
            </w:r>
          </w:p>
        </w:tc>
        <w:tc>
          <w:tcPr>
            <w:tcW w:w="240" w:type="dxa"/>
            <w:vAlign w:val="bottom"/>
            <w:shd w:val="clear" w:color="auto" w:fill="C0C0C0"/>
          </w:tcPr>
          <w:p>
            <w:pPr>
              <w:spacing w:after="0"/>
              <w:rPr>
                <w:sz w:val="18"/>
                <w:szCs w:val="18"/>
                <w:color w:val="auto"/>
              </w:rPr>
            </w:pPr>
          </w:p>
        </w:tc>
        <w:tc>
          <w:tcPr>
            <w:tcW w:w="360" w:type="dxa"/>
            <w:vAlign w:val="bottom"/>
            <w:shd w:val="clear" w:color="auto" w:fill="C0C0C0"/>
          </w:tcPr>
          <w:p>
            <w:pPr>
              <w:jc w:val="right"/>
              <w:ind w:right="172"/>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0C0C0"/>
          </w:tcPr>
          <w:p>
            <w:pPr>
              <w:jc w:val="right"/>
              <w:ind w:right="280"/>
              <w:spacing w:after="0"/>
              <w:rPr>
                <w:sz w:val="20"/>
                <w:szCs w:val="20"/>
                <w:color w:val="auto"/>
              </w:rPr>
            </w:pPr>
            <w:r>
              <w:rPr>
                <w:rFonts w:ascii="Arial" w:cs="Arial" w:eastAsia="Arial" w:hAnsi="Arial"/>
                <w:sz w:val="18"/>
                <w:szCs w:val="18"/>
                <w:color w:val="auto"/>
              </w:rPr>
              <w:t>(154)</w:t>
            </w:r>
          </w:p>
        </w:tc>
        <w:tc>
          <w:tcPr>
            <w:tcW w:w="340" w:type="dxa"/>
            <w:vAlign w:val="bottom"/>
            <w:shd w:val="clear" w:color="auto" w:fill="C0C0C0"/>
          </w:tcPr>
          <w:p>
            <w:pPr>
              <w:jc w:val="right"/>
              <w:ind w:right="18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9,047</w:t>
            </w:r>
          </w:p>
        </w:tc>
        <w:tc>
          <w:tcPr>
            <w:tcW w:w="240" w:type="dxa"/>
            <w:vAlign w:val="bottom"/>
            <w:shd w:val="clear" w:color="auto" w:fill="C0C0C0"/>
          </w:tcPr>
          <w:p>
            <w:pPr>
              <w:spacing w:after="0"/>
              <w:rPr>
                <w:sz w:val="18"/>
                <w:szCs w:val="18"/>
                <w:color w:val="auto"/>
              </w:rPr>
            </w:pPr>
          </w:p>
        </w:tc>
        <w:tc>
          <w:tcPr>
            <w:tcW w:w="340" w:type="dxa"/>
            <w:vAlign w:val="bottom"/>
            <w:shd w:val="clear" w:color="auto" w:fill="C0C0C0"/>
          </w:tcPr>
          <w:p>
            <w:pPr>
              <w:spacing w:after="0"/>
              <w:rPr>
                <w:sz w:val="18"/>
                <w:szCs w:val="18"/>
                <w:color w:val="auto"/>
              </w:rPr>
            </w:pPr>
          </w:p>
        </w:tc>
        <w:tc>
          <w:tcPr>
            <w:tcW w:w="66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3,485</w:t>
            </w:r>
          </w:p>
        </w:tc>
        <w:tc>
          <w:tcPr>
            <w:tcW w:w="160" w:type="dxa"/>
            <w:vAlign w:val="bottom"/>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3200" w:type="dxa"/>
            <w:vAlign w:val="bottom"/>
            <w:gridSpan w:val="2"/>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9"/>
        </w:trPr>
        <w:tc>
          <w:tcPr>
            <w:tcW w:w="3200" w:type="dxa"/>
            <w:vAlign w:val="bottom"/>
            <w:gridSpan w:val="2"/>
          </w:tcPr>
          <w:p>
            <w:pPr>
              <w:spacing w:after="0"/>
              <w:rPr>
                <w:sz w:val="20"/>
                <w:szCs w:val="20"/>
                <w:color w:val="auto"/>
              </w:rPr>
            </w:pPr>
            <w:r>
              <w:rPr>
                <w:rFonts w:ascii="Arial" w:cs="Arial" w:eastAsia="Arial" w:hAnsi="Arial"/>
                <w:sz w:val="18"/>
                <w:szCs w:val="18"/>
                <w:b w:val="1"/>
                <w:bCs w:val="1"/>
                <w:color w:val="auto"/>
              </w:rPr>
              <w:t>Basic earnings per share:</w:t>
            </w: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180" w:type="dxa"/>
            <w:vAlign w:val="bottom"/>
            <w:shd w:val="clear" w:color="auto" w:fill="C0C0C0"/>
          </w:tcPr>
          <w:p>
            <w:pPr>
              <w:spacing w:after="0"/>
              <w:rPr>
                <w:sz w:val="20"/>
                <w:szCs w:val="20"/>
                <w:color w:val="auto"/>
              </w:rPr>
            </w:pPr>
            <w:r>
              <w:rPr>
                <w:rFonts w:ascii="Arial" w:cs="Arial" w:eastAsia="Arial" w:hAnsi="Arial"/>
                <w:sz w:val="18"/>
                <w:szCs w:val="18"/>
                <w:color w:val="auto"/>
              </w:rPr>
              <w:t>Reported net income per share</w:t>
            </w:r>
          </w:p>
        </w:tc>
        <w:tc>
          <w:tcPr>
            <w:tcW w:w="340" w:type="dxa"/>
            <w:vAlign w:val="bottom"/>
            <w:shd w:val="clear" w:color="auto" w:fill="C0C0C0"/>
          </w:tcPr>
          <w:p>
            <w:pPr>
              <w:jc w:val="right"/>
              <w:ind w:right="18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0.10</w:t>
            </w:r>
          </w:p>
        </w:tc>
        <w:tc>
          <w:tcPr>
            <w:tcW w:w="240" w:type="dxa"/>
            <w:vAlign w:val="bottom"/>
            <w:shd w:val="clear" w:color="auto" w:fill="C0C0C0"/>
          </w:tcPr>
          <w:p>
            <w:pPr>
              <w:spacing w:after="0"/>
              <w:rPr>
                <w:sz w:val="18"/>
                <w:szCs w:val="18"/>
                <w:color w:val="auto"/>
              </w:rPr>
            </w:pPr>
          </w:p>
        </w:tc>
        <w:tc>
          <w:tcPr>
            <w:tcW w:w="360" w:type="dxa"/>
            <w:vAlign w:val="bottom"/>
            <w:shd w:val="clear" w:color="auto" w:fill="C0C0C0"/>
          </w:tcPr>
          <w:p>
            <w:pPr>
              <w:jc w:val="right"/>
              <w:ind w:right="172"/>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0C0C0"/>
          </w:tcPr>
          <w:p>
            <w:pPr>
              <w:jc w:val="right"/>
              <w:ind w:right="280"/>
              <w:spacing w:after="0"/>
              <w:rPr>
                <w:sz w:val="20"/>
                <w:szCs w:val="20"/>
                <w:color w:val="auto"/>
              </w:rPr>
            </w:pPr>
            <w:r>
              <w:rPr>
                <w:rFonts w:ascii="Arial" w:cs="Arial" w:eastAsia="Arial" w:hAnsi="Arial"/>
                <w:sz w:val="18"/>
                <w:szCs w:val="18"/>
                <w:color w:val="auto"/>
              </w:rPr>
              <w:t>(0.02)</w:t>
            </w:r>
          </w:p>
        </w:tc>
        <w:tc>
          <w:tcPr>
            <w:tcW w:w="340" w:type="dxa"/>
            <w:vAlign w:val="bottom"/>
            <w:shd w:val="clear" w:color="auto" w:fill="C0C0C0"/>
          </w:tcPr>
          <w:p>
            <w:pPr>
              <w:jc w:val="right"/>
              <w:ind w:right="18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0.49</w:t>
            </w:r>
          </w:p>
        </w:tc>
        <w:tc>
          <w:tcPr>
            <w:tcW w:w="240" w:type="dxa"/>
            <w:vAlign w:val="bottom"/>
            <w:shd w:val="clear" w:color="auto" w:fill="C0C0C0"/>
          </w:tcPr>
          <w:p>
            <w:pPr>
              <w:spacing w:after="0"/>
              <w:rPr>
                <w:sz w:val="18"/>
                <w:szCs w:val="18"/>
                <w:color w:val="auto"/>
              </w:rPr>
            </w:pPr>
          </w:p>
        </w:tc>
        <w:tc>
          <w:tcPr>
            <w:tcW w:w="34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0.18</w:t>
            </w:r>
          </w:p>
        </w:tc>
        <w:tc>
          <w:tcPr>
            <w:tcW w:w="160" w:type="dxa"/>
            <w:vAlign w:val="bottom"/>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Goodwill amortization, net of</w:t>
            </w: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80" w:type="dxa"/>
            <w:vAlign w:val="bottom"/>
          </w:tcPr>
          <w:p>
            <w:pPr>
              <w:ind w:left="120"/>
              <w:spacing w:after="0"/>
              <w:rPr>
                <w:sz w:val="20"/>
                <w:szCs w:val="20"/>
                <w:color w:val="auto"/>
              </w:rPr>
            </w:pPr>
            <w:r>
              <w:rPr>
                <w:rFonts w:ascii="Arial" w:cs="Arial" w:eastAsia="Arial" w:hAnsi="Arial"/>
                <w:sz w:val="18"/>
                <w:szCs w:val="18"/>
                <w:color w:val="auto"/>
              </w:rPr>
              <w:t>tax effects</w:t>
            </w:r>
          </w:p>
        </w:tc>
        <w:tc>
          <w:tcPr>
            <w:tcW w:w="34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0.01</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0.01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0C0C0"/>
          </w:tcPr>
          <w:p>
            <w:pPr>
              <w:spacing w:after="0"/>
              <w:rPr>
                <w:sz w:val="20"/>
                <w:szCs w:val="20"/>
                <w:color w:val="auto"/>
              </w:rPr>
            </w:pPr>
            <w:r>
              <w:rPr>
                <w:rFonts w:ascii="Arial" w:cs="Arial" w:eastAsia="Arial" w:hAnsi="Arial"/>
                <w:sz w:val="18"/>
                <w:szCs w:val="18"/>
                <w:color w:val="auto"/>
              </w:rPr>
              <w:t>Adjusted net income per share</w:t>
            </w:r>
          </w:p>
        </w:tc>
        <w:tc>
          <w:tcPr>
            <w:tcW w:w="340" w:type="dxa"/>
            <w:vAlign w:val="bottom"/>
            <w:shd w:val="clear" w:color="auto" w:fill="C0C0C0"/>
          </w:tcPr>
          <w:p>
            <w:pPr>
              <w:jc w:val="right"/>
              <w:ind w:right="18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0.10</w:t>
            </w:r>
          </w:p>
        </w:tc>
        <w:tc>
          <w:tcPr>
            <w:tcW w:w="240" w:type="dxa"/>
            <w:vAlign w:val="bottom"/>
            <w:shd w:val="clear" w:color="auto" w:fill="C0C0C0"/>
          </w:tcPr>
          <w:p>
            <w:pPr>
              <w:spacing w:after="0"/>
              <w:rPr>
                <w:sz w:val="18"/>
                <w:szCs w:val="18"/>
                <w:color w:val="auto"/>
              </w:rPr>
            </w:pPr>
          </w:p>
        </w:tc>
        <w:tc>
          <w:tcPr>
            <w:tcW w:w="360" w:type="dxa"/>
            <w:vAlign w:val="bottom"/>
            <w:shd w:val="clear" w:color="auto" w:fill="C0C0C0"/>
          </w:tcPr>
          <w:p>
            <w:pPr>
              <w:jc w:val="right"/>
              <w:ind w:right="172"/>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0C0C0"/>
          </w:tcPr>
          <w:p>
            <w:pPr>
              <w:jc w:val="right"/>
              <w:ind w:right="280"/>
              <w:spacing w:after="0"/>
              <w:rPr>
                <w:sz w:val="20"/>
                <w:szCs w:val="20"/>
                <w:color w:val="auto"/>
              </w:rPr>
            </w:pPr>
            <w:r>
              <w:rPr>
                <w:rFonts w:ascii="Arial" w:cs="Arial" w:eastAsia="Arial" w:hAnsi="Arial"/>
                <w:sz w:val="18"/>
                <w:szCs w:val="18"/>
                <w:color w:val="auto"/>
              </w:rPr>
              <w:t>(0.01)</w:t>
            </w:r>
          </w:p>
        </w:tc>
        <w:tc>
          <w:tcPr>
            <w:tcW w:w="340" w:type="dxa"/>
            <w:vAlign w:val="bottom"/>
            <w:shd w:val="clear" w:color="auto" w:fill="C0C0C0"/>
          </w:tcPr>
          <w:p>
            <w:pPr>
              <w:jc w:val="right"/>
              <w:ind w:right="18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0.49</w:t>
            </w:r>
          </w:p>
        </w:tc>
        <w:tc>
          <w:tcPr>
            <w:tcW w:w="240" w:type="dxa"/>
            <w:vAlign w:val="bottom"/>
            <w:shd w:val="clear" w:color="auto" w:fill="C0C0C0"/>
          </w:tcPr>
          <w:p>
            <w:pPr>
              <w:spacing w:after="0"/>
              <w:rPr>
                <w:sz w:val="18"/>
                <w:szCs w:val="18"/>
                <w:color w:val="auto"/>
              </w:rPr>
            </w:pPr>
          </w:p>
        </w:tc>
        <w:tc>
          <w:tcPr>
            <w:tcW w:w="34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0.19</w:t>
            </w:r>
          </w:p>
        </w:tc>
        <w:tc>
          <w:tcPr>
            <w:tcW w:w="160" w:type="dxa"/>
            <w:vAlign w:val="bottom"/>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3200" w:type="dxa"/>
            <w:vAlign w:val="bottom"/>
            <w:gridSpan w:val="2"/>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9"/>
        </w:trPr>
        <w:tc>
          <w:tcPr>
            <w:tcW w:w="3200" w:type="dxa"/>
            <w:vAlign w:val="bottom"/>
            <w:gridSpan w:val="2"/>
          </w:tcPr>
          <w:p>
            <w:pPr>
              <w:spacing w:after="0"/>
              <w:rPr>
                <w:sz w:val="20"/>
                <w:szCs w:val="20"/>
                <w:color w:val="auto"/>
              </w:rPr>
            </w:pPr>
            <w:r>
              <w:rPr>
                <w:rFonts w:ascii="Arial" w:cs="Arial" w:eastAsia="Arial" w:hAnsi="Arial"/>
                <w:sz w:val="18"/>
                <w:szCs w:val="18"/>
                <w:b w:val="1"/>
                <w:bCs w:val="1"/>
                <w:color w:val="auto"/>
              </w:rPr>
              <w:t>Diluted earnings per share:</w:t>
            </w: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180" w:type="dxa"/>
            <w:vAlign w:val="bottom"/>
            <w:shd w:val="clear" w:color="auto" w:fill="C0C0C0"/>
          </w:tcPr>
          <w:p>
            <w:pPr>
              <w:spacing w:after="0"/>
              <w:rPr>
                <w:sz w:val="20"/>
                <w:szCs w:val="20"/>
                <w:color w:val="auto"/>
              </w:rPr>
            </w:pPr>
            <w:r>
              <w:rPr>
                <w:rFonts w:ascii="Arial" w:cs="Arial" w:eastAsia="Arial" w:hAnsi="Arial"/>
                <w:sz w:val="18"/>
                <w:szCs w:val="18"/>
                <w:color w:val="auto"/>
              </w:rPr>
              <w:t>Reported net income per share</w:t>
            </w:r>
          </w:p>
        </w:tc>
        <w:tc>
          <w:tcPr>
            <w:tcW w:w="340" w:type="dxa"/>
            <w:vAlign w:val="bottom"/>
            <w:shd w:val="clear" w:color="auto" w:fill="C0C0C0"/>
          </w:tcPr>
          <w:p>
            <w:pPr>
              <w:jc w:val="right"/>
              <w:ind w:right="18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0.10</w:t>
            </w:r>
          </w:p>
        </w:tc>
        <w:tc>
          <w:tcPr>
            <w:tcW w:w="240" w:type="dxa"/>
            <w:vAlign w:val="bottom"/>
            <w:shd w:val="clear" w:color="auto" w:fill="C0C0C0"/>
          </w:tcPr>
          <w:p>
            <w:pPr>
              <w:spacing w:after="0"/>
              <w:rPr>
                <w:sz w:val="18"/>
                <w:szCs w:val="18"/>
                <w:color w:val="auto"/>
              </w:rPr>
            </w:pPr>
          </w:p>
        </w:tc>
        <w:tc>
          <w:tcPr>
            <w:tcW w:w="360" w:type="dxa"/>
            <w:vAlign w:val="bottom"/>
            <w:shd w:val="clear" w:color="auto" w:fill="C0C0C0"/>
          </w:tcPr>
          <w:p>
            <w:pPr>
              <w:jc w:val="right"/>
              <w:ind w:right="172"/>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0C0C0"/>
          </w:tcPr>
          <w:p>
            <w:pPr>
              <w:jc w:val="right"/>
              <w:ind w:right="280"/>
              <w:spacing w:after="0"/>
              <w:rPr>
                <w:sz w:val="20"/>
                <w:szCs w:val="20"/>
                <w:color w:val="auto"/>
              </w:rPr>
            </w:pPr>
            <w:r>
              <w:rPr>
                <w:rFonts w:ascii="Arial" w:cs="Arial" w:eastAsia="Arial" w:hAnsi="Arial"/>
                <w:sz w:val="18"/>
                <w:szCs w:val="18"/>
                <w:color w:val="auto"/>
              </w:rPr>
              <w:t>(0.02)</w:t>
            </w:r>
          </w:p>
        </w:tc>
        <w:tc>
          <w:tcPr>
            <w:tcW w:w="340" w:type="dxa"/>
            <w:vAlign w:val="bottom"/>
            <w:shd w:val="clear" w:color="auto" w:fill="C0C0C0"/>
          </w:tcPr>
          <w:p>
            <w:pPr>
              <w:jc w:val="right"/>
              <w:ind w:right="18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0.47</w:t>
            </w:r>
          </w:p>
        </w:tc>
        <w:tc>
          <w:tcPr>
            <w:tcW w:w="240" w:type="dxa"/>
            <w:vAlign w:val="bottom"/>
            <w:shd w:val="clear" w:color="auto" w:fill="C0C0C0"/>
          </w:tcPr>
          <w:p>
            <w:pPr>
              <w:spacing w:after="0"/>
              <w:rPr>
                <w:sz w:val="18"/>
                <w:szCs w:val="18"/>
                <w:color w:val="auto"/>
              </w:rPr>
            </w:pPr>
          </w:p>
        </w:tc>
        <w:tc>
          <w:tcPr>
            <w:tcW w:w="34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0.17</w:t>
            </w:r>
          </w:p>
        </w:tc>
        <w:tc>
          <w:tcPr>
            <w:tcW w:w="160" w:type="dxa"/>
            <w:vAlign w:val="bottom"/>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Goodwill amortization, net of</w:t>
            </w: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80" w:type="dxa"/>
            <w:vAlign w:val="bottom"/>
          </w:tcPr>
          <w:p>
            <w:pPr>
              <w:ind w:left="120"/>
              <w:spacing w:after="0"/>
              <w:rPr>
                <w:sz w:val="20"/>
                <w:szCs w:val="20"/>
                <w:color w:val="auto"/>
              </w:rPr>
            </w:pPr>
            <w:r>
              <w:rPr>
                <w:rFonts w:ascii="Arial" w:cs="Arial" w:eastAsia="Arial" w:hAnsi="Arial"/>
                <w:sz w:val="18"/>
                <w:szCs w:val="18"/>
                <w:color w:val="auto"/>
              </w:rPr>
              <w:t>tax effects</w:t>
            </w:r>
          </w:p>
        </w:tc>
        <w:tc>
          <w:tcPr>
            <w:tcW w:w="34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0.01</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0.01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0C0C0"/>
          </w:tcPr>
          <w:p>
            <w:pPr>
              <w:spacing w:after="0"/>
              <w:rPr>
                <w:sz w:val="20"/>
                <w:szCs w:val="20"/>
                <w:color w:val="auto"/>
              </w:rPr>
            </w:pPr>
            <w:r>
              <w:rPr>
                <w:rFonts w:ascii="Arial" w:cs="Arial" w:eastAsia="Arial" w:hAnsi="Arial"/>
                <w:sz w:val="18"/>
                <w:szCs w:val="18"/>
                <w:color w:val="auto"/>
              </w:rPr>
              <w:t>Adjusted net income per share</w:t>
            </w:r>
          </w:p>
        </w:tc>
        <w:tc>
          <w:tcPr>
            <w:tcW w:w="340" w:type="dxa"/>
            <w:vAlign w:val="bottom"/>
            <w:shd w:val="clear" w:color="auto" w:fill="C0C0C0"/>
          </w:tcPr>
          <w:p>
            <w:pPr>
              <w:jc w:val="right"/>
              <w:ind w:right="18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0.10</w:t>
            </w:r>
          </w:p>
        </w:tc>
        <w:tc>
          <w:tcPr>
            <w:tcW w:w="240" w:type="dxa"/>
            <w:vAlign w:val="bottom"/>
            <w:shd w:val="clear" w:color="auto" w:fill="C0C0C0"/>
          </w:tcPr>
          <w:p>
            <w:pPr>
              <w:spacing w:after="0"/>
              <w:rPr>
                <w:sz w:val="18"/>
                <w:szCs w:val="18"/>
                <w:color w:val="auto"/>
              </w:rPr>
            </w:pPr>
          </w:p>
        </w:tc>
        <w:tc>
          <w:tcPr>
            <w:tcW w:w="360" w:type="dxa"/>
            <w:vAlign w:val="bottom"/>
            <w:shd w:val="clear" w:color="auto" w:fill="C0C0C0"/>
          </w:tcPr>
          <w:p>
            <w:pPr>
              <w:jc w:val="right"/>
              <w:ind w:right="172"/>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0C0C0"/>
          </w:tcPr>
          <w:p>
            <w:pPr>
              <w:jc w:val="right"/>
              <w:ind w:right="280"/>
              <w:spacing w:after="0"/>
              <w:rPr>
                <w:sz w:val="20"/>
                <w:szCs w:val="20"/>
                <w:color w:val="auto"/>
              </w:rPr>
            </w:pPr>
            <w:r>
              <w:rPr>
                <w:rFonts w:ascii="Arial" w:cs="Arial" w:eastAsia="Arial" w:hAnsi="Arial"/>
                <w:sz w:val="18"/>
                <w:szCs w:val="18"/>
                <w:color w:val="auto"/>
              </w:rPr>
              <w:t>(0.01)</w:t>
            </w:r>
          </w:p>
        </w:tc>
        <w:tc>
          <w:tcPr>
            <w:tcW w:w="340" w:type="dxa"/>
            <w:vAlign w:val="bottom"/>
            <w:shd w:val="clear" w:color="auto" w:fill="C0C0C0"/>
          </w:tcPr>
          <w:p>
            <w:pPr>
              <w:jc w:val="right"/>
              <w:ind w:right="18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0.47</w:t>
            </w:r>
          </w:p>
        </w:tc>
        <w:tc>
          <w:tcPr>
            <w:tcW w:w="240" w:type="dxa"/>
            <w:vAlign w:val="bottom"/>
            <w:shd w:val="clear" w:color="auto" w:fill="C0C0C0"/>
          </w:tcPr>
          <w:p>
            <w:pPr>
              <w:spacing w:after="0"/>
              <w:rPr>
                <w:sz w:val="18"/>
                <w:szCs w:val="18"/>
                <w:color w:val="auto"/>
              </w:rPr>
            </w:pPr>
          </w:p>
        </w:tc>
        <w:tc>
          <w:tcPr>
            <w:tcW w:w="34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0.18</w:t>
            </w:r>
          </w:p>
        </w:tc>
        <w:tc>
          <w:tcPr>
            <w:tcW w:w="160" w:type="dxa"/>
            <w:vAlign w:val="bottom"/>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2644140</wp:posOffset>
            </wp:positionH>
            <wp:positionV relativeFrom="paragraph">
              <wp:posOffset>-2018665</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2026920</wp:posOffset>
            </wp:positionH>
            <wp:positionV relativeFrom="paragraph">
              <wp:posOffset>-2018665</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-2018665</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2807335</wp:posOffset>
            </wp:positionH>
            <wp:positionV relativeFrom="paragraph">
              <wp:posOffset>-2018665</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-2018665</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-2018665</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-2018665</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-2018665</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2644140</wp:posOffset>
            </wp:positionH>
            <wp:positionV relativeFrom="paragraph">
              <wp:posOffset>-1024255</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2026920</wp:posOffset>
            </wp:positionH>
            <wp:positionV relativeFrom="paragraph">
              <wp:posOffset>-1024255</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-1024255</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2807335</wp:posOffset>
            </wp:positionH>
            <wp:positionV relativeFrom="paragraph">
              <wp:posOffset>-1024255</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-1024255</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-1024255</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-1024255</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-1024255</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2644140</wp:posOffset>
            </wp:positionH>
            <wp:positionV relativeFrom="paragraph">
              <wp:posOffset>-29210</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2026920</wp:posOffset>
            </wp:positionH>
            <wp:positionV relativeFrom="paragraph">
              <wp:posOffset>-29210</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-29210</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2807335</wp:posOffset>
            </wp:positionH>
            <wp:positionV relativeFrom="paragraph">
              <wp:posOffset>-29210</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-29210</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-29210</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-29210</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-29210</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20" w:lineRule="exact"/>
        <w:rPr>
          <w:sz w:val="20"/>
          <w:szCs w:val="20"/>
          <w:color w:val="auto"/>
        </w:rPr>
      </w:pPr>
    </w:p>
    <w:p>
      <w:pPr>
        <w:ind w:right="2419" w:firstLine="351"/>
        <w:spacing w:after="0" w:line="254" w:lineRule="auto"/>
        <w:rPr>
          <w:sz w:val="20"/>
          <w:szCs w:val="20"/>
          <w:color w:val="auto"/>
        </w:rPr>
      </w:pPr>
      <w:r>
        <w:rPr>
          <w:rFonts w:ascii="Arial" w:cs="Arial" w:eastAsia="Arial" w:hAnsi="Arial"/>
          <w:sz w:val="18"/>
          <w:szCs w:val="18"/>
          <w:color w:val="auto"/>
        </w:rPr>
        <w:t>Intangible assets subject to amortization, which included primarily a non-compete agreement and a patent license, were as follows:</w:t>
      </w:r>
    </w:p>
    <w:tbl>
      <w:tblPr>
        <w:tblLayout w:type="fixed"/>
        <w:tblInd w:w="360" w:type="dxa"/>
        <w:tblCellMar>
          <w:top w:w="0" w:type="dxa"/>
          <w:left w:w="0" w:type="dxa"/>
          <w:bottom w:w="0" w:type="dxa"/>
          <w:right w:w="0" w:type="dxa"/>
        </w:tblCellMar>
      </w:tblPr>
      <w:tr>
        <w:trPr>
          <w:trHeight w:val="174"/>
        </w:trPr>
        <w:tc>
          <w:tcPr>
            <w:tcW w:w="5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92"/>
              </w:rPr>
              <w:t>February 1, 2003</w:t>
            </w:r>
          </w:p>
        </w:tc>
        <w:tc>
          <w:tcPr>
            <w:tcW w:w="110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w w:val="99"/>
              </w:rPr>
              <w:t>April 27, 2002</w:t>
            </w:r>
          </w:p>
        </w:tc>
      </w:tr>
      <w:tr>
        <w:trPr>
          <w:trHeight w:val="84"/>
        </w:trPr>
        <w:tc>
          <w:tcPr>
            <w:tcW w:w="52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r>
      <w:tr>
        <w:trPr>
          <w:trHeight w:val="309"/>
        </w:trPr>
        <w:tc>
          <w:tcPr>
            <w:tcW w:w="5260" w:type="dxa"/>
            <w:vAlign w:val="bottom"/>
            <w:gridSpan w:val="2"/>
          </w:tcPr>
          <w:p>
            <w:pPr>
              <w:spacing w:after="0"/>
              <w:rPr>
                <w:sz w:val="20"/>
                <w:szCs w:val="20"/>
                <w:color w:val="auto"/>
              </w:rPr>
            </w:pPr>
            <w:r>
              <w:rPr>
                <w:rFonts w:ascii="Arial" w:cs="Arial" w:eastAsia="Arial" w:hAnsi="Arial"/>
                <w:sz w:val="18"/>
                <w:szCs w:val="18"/>
                <w:color w:val="auto"/>
              </w:rPr>
              <w:t>Intangible Assets</w:t>
            </w:r>
          </w:p>
        </w:tc>
        <w:tc>
          <w:tcPr>
            <w:tcW w:w="440" w:type="dxa"/>
            <w:vAlign w:val="bottom"/>
          </w:tcPr>
          <w:p>
            <w:pPr>
              <w:jc w:val="right"/>
              <w:ind w:right="286"/>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550</w:t>
            </w:r>
          </w:p>
        </w:tc>
        <w:tc>
          <w:tcPr>
            <w:tcW w:w="160" w:type="dxa"/>
            <w:vAlign w:val="bottom"/>
          </w:tcPr>
          <w:p>
            <w:pPr>
              <w:spacing w:after="0"/>
              <w:rPr>
                <w:sz w:val="24"/>
                <w:szCs w:val="24"/>
                <w:color w:val="auto"/>
              </w:rPr>
            </w:pPr>
          </w:p>
        </w:tc>
        <w:tc>
          <w:tcPr>
            <w:tcW w:w="440" w:type="dxa"/>
            <w:vAlign w:val="bottom"/>
          </w:tcPr>
          <w:p>
            <w:pPr>
              <w:jc w:val="right"/>
              <w:ind w:right="199"/>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550</w:t>
            </w:r>
          </w:p>
        </w:tc>
        <w:tc>
          <w:tcPr>
            <w:tcW w:w="60" w:type="dxa"/>
            <w:vAlign w:val="bottom"/>
          </w:tcPr>
          <w:p>
            <w:pPr>
              <w:spacing w:after="0"/>
              <w:rPr>
                <w:sz w:val="24"/>
                <w:szCs w:val="24"/>
                <w:color w:val="auto"/>
              </w:rPr>
            </w:pPr>
          </w:p>
        </w:tc>
      </w:tr>
      <w:tr>
        <w:trPr>
          <w:trHeight w:val="222"/>
        </w:trPr>
        <w:tc>
          <w:tcPr>
            <w:tcW w:w="5260" w:type="dxa"/>
            <w:vAlign w:val="bottom"/>
            <w:gridSpan w:val="2"/>
          </w:tcPr>
          <w:p>
            <w:pPr>
              <w:spacing w:after="0"/>
              <w:rPr>
                <w:sz w:val="20"/>
                <w:szCs w:val="20"/>
                <w:color w:val="auto"/>
              </w:rPr>
            </w:pPr>
            <w:r>
              <w:rPr>
                <w:rFonts w:ascii="Arial" w:cs="Arial" w:eastAsia="Arial" w:hAnsi="Arial"/>
                <w:sz w:val="18"/>
                <w:szCs w:val="18"/>
                <w:color w:val="auto"/>
              </w:rPr>
              <w:t>Less: Accumulated Amortization</w:t>
            </w:r>
          </w:p>
        </w:tc>
        <w:tc>
          <w:tcPr>
            <w:tcW w:w="440" w:type="dxa"/>
            <w:vAlign w:val="bottom"/>
          </w:tcPr>
          <w:p>
            <w:pPr>
              <w:spacing w:after="0"/>
              <w:rPr>
                <w:sz w:val="19"/>
                <w:szCs w:val="19"/>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(392)</w:t>
            </w:r>
          </w:p>
        </w:tc>
        <w:tc>
          <w:tcPr>
            <w:tcW w:w="44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(310)</w:t>
            </w:r>
          </w:p>
        </w:tc>
      </w:tr>
      <w:tr>
        <w:trPr>
          <w:trHeight w:val="110"/>
        </w:trPr>
        <w:tc>
          <w:tcPr>
            <w:tcW w:w="52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gridSpan w:val="2"/>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gridSpan w:val="2"/>
          </w:tcPr>
          <w:p>
            <w:pPr>
              <w:spacing w:after="0"/>
              <w:rPr>
                <w:sz w:val="9"/>
                <w:szCs w:val="9"/>
                <w:color w:val="auto"/>
              </w:rPr>
            </w:pPr>
          </w:p>
        </w:tc>
        <w:tc>
          <w:tcPr>
            <w:tcW w:w="60" w:type="dxa"/>
            <w:vAlign w:val="bottom"/>
          </w:tcPr>
          <w:p>
            <w:pPr>
              <w:spacing w:after="0"/>
              <w:rPr>
                <w:sz w:val="9"/>
                <w:szCs w:val="9"/>
                <w:color w:val="auto"/>
              </w:rPr>
            </w:pPr>
          </w:p>
        </w:tc>
      </w:tr>
      <w:tr>
        <w:trPr>
          <w:trHeight w:val="316"/>
        </w:trPr>
        <w:tc>
          <w:tcPr>
            <w:tcW w:w="5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jc w:val="right"/>
              <w:ind w:right="286"/>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158</w:t>
            </w:r>
          </w:p>
        </w:tc>
        <w:tc>
          <w:tcPr>
            <w:tcW w:w="160" w:type="dxa"/>
            <w:vAlign w:val="bottom"/>
          </w:tcPr>
          <w:p>
            <w:pPr>
              <w:spacing w:after="0"/>
              <w:rPr>
                <w:sz w:val="24"/>
                <w:szCs w:val="24"/>
                <w:color w:val="auto"/>
              </w:rPr>
            </w:pPr>
          </w:p>
        </w:tc>
        <w:tc>
          <w:tcPr>
            <w:tcW w:w="440" w:type="dxa"/>
            <w:vAlign w:val="bottom"/>
          </w:tcPr>
          <w:p>
            <w:pPr>
              <w:jc w:val="right"/>
              <w:ind w:right="199"/>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240</w:t>
            </w:r>
          </w:p>
        </w:tc>
        <w:tc>
          <w:tcPr>
            <w:tcW w:w="60" w:type="dxa"/>
            <w:vAlign w:val="bottom"/>
          </w:tcPr>
          <w:p>
            <w:pPr>
              <w:spacing w:after="0"/>
              <w:rPr>
                <w:sz w:val="24"/>
                <w:szCs w:val="24"/>
                <w:color w:val="auto"/>
              </w:rPr>
            </w:pPr>
          </w:p>
        </w:tc>
      </w:tr>
      <w:tr>
        <w:trPr>
          <w:trHeight w:val="134"/>
        </w:trPr>
        <w:tc>
          <w:tcPr>
            <w:tcW w:w="52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-29210</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-29210</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-29210</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-29210</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20" w:lineRule="exact"/>
        <w:rPr>
          <w:sz w:val="20"/>
          <w:szCs w:val="20"/>
          <w:color w:val="auto"/>
        </w:rPr>
      </w:pPr>
    </w:p>
    <w:p>
      <w:pPr>
        <w:ind w:right="2459" w:firstLine="341"/>
        <w:spacing w:after="0" w:line="332" w:lineRule="auto"/>
        <w:rPr>
          <w:sz w:val="20"/>
          <w:szCs w:val="20"/>
          <w:color w:val="auto"/>
        </w:rPr>
      </w:pPr>
      <w:r>
        <w:rPr>
          <w:rFonts w:ascii="Arial" w:cs="Arial" w:eastAsia="Arial" w:hAnsi="Arial"/>
          <w:sz w:val="16"/>
          <w:szCs w:val="16"/>
          <w:color w:val="auto"/>
        </w:rPr>
        <w:t>Amortization expense related to other intangible assets was approximately $82 for the nine months ended February 1, 2003 and is expected to be $113 for the full fiscal year ending May 3, 2003.</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Inventories</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Inventories consist of the following:</w:t>
      </w:r>
    </w:p>
    <w:p>
      <w:pPr>
        <w:spacing w:after="0" w:line="15" w:lineRule="exact"/>
        <w:rPr>
          <w:sz w:val="20"/>
          <w:szCs w:val="20"/>
          <w:color w:val="auto"/>
        </w:rPr>
      </w:pPr>
    </w:p>
    <w:tbl>
      <w:tblPr>
        <w:tblLayout w:type="fixed"/>
        <w:tblInd w:w="360" w:type="dxa"/>
        <w:tblCellMar>
          <w:top w:w="0" w:type="dxa"/>
          <w:left w:w="0" w:type="dxa"/>
          <w:bottom w:w="0" w:type="dxa"/>
          <w:right w:w="0" w:type="dxa"/>
        </w:tblCellMar>
      </w:tblPr>
      <w:tr>
        <w:trPr>
          <w:trHeight w:val="174"/>
        </w:trPr>
        <w:tc>
          <w:tcPr>
            <w:tcW w:w="5380" w:type="dxa"/>
            <w:vAlign w:val="bottom"/>
          </w:tcPr>
          <w:p>
            <w:pPr>
              <w:spacing w:after="0"/>
              <w:rPr>
                <w:sz w:val="15"/>
                <w:szCs w:val="15"/>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0"/>
              </w:rPr>
              <w:t>February 1, 2003</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0"/>
              </w:rPr>
              <w:t>April 27, 2002</w:t>
            </w:r>
          </w:p>
        </w:tc>
      </w:tr>
      <w:tr>
        <w:trPr>
          <w:trHeight w:val="84"/>
        </w:trPr>
        <w:tc>
          <w:tcPr>
            <w:tcW w:w="5380" w:type="dxa"/>
            <w:vAlign w:val="bottom"/>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r>
      <w:tr>
        <w:trPr>
          <w:trHeight w:val="309"/>
        </w:trPr>
        <w:tc>
          <w:tcPr>
            <w:tcW w:w="5380" w:type="dxa"/>
            <w:vAlign w:val="bottom"/>
          </w:tcPr>
          <w:p>
            <w:pPr>
              <w:spacing w:after="0"/>
              <w:rPr>
                <w:sz w:val="20"/>
                <w:szCs w:val="20"/>
                <w:color w:val="auto"/>
              </w:rPr>
            </w:pPr>
            <w:r>
              <w:rPr>
                <w:rFonts w:ascii="Arial" w:cs="Arial" w:eastAsia="Arial" w:hAnsi="Arial"/>
                <w:sz w:val="18"/>
                <w:szCs w:val="18"/>
                <w:color w:val="auto"/>
              </w:rPr>
              <w:t>Raw materials</w:t>
            </w: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6,725</w:t>
            </w:r>
          </w:p>
        </w:tc>
        <w:tc>
          <w:tcPr>
            <w:tcW w:w="500" w:type="dxa"/>
            <w:vAlign w:val="bottom"/>
            <w:gridSpan w:val="3"/>
          </w:tcPr>
          <w:p>
            <w:pPr>
              <w:jc w:val="right"/>
              <w:ind w:right="92"/>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7,396</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Work-in-process</w:t>
            </w:r>
          </w:p>
        </w:tc>
        <w:tc>
          <w:tcPr>
            <w:tcW w:w="3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3,173</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1,707</w:t>
            </w:r>
          </w:p>
        </w:tc>
      </w:tr>
      <w:tr>
        <w:trPr>
          <w:trHeight w:val="222"/>
        </w:trPr>
        <w:tc>
          <w:tcPr>
            <w:tcW w:w="5380" w:type="dxa"/>
            <w:vAlign w:val="bottom"/>
          </w:tcPr>
          <w:p>
            <w:pPr>
              <w:spacing w:after="0"/>
              <w:rPr>
                <w:sz w:val="20"/>
                <w:szCs w:val="20"/>
                <w:color w:val="auto"/>
              </w:rPr>
            </w:pPr>
            <w:r>
              <w:rPr>
                <w:rFonts w:ascii="Arial" w:cs="Arial" w:eastAsia="Arial" w:hAnsi="Arial"/>
                <w:sz w:val="18"/>
                <w:szCs w:val="18"/>
                <w:color w:val="auto"/>
              </w:rPr>
              <w:t>Finished goods</w:t>
            </w:r>
          </w:p>
        </w:tc>
        <w:tc>
          <w:tcPr>
            <w:tcW w:w="34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7,120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7,369</w:t>
            </w:r>
          </w:p>
        </w:tc>
      </w:tr>
      <w:tr>
        <w:trPr>
          <w:trHeight w:val="110"/>
        </w:trPr>
        <w:tc>
          <w:tcPr>
            <w:tcW w:w="538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gridSpan w:val="2"/>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Borders>
              <w:bottom w:val="single" w:sz="8" w:color="auto"/>
            </w:tcBorders>
            <w:gridSpan w:val="2"/>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5380" w:type="dxa"/>
            <w:vAlign w:val="bottom"/>
          </w:tcPr>
          <w:p>
            <w:pPr>
              <w:spacing w:after="0"/>
              <w:rPr>
                <w:sz w:val="24"/>
                <w:szCs w:val="24"/>
                <w:color w:val="auto"/>
              </w:rPr>
            </w:pP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17,018</w:t>
            </w:r>
          </w:p>
        </w:tc>
        <w:tc>
          <w:tcPr>
            <w:tcW w:w="500" w:type="dxa"/>
            <w:vAlign w:val="bottom"/>
            <w:gridSpan w:val="3"/>
          </w:tcPr>
          <w:p>
            <w:pPr>
              <w:jc w:val="right"/>
              <w:ind w:right="92"/>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16,472</w:t>
            </w:r>
          </w:p>
        </w:tc>
      </w:tr>
      <w:tr>
        <w:trPr>
          <w:trHeight w:val="134"/>
        </w:trPr>
        <w:tc>
          <w:tcPr>
            <w:tcW w:w="538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4307840</wp:posOffset>
            </wp:positionH>
            <wp:positionV relativeFrom="paragraph">
              <wp:posOffset>-29210</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-29210</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-29210</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-29210</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Segment Disclosure</w:t>
      </w:r>
    </w:p>
    <w:p>
      <w:pPr>
        <w:spacing w:after="0" w:line="299" w:lineRule="exact"/>
        <w:rPr>
          <w:sz w:val="20"/>
          <w:szCs w:val="20"/>
          <w:color w:val="auto"/>
        </w:rPr>
      </w:pPr>
    </w:p>
    <w:p>
      <w:pPr>
        <w:ind w:right="2159" w:firstLine="348"/>
        <w:spacing w:after="0" w:line="318" w:lineRule="auto"/>
        <w:rPr>
          <w:sz w:val="20"/>
          <w:szCs w:val="20"/>
          <w:color w:val="auto"/>
        </w:rPr>
      </w:pPr>
      <w:r>
        <w:rPr>
          <w:rFonts w:ascii="Arial" w:cs="Arial" w:eastAsia="Arial" w:hAnsi="Arial"/>
          <w:sz w:val="15"/>
          <w:szCs w:val="15"/>
          <w:color w:val="auto"/>
        </w:rPr>
        <w:t>The Company’s chief operating decision maker reviews financial information presented on a consolidated basis, accompanied by disaggregated information about revenue and certain expenses, by market and geographic region, for purposes of assessing financial performance and making operating decisions. Accordingly, the Company considers itself to be operating in a single industry segment. The Company does not manage its business by solution or focus area. The Company has no individual customers that constitute a significant concentration.</w:t>
      </w:r>
    </w:p>
    <w:p>
      <w:pPr>
        <w:spacing w:after="0" w:line="154" w:lineRule="exact"/>
        <w:rPr>
          <w:sz w:val="20"/>
          <w:szCs w:val="20"/>
          <w:color w:val="auto"/>
        </w:rPr>
      </w:pPr>
    </w:p>
    <w:p>
      <w:pPr>
        <w:ind w:right="2859" w:firstLine="348"/>
        <w:spacing w:after="0" w:line="268" w:lineRule="auto"/>
        <w:rPr>
          <w:sz w:val="20"/>
          <w:szCs w:val="20"/>
          <w:color w:val="auto"/>
        </w:rPr>
      </w:pPr>
      <w:r>
        <w:rPr>
          <w:rFonts w:ascii="Arial" w:cs="Arial" w:eastAsia="Arial" w:hAnsi="Arial"/>
          <w:sz w:val="18"/>
          <w:szCs w:val="18"/>
          <w:color w:val="auto"/>
        </w:rPr>
        <w:t>The Company does not maintain information on sales by products, and therefore, disclosure of such information is not practical.</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469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information about the Company by geographic area:</w:t>
      </w:r>
    </w:p>
    <w:p>
      <w:pPr>
        <w:spacing w:after="0" w:line="235"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4100" w:type="dxa"/>
            <w:vAlign w:val="bottom"/>
            <w:vMerge w:val="restart"/>
          </w:tcPr>
          <w:p>
            <w:pPr>
              <w:spacing w:after="0"/>
              <w:rPr>
                <w:sz w:val="20"/>
                <w:szCs w:val="20"/>
                <w:color w:val="auto"/>
              </w:rPr>
            </w:pPr>
            <w:r>
              <w:rPr>
                <w:rFonts w:ascii="Arial" w:cs="Arial" w:eastAsia="Arial" w:hAnsi="Arial"/>
                <w:sz w:val="18"/>
                <w:szCs w:val="18"/>
                <w:color w:val="auto"/>
              </w:rPr>
              <w:t>Net sales for the nine months ended:</w:t>
            </w:r>
          </w:p>
        </w:tc>
        <w:tc>
          <w:tcPr>
            <w:tcW w:w="23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United States</w:t>
            </w:r>
          </w:p>
        </w:tc>
        <w:tc>
          <w:tcPr>
            <w:tcW w:w="6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Other</w:t>
            </w:r>
          </w:p>
        </w:tc>
        <w:tc>
          <w:tcPr>
            <w:tcW w:w="6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1"/>
        </w:trPr>
        <w:tc>
          <w:tcPr>
            <w:tcW w:w="4100" w:type="dxa"/>
            <w:vAlign w:val="bottom"/>
            <w:vMerge w:val="continue"/>
          </w:tcPr>
          <w:p>
            <w:pPr>
              <w:spacing w:after="0"/>
              <w:rPr>
                <w:sz w:val="17"/>
                <w:szCs w:val="17"/>
                <w:color w:val="auto"/>
              </w:rPr>
            </w:pPr>
          </w:p>
        </w:tc>
        <w:tc>
          <w:tcPr>
            <w:tcW w:w="154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180"/>
              <w:spacing w:after="0"/>
              <w:rPr>
                <w:sz w:val="20"/>
                <w:szCs w:val="20"/>
                <w:color w:val="auto"/>
              </w:rPr>
            </w:pPr>
            <w:r>
              <w:rPr>
                <w:rFonts w:ascii="Arial" w:cs="Arial" w:eastAsia="Arial" w:hAnsi="Arial"/>
                <w:sz w:val="18"/>
                <w:szCs w:val="18"/>
                <w:color w:val="auto"/>
              </w:rPr>
              <w:t>February 1, 2003</w:t>
            </w:r>
          </w:p>
        </w:tc>
        <w:tc>
          <w:tcPr>
            <w:tcW w:w="2360" w:type="dxa"/>
            <w:vAlign w:val="bottom"/>
            <w:gridSpan w:val="3"/>
          </w:tcPr>
          <w:p>
            <w:pPr>
              <w:jc w:val="right"/>
              <w:ind w:right="40"/>
              <w:spacing w:after="0"/>
              <w:rPr>
                <w:sz w:val="20"/>
                <w:szCs w:val="20"/>
                <w:color w:val="auto"/>
              </w:rPr>
            </w:pPr>
            <w:r>
              <w:rPr>
                <w:rFonts w:ascii="Arial" w:cs="Arial" w:eastAsia="Arial" w:hAnsi="Arial"/>
                <w:sz w:val="18"/>
                <w:szCs w:val="18"/>
                <w:color w:val="auto"/>
              </w:rPr>
              <w:t>124,925</w:t>
            </w:r>
          </w:p>
        </w:tc>
        <w:tc>
          <w:tcPr>
            <w:tcW w:w="600" w:type="dxa"/>
            <w:vAlign w:val="bottom"/>
            <w:gridSpan w:val="3"/>
          </w:tcPr>
          <w:p>
            <w:pPr>
              <w:jc w:val="right"/>
              <w:ind w:right="80"/>
              <w:spacing w:after="0"/>
              <w:rPr>
                <w:sz w:val="20"/>
                <w:szCs w:val="20"/>
                <w:color w:val="auto"/>
              </w:rPr>
            </w:pPr>
            <w:r>
              <w:rPr>
                <w:rFonts w:ascii="Arial" w:cs="Arial" w:eastAsia="Arial" w:hAnsi="Arial"/>
                <w:sz w:val="18"/>
                <w:szCs w:val="18"/>
                <w:color w:val="auto"/>
              </w:rPr>
              <w:t>5,475</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w w:val="95"/>
              </w:rPr>
              <w:t>130,400</w:t>
            </w:r>
          </w:p>
        </w:tc>
        <w:tc>
          <w:tcPr>
            <w:tcW w:w="0" w:type="dxa"/>
            <w:vAlign w:val="bottom"/>
          </w:tcPr>
          <w:p>
            <w:pPr>
              <w:spacing w:after="0"/>
              <w:rPr>
                <w:sz w:val="1"/>
                <w:szCs w:val="1"/>
                <w:color w:val="auto"/>
              </w:rPr>
            </w:pPr>
          </w:p>
        </w:tc>
      </w:tr>
      <w:tr>
        <w:trPr>
          <w:trHeight w:val="216"/>
        </w:trPr>
        <w:tc>
          <w:tcPr>
            <w:tcW w:w="4100" w:type="dxa"/>
            <w:vAlign w:val="bottom"/>
          </w:tcPr>
          <w:p>
            <w:pPr>
              <w:ind w:left="180"/>
              <w:spacing w:after="0"/>
              <w:rPr>
                <w:sz w:val="20"/>
                <w:szCs w:val="20"/>
                <w:color w:val="auto"/>
              </w:rPr>
            </w:pPr>
            <w:r>
              <w:rPr>
                <w:rFonts w:ascii="Arial" w:cs="Arial" w:eastAsia="Arial" w:hAnsi="Arial"/>
                <w:sz w:val="18"/>
                <w:szCs w:val="18"/>
                <w:color w:val="auto"/>
              </w:rPr>
              <w:t>January 26, 2002</w:t>
            </w:r>
          </w:p>
        </w:tc>
        <w:tc>
          <w:tcPr>
            <w:tcW w:w="2360" w:type="dxa"/>
            <w:vAlign w:val="bottom"/>
            <w:gridSpan w:val="3"/>
          </w:tcPr>
          <w:p>
            <w:pPr>
              <w:jc w:val="right"/>
              <w:ind w:right="40"/>
              <w:spacing w:after="0"/>
              <w:rPr>
                <w:sz w:val="20"/>
                <w:szCs w:val="20"/>
                <w:color w:val="auto"/>
              </w:rPr>
            </w:pPr>
            <w:r>
              <w:rPr>
                <w:rFonts w:ascii="Arial" w:cs="Arial" w:eastAsia="Arial" w:hAnsi="Arial"/>
                <w:sz w:val="18"/>
                <w:szCs w:val="18"/>
                <w:color w:val="auto"/>
              </w:rPr>
              <w:t>101,309</w:t>
            </w:r>
          </w:p>
        </w:tc>
        <w:tc>
          <w:tcPr>
            <w:tcW w:w="600" w:type="dxa"/>
            <w:vAlign w:val="bottom"/>
            <w:gridSpan w:val="3"/>
          </w:tcPr>
          <w:p>
            <w:pPr>
              <w:jc w:val="right"/>
              <w:ind w:right="80"/>
              <w:spacing w:after="0"/>
              <w:rPr>
                <w:sz w:val="20"/>
                <w:szCs w:val="20"/>
                <w:color w:val="auto"/>
              </w:rPr>
            </w:pPr>
            <w:r>
              <w:rPr>
                <w:rFonts w:ascii="Arial" w:cs="Arial" w:eastAsia="Arial" w:hAnsi="Arial"/>
                <w:sz w:val="18"/>
                <w:szCs w:val="18"/>
                <w:color w:val="auto"/>
                <w:w w:val="90"/>
              </w:rPr>
              <w:t>11,373</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w w:val="95"/>
              </w:rPr>
              <w:t>112,682</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Long-lived assets:</w:t>
            </w:r>
          </w:p>
        </w:tc>
        <w:tc>
          <w:tcPr>
            <w:tcW w:w="1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180"/>
              <w:spacing w:after="0"/>
              <w:rPr>
                <w:sz w:val="20"/>
                <w:szCs w:val="20"/>
                <w:color w:val="auto"/>
              </w:rPr>
            </w:pPr>
            <w:r>
              <w:rPr>
                <w:rFonts w:ascii="Arial" w:cs="Arial" w:eastAsia="Arial" w:hAnsi="Arial"/>
                <w:sz w:val="18"/>
                <w:szCs w:val="18"/>
                <w:color w:val="auto"/>
              </w:rPr>
              <w:t>February 1, 2003</w:t>
            </w:r>
          </w:p>
        </w:tc>
        <w:tc>
          <w:tcPr>
            <w:tcW w:w="2360" w:type="dxa"/>
            <w:vAlign w:val="bottom"/>
            <w:gridSpan w:val="3"/>
          </w:tcPr>
          <w:p>
            <w:pPr>
              <w:jc w:val="right"/>
              <w:ind w:right="40"/>
              <w:spacing w:after="0"/>
              <w:rPr>
                <w:sz w:val="20"/>
                <w:szCs w:val="20"/>
                <w:color w:val="auto"/>
              </w:rPr>
            </w:pPr>
            <w:r>
              <w:rPr>
                <w:rFonts w:ascii="Arial" w:cs="Arial" w:eastAsia="Arial" w:hAnsi="Arial"/>
                <w:sz w:val="18"/>
                <w:szCs w:val="18"/>
                <w:color w:val="auto"/>
              </w:rPr>
              <w:t>24,825</w:t>
            </w:r>
          </w:p>
        </w:tc>
        <w:tc>
          <w:tcPr>
            <w:tcW w:w="600" w:type="dxa"/>
            <w:vAlign w:val="bottom"/>
            <w:gridSpan w:val="3"/>
          </w:tcPr>
          <w:p>
            <w:pPr>
              <w:jc w:val="right"/>
              <w:ind w:right="80"/>
              <w:spacing w:after="0"/>
              <w:rPr>
                <w:sz w:val="20"/>
                <w:szCs w:val="20"/>
                <w:color w:val="auto"/>
              </w:rPr>
            </w:pPr>
            <w:r>
              <w:rPr>
                <w:rFonts w:ascii="Arial" w:cs="Arial" w:eastAsia="Arial" w:hAnsi="Arial"/>
                <w:sz w:val="18"/>
                <w:szCs w:val="18"/>
                <w:color w:val="auto"/>
              </w:rPr>
              <w:t>308</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25,133</w:t>
            </w:r>
          </w:p>
        </w:tc>
        <w:tc>
          <w:tcPr>
            <w:tcW w:w="0" w:type="dxa"/>
            <w:vAlign w:val="bottom"/>
          </w:tcPr>
          <w:p>
            <w:pPr>
              <w:spacing w:after="0"/>
              <w:rPr>
                <w:sz w:val="1"/>
                <w:szCs w:val="1"/>
                <w:color w:val="auto"/>
              </w:rPr>
            </w:pPr>
          </w:p>
        </w:tc>
      </w:tr>
      <w:tr>
        <w:trPr>
          <w:trHeight w:val="222"/>
        </w:trPr>
        <w:tc>
          <w:tcPr>
            <w:tcW w:w="4100" w:type="dxa"/>
            <w:vAlign w:val="bottom"/>
          </w:tcPr>
          <w:p>
            <w:pPr>
              <w:ind w:left="160"/>
              <w:spacing w:after="0"/>
              <w:rPr>
                <w:sz w:val="20"/>
                <w:szCs w:val="20"/>
                <w:color w:val="auto"/>
              </w:rPr>
            </w:pPr>
            <w:r>
              <w:rPr>
                <w:rFonts w:ascii="Arial" w:cs="Arial" w:eastAsia="Arial" w:hAnsi="Arial"/>
                <w:sz w:val="18"/>
                <w:szCs w:val="18"/>
                <w:color w:val="auto"/>
              </w:rPr>
              <w:t>April 27, 2002</w:t>
            </w:r>
          </w:p>
        </w:tc>
        <w:tc>
          <w:tcPr>
            <w:tcW w:w="2360" w:type="dxa"/>
            <w:vAlign w:val="bottom"/>
            <w:gridSpan w:val="3"/>
          </w:tcPr>
          <w:p>
            <w:pPr>
              <w:jc w:val="right"/>
              <w:ind w:right="40"/>
              <w:spacing w:after="0"/>
              <w:rPr>
                <w:sz w:val="20"/>
                <w:szCs w:val="20"/>
                <w:color w:val="auto"/>
              </w:rPr>
            </w:pPr>
            <w:r>
              <w:rPr>
                <w:rFonts w:ascii="Arial" w:cs="Arial" w:eastAsia="Arial" w:hAnsi="Arial"/>
                <w:sz w:val="18"/>
                <w:szCs w:val="18"/>
                <w:color w:val="auto"/>
              </w:rPr>
              <w:t>26,584</w:t>
            </w:r>
          </w:p>
        </w:tc>
        <w:tc>
          <w:tcPr>
            <w:tcW w:w="600" w:type="dxa"/>
            <w:vAlign w:val="bottom"/>
            <w:gridSpan w:val="3"/>
          </w:tcPr>
          <w:p>
            <w:pPr>
              <w:jc w:val="right"/>
              <w:ind w:right="80"/>
              <w:spacing w:after="0"/>
              <w:rPr>
                <w:sz w:val="20"/>
                <w:szCs w:val="20"/>
                <w:color w:val="auto"/>
              </w:rPr>
            </w:pPr>
            <w:r>
              <w:rPr>
                <w:rFonts w:ascii="Arial" w:cs="Arial" w:eastAsia="Arial" w:hAnsi="Arial"/>
                <w:sz w:val="18"/>
                <w:szCs w:val="18"/>
                <w:color w:val="auto"/>
              </w:rPr>
              <w:t>261</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26,845</w:t>
            </w:r>
          </w:p>
        </w:tc>
        <w:tc>
          <w:tcPr>
            <w:tcW w:w="0" w:type="dxa"/>
            <w:vAlign w:val="bottom"/>
          </w:tcPr>
          <w:p>
            <w:pPr>
              <w:spacing w:after="0"/>
              <w:rPr>
                <w:sz w:val="1"/>
                <w:szCs w:val="1"/>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Litigation</w:t>
      </w:r>
    </w:p>
    <w:p>
      <w:pPr>
        <w:sectPr>
          <w:pgSz w:w="11900" w:h="16838" w:orient="portrait"/>
          <w:cols w:equalWidth="0" w:num="1">
            <w:col w:w="10219"/>
          </w:cols>
          <w:pgMar w:left="240" w:top="153" w:right="1440" w:bottom="0" w:gutter="0" w:footer="0" w:header="0"/>
        </w:sectPr>
      </w:pPr>
    </w:p>
    <w:bookmarkStart w:id="8" w:name="page9"/>
    <w:bookmarkEnd w:id="8"/>
    <w:p>
      <w:pPr>
        <w:jc w:val="both"/>
        <w:ind w:right="2159" w:firstLine="348"/>
        <w:spacing w:after="0" w:line="306" w:lineRule="auto"/>
        <w:rPr>
          <w:sz w:val="20"/>
          <w:szCs w:val="20"/>
          <w:color w:val="auto"/>
        </w:rPr>
      </w:pPr>
      <w:r>
        <w:rPr>
          <w:rFonts w:ascii="Arial" w:cs="Arial" w:eastAsia="Arial" w:hAnsi="Arial"/>
          <w:sz w:val="16"/>
          <w:szCs w:val="16"/>
          <w:color w:val="auto"/>
        </w:rPr>
        <w:t>The Company is involved in various claims and legal actions arising in the ordinary course of business. In the opinion of management, based upon consultation with legal counsel, the ultimate disposition of these matters will not have a material adverse effect on the Company’s consolidated financial position.</w:t>
      </w:r>
    </w:p>
    <w:p>
      <w:pPr>
        <w:spacing w:after="0" w:line="155" w:lineRule="exact"/>
        <w:rPr>
          <w:sz w:val="20"/>
          <w:szCs w:val="20"/>
          <w:color w:val="auto"/>
        </w:rPr>
      </w:pPr>
    </w:p>
    <w:p>
      <w:pPr>
        <w:ind w:right="2899"/>
        <w:spacing w:after="0" w:line="275"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80" w:lineRule="exact"/>
        <w:rPr>
          <w:sz w:val="20"/>
          <w:szCs w:val="20"/>
          <w:color w:val="auto"/>
        </w:rPr>
      </w:pPr>
    </w:p>
    <w:p>
      <w:pPr>
        <w:ind w:right="2279" w:firstLine="348"/>
        <w:spacing w:after="0" w:line="259" w:lineRule="auto"/>
        <w:rPr>
          <w:sz w:val="20"/>
          <w:szCs w:val="20"/>
          <w:color w:val="auto"/>
        </w:rPr>
      </w:pPr>
      <w:r>
        <w:rPr>
          <w:rFonts w:ascii="Arial" w:cs="Arial" w:eastAsia="Arial" w:hAnsi="Arial"/>
          <w:sz w:val="18"/>
          <w:szCs w:val="18"/>
          <w:color w:val="auto"/>
        </w:rPr>
        <w:t>The following discussion highlights the principal factors affecting changes in financial condition and results of operations. This discussion should be read in conjunction with the accompanying Consolidated Financial Statements and Notes to Consolidated Financial Statements.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312" w:lineRule="exact"/>
        <w:rPr>
          <w:sz w:val="20"/>
          <w:szCs w:val="20"/>
          <w:color w:val="auto"/>
        </w:rPr>
      </w:pPr>
    </w:p>
    <w:p>
      <w:pPr>
        <w:ind w:right="2219" w:firstLine="348"/>
        <w:spacing w:after="0" w:line="256" w:lineRule="auto"/>
        <w:rPr>
          <w:sz w:val="20"/>
          <w:szCs w:val="20"/>
          <w:color w:val="auto"/>
        </w:rPr>
      </w:pPr>
      <w:r>
        <w:rPr>
          <w:rFonts w:ascii="Arial" w:cs="Arial" w:eastAsia="Arial" w:hAnsi="Arial"/>
          <w:sz w:val="18"/>
          <w:szCs w:val="18"/>
          <w:color w:val="auto"/>
        </w:rPr>
        <w:t>The Company designs, manufactures, and sells a wide range of computer-programmable information display systems to customers in a variety of markets throughout the world. The Company focuses its sales and marketing efforts on markets as well as products. The primary categories of markets include sport, business, and transportation.</w:t>
      </w:r>
    </w:p>
    <w:p>
      <w:pPr>
        <w:spacing w:after="0" w:line="197" w:lineRule="exact"/>
        <w:rPr>
          <w:sz w:val="20"/>
          <w:szCs w:val="20"/>
          <w:color w:val="auto"/>
        </w:rPr>
      </w:pPr>
    </w:p>
    <w:p>
      <w:pPr>
        <w:ind w:right="2119" w:firstLine="348"/>
        <w:spacing w:after="0" w:line="288" w:lineRule="auto"/>
        <w:rPr>
          <w:sz w:val="20"/>
          <w:szCs w:val="20"/>
          <w:color w:val="auto"/>
        </w:rPr>
      </w:pPr>
      <w:r>
        <w:rPr>
          <w:rFonts w:ascii="Arial" w:cs="Arial" w:eastAsia="Arial" w:hAnsi="Arial"/>
          <w:sz w:val="16"/>
          <w:szCs w:val="16"/>
          <w:color w:val="auto"/>
        </w:rPr>
        <w:t>The Company’s net sales and profitability historically have fluctuated due to the impact of large product orders, such as display systems for major league sport facilities and colleges and universities, as well as the seasonality of the sports market. Net sales also fluctuate due to seasonality factors, including the timing of the various sports seasons and the impact of holidays, which primarily impact the Company’s third quarter. The Company’s gross margins on large product orders tend to fluctuate more than those for small standard orders. Large product orders that involve competitive bidding and substantial subcontract work for product installation generally have lower gross margins. Although the Company follows the percentage of completion method of recognizing revenues for larger custom orders, the Company nevertheless has experienced fluctuations in operating results and expects that its future results of operations may be subject to similar fluctuations.</w:t>
      </w:r>
    </w:p>
    <w:p>
      <w:pPr>
        <w:spacing w:after="0" w:line="174" w:lineRule="exact"/>
        <w:rPr>
          <w:sz w:val="20"/>
          <w:szCs w:val="20"/>
          <w:color w:val="auto"/>
        </w:rPr>
      </w:pPr>
    </w:p>
    <w:p>
      <w:pPr>
        <w:ind w:right="2239" w:firstLine="348"/>
        <w:spacing w:after="0" w:line="306" w:lineRule="auto"/>
        <w:rPr>
          <w:sz w:val="20"/>
          <w:szCs w:val="20"/>
          <w:color w:val="auto"/>
        </w:rPr>
      </w:pPr>
      <w:r>
        <w:rPr>
          <w:rFonts w:ascii="Arial" w:cs="Arial" w:eastAsia="Arial" w:hAnsi="Arial"/>
          <w:sz w:val="16"/>
          <w:szCs w:val="16"/>
          <w:color w:val="auto"/>
        </w:rPr>
        <w:t>The Company operates on a 52-53 week fiscal year, with fiscal years ending on the Saturday closest to April 30 of each year. The Company’s 2003 fiscal year contains 53 weeks and the first quarter of fiscal year 2003 contained 14 weeks as compared to the more typical 52-week year and 13-week quarter.</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312" w:lineRule="exact"/>
        <w:rPr>
          <w:sz w:val="20"/>
          <w:szCs w:val="20"/>
          <w:color w:val="auto"/>
        </w:rPr>
      </w:pPr>
    </w:p>
    <w:p>
      <w:pPr>
        <w:ind w:right="2179" w:firstLine="348"/>
        <w:spacing w:after="0" w:line="291" w:lineRule="auto"/>
        <w:rPr>
          <w:sz w:val="20"/>
          <w:szCs w:val="20"/>
          <w:color w:val="auto"/>
        </w:rPr>
      </w:pPr>
      <w:r>
        <w:rPr>
          <w:rFonts w:ascii="Arial" w:cs="Arial" w:eastAsia="Arial" w:hAnsi="Arial"/>
          <w:sz w:val="16"/>
          <w:szCs w:val="16"/>
          <w:color w:val="auto"/>
        </w:rPr>
        <w:t>The following discussion and analysis of financial condition and results of operations are based upon the Company’s Consolidated Financial Statements, which have been prepared in accordance with accounting principles generally accepted in the United States of America. The preparation of these financial statements requires the Company to make estimates and judgments that affect the reported amounts of assets, liabilities, revenues and expenses, and related disclosure of contingent assets and liabilities. On a regular basis, the Company evaluates its estimates, including those related to estimated total costs on long-term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469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right="2339"/>
        <w:spacing w:after="0" w:line="294" w:lineRule="auto"/>
        <w:rPr>
          <w:sz w:val="20"/>
          <w:szCs w:val="20"/>
          <w:color w:val="auto"/>
        </w:rPr>
      </w:pPr>
      <w:r>
        <w:rPr>
          <w:rFonts w:ascii="Arial" w:cs="Arial" w:eastAsia="Arial" w:hAnsi="Arial"/>
          <w:sz w:val="16"/>
          <w:szCs w:val="16"/>
          <w:color w:val="auto"/>
        </w:rPr>
        <w:t>estimated costs to be incurred for product warranties and extended maintenance contracts, bad debts, excess and obsolete inventory and contingencies. Its estimates are based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70" w:lineRule="exact"/>
        <w:rPr>
          <w:sz w:val="20"/>
          <w:szCs w:val="20"/>
          <w:color w:val="auto"/>
        </w:rPr>
      </w:pPr>
    </w:p>
    <w:p>
      <w:pPr>
        <w:ind w:right="2219" w:firstLine="348"/>
        <w:spacing w:after="0" w:line="268" w:lineRule="auto"/>
        <w:rPr>
          <w:sz w:val="20"/>
          <w:szCs w:val="20"/>
          <w:color w:val="auto"/>
        </w:rPr>
      </w:pPr>
      <w:r>
        <w:rPr>
          <w:rFonts w:ascii="Arial" w:cs="Arial" w:eastAsia="Arial" w:hAnsi="Arial"/>
          <w:sz w:val="18"/>
          <w:szCs w:val="18"/>
          <w:color w:val="auto"/>
        </w:rPr>
        <w:t>The Company believes the following critical accounting policies require significant judgments and estimates in the preparation of its consolidated financial statements:</w:t>
      </w:r>
    </w:p>
    <w:p>
      <w:pPr>
        <w:spacing w:after="0" w:line="186" w:lineRule="exact"/>
        <w:rPr>
          <w:sz w:val="20"/>
          <w:szCs w:val="20"/>
          <w:color w:val="auto"/>
        </w:rPr>
      </w:pPr>
    </w:p>
    <w:p>
      <w:pPr>
        <w:ind w:right="2159" w:firstLine="351"/>
        <w:spacing w:after="0" w:line="290" w:lineRule="auto"/>
        <w:rPr>
          <w:sz w:val="20"/>
          <w:szCs w:val="20"/>
          <w:color w:val="auto"/>
        </w:rPr>
      </w:pPr>
      <w:r>
        <w:rPr>
          <w:rFonts w:ascii="Arial" w:cs="Arial" w:eastAsia="Arial" w:hAnsi="Arial"/>
          <w:sz w:val="16"/>
          <w:szCs w:val="16"/>
          <w:i w:val="1"/>
          <w:iCs w:val="1"/>
          <w:color w:val="auto"/>
        </w:rPr>
        <w:t xml:space="preserve">Revenue recognition on long-term contracts. </w:t>
      </w:r>
      <w:r>
        <w:rPr>
          <w:rFonts w:ascii="Arial" w:cs="Arial" w:eastAsia="Arial" w:hAnsi="Arial"/>
          <w:sz w:val="16"/>
          <w:szCs w:val="16"/>
          <w:color w:val="auto"/>
        </w:rPr>
        <w:t>Earnings on long-term contracts are recognized on the</w:t>
      </w:r>
      <w:r>
        <w:rPr>
          <w:rFonts w:ascii="Arial" w:cs="Arial" w:eastAsia="Arial" w:hAnsi="Arial"/>
          <w:sz w:val="16"/>
          <w:szCs w:val="16"/>
          <w:i w:val="1"/>
          <w:iCs w:val="1"/>
          <w:color w:val="auto"/>
        </w:rPr>
        <w:t xml:space="preserve"> </w:t>
      </w:r>
      <w:r>
        <w:rPr>
          <w:rFonts w:ascii="Arial" w:cs="Arial" w:eastAsia="Arial" w:hAnsi="Arial"/>
          <w:sz w:val="16"/>
          <w:szCs w:val="16"/>
          <w:color w:val="auto"/>
        </w:rPr>
        <w:t>percentage-of-completion method, measured by the percentage of costs incurred to date to estimated total costs for each contract. Provisions for estimated losses on uncompleted contracts are made in the period in which such losses are estimatable. Generally, contracts entered into by the Company have fixed prices established and to the extent the actual costs to complete contracts are higher than the amounts estimated as of the date of the financial statements, the resulting gross margin would be negatively effected in future quarters when the Company revises its estimates. The Company’s practice is to revise estimates as soon as such changes in estimates are known.</w:t>
      </w:r>
    </w:p>
    <w:p>
      <w:pPr>
        <w:spacing w:after="0" w:line="172" w:lineRule="exact"/>
        <w:rPr>
          <w:sz w:val="20"/>
          <w:szCs w:val="20"/>
          <w:color w:val="auto"/>
        </w:rPr>
      </w:pPr>
    </w:p>
    <w:p>
      <w:pPr>
        <w:ind w:right="2199" w:firstLine="351"/>
        <w:spacing w:after="0" w:line="255" w:lineRule="auto"/>
        <w:rPr>
          <w:sz w:val="20"/>
          <w:szCs w:val="20"/>
          <w:color w:val="auto"/>
        </w:rPr>
      </w:pPr>
      <w:r>
        <w:rPr>
          <w:rFonts w:ascii="Arial" w:cs="Arial" w:eastAsia="Arial" w:hAnsi="Arial"/>
          <w:sz w:val="18"/>
          <w:szCs w:val="18"/>
          <w:i w:val="1"/>
          <w:iCs w:val="1"/>
          <w:color w:val="auto"/>
        </w:rPr>
        <w:t xml:space="preserve">Allowance for doubtful accounts. </w:t>
      </w:r>
      <w:r>
        <w:rPr>
          <w:rFonts w:ascii="Arial" w:cs="Arial" w:eastAsia="Arial" w:hAnsi="Arial"/>
          <w:sz w:val="18"/>
          <w:szCs w:val="18"/>
          <w:color w:val="auto"/>
        </w:rPr>
        <w:t>The Company maintains an allowance for doubtful accounts for estimated</w:t>
      </w:r>
      <w:r>
        <w:rPr>
          <w:rFonts w:ascii="Arial" w:cs="Arial" w:eastAsia="Arial" w:hAnsi="Arial"/>
          <w:sz w:val="18"/>
          <w:szCs w:val="18"/>
          <w:i w:val="1"/>
          <w:iCs w:val="1"/>
          <w:color w:val="auto"/>
        </w:rPr>
        <w:t xml:space="preserve"> </w:t>
      </w:r>
      <w:r>
        <w:rPr>
          <w:rFonts w:ascii="Arial" w:cs="Arial" w:eastAsia="Arial" w:hAnsi="Arial"/>
          <w:sz w:val="18"/>
          <w:szCs w:val="18"/>
          <w:color w:val="auto"/>
        </w:rPr>
        <w:t>losses resulting from the inability of its customers to make required payments. If the financial condition of its customers were to deteriorate, resulting in an impairment of their ability to make payments, additional allowances may be required. As of February 1, 2003, the Company had an allowance for doubtful accounts balance of approximately $0.7 million.</w:t>
      </w:r>
    </w:p>
    <w:p>
      <w:pPr>
        <w:spacing w:after="0" w:line="197" w:lineRule="exact"/>
        <w:rPr>
          <w:sz w:val="20"/>
          <w:szCs w:val="20"/>
          <w:color w:val="auto"/>
        </w:rPr>
      </w:pPr>
    </w:p>
    <w:p>
      <w:pPr>
        <w:ind w:right="2139" w:firstLine="351"/>
        <w:spacing w:after="0" w:line="323" w:lineRule="auto"/>
        <w:rPr>
          <w:sz w:val="20"/>
          <w:szCs w:val="20"/>
          <w:color w:val="auto"/>
        </w:rPr>
      </w:pPr>
      <w:r>
        <w:rPr>
          <w:rFonts w:ascii="Arial" w:cs="Arial" w:eastAsia="Arial" w:hAnsi="Arial"/>
          <w:sz w:val="15"/>
          <w:szCs w:val="15"/>
          <w:i w:val="1"/>
          <w:iCs w:val="1"/>
          <w:color w:val="auto"/>
        </w:rPr>
        <w:t xml:space="preserve">Warranty, extended warranty and product maintenance. </w:t>
      </w:r>
      <w:r>
        <w:rPr>
          <w:rFonts w:ascii="Arial" w:cs="Arial" w:eastAsia="Arial" w:hAnsi="Arial"/>
          <w:sz w:val="15"/>
          <w:szCs w:val="15"/>
          <w:color w:val="auto"/>
        </w:rPr>
        <w:t>The Company has created a reserve for standard</w:t>
      </w:r>
      <w:r>
        <w:rPr>
          <w:rFonts w:ascii="Arial" w:cs="Arial" w:eastAsia="Arial" w:hAnsi="Arial"/>
          <w:sz w:val="15"/>
          <w:szCs w:val="15"/>
          <w:i w:val="1"/>
          <w:iCs w:val="1"/>
          <w:color w:val="auto"/>
        </w:rPr>
        <w:t xml:space="preserve"> </w:t>
      </w:r>
      <w:r>
        <w:rPr>
          <w:rFonts w:ascii="Arial" w:cs="Arial" w:eastAsia="Arial" w:hAnsi="Arial"/>
          <w:sz w:val="15"/>
          <w:szCs w:val="15"/>
          <w:color w:val="auto"/>
        </w:rPr>
        <w:t>warranties on its products equal to its estimate of the actual costs to be incurred in connection with its performance under the standard warranty. It also has deferred revenue related to separately priced extended warranties and product maintenance agreements. In the event that the Company would become aware of an increase in its</w:t>
      </w:r>
    </w:p>
    <w:p>
      <w:pPr>
        <w:sectPr>
          <w:pgSz w:w="11900" w:h="16838" w:orient="portrait"/>
          <w:cols w:equalWidth="0" w:num="1">
            <w:col w:w="10219"/>
          </w:cols>
          <w:pgMar w:left="240" w:top="131" w:right="1440" w:bottom="0" w:gutter="0" w:footer="0" w:header="0"/>
        </w:sectPr>
      </w:pPr>
    </w:p>
    <w:bookmarkStart w:id="9" w:name="page10"/>
    <w:bookmarkEnd w:id="9"/>
    <w:p>
      <w:pPr>
        <w:jc w:val="both"/>
        <w:ind w:right="2119"/>
        <w:spacing w:after="0" w:line="259" w:lineRule="auto"/>
        <w:rPr>
          <w:sz w:val="20"/>
          <w:szCs w:val="20"/>
          <w:color w:val="auto"/>
        </w:rPr>
      </w:pPr>
      <w:r>
        <w:rPr>
          <w:rFonts w:ascii="Arial" w:cs="Arial" w:eastAsia="Arial" w:hAnsi="Arial"/>
          <w:sz w:val="18"/>
          <w:szCs w:val="18"/>
          <w:color w:val="auto"/>
        </w:rPr>
        <w:t>warranty and maintenance reserves, deferrals of additional reserves may become necessary, resulting in an increase in costs of goods sold. As of February 1, 2003, the Company had a total of approximately $3.7 million deferred for these costs and revenues.</w:t>
      </w:r>
    </w:p>
    <w:p>
      <w:pPr>
        <w:spacing w:after="0" w:line="194" w:lineRule="exact"/>
        <w:rPr>
          <w:sz w:val="20"/>
          <w:szCs w:val="20"/>
          <w:color w:val="auto"/>
        </w:rPr>
      </w:pPr>
    </w:p>
    <w:p>
      <w:pPr>
        <w:ind w:right="2159" w:firstLine="176"/>
        <w:spacing w:after="0" w:line="291" w:lineRule="auto"/>
        <w:rPr>
          <w:sz w:val="20"/>
          <w:szCs w:val="20"/>
          <w:color w:val="auto"/>
        </w:rPr>
      </w:pPr>
      <w:r>
        <w:rPr>
          <w:rFonts w:ascii="Arial" w:cs="Arial" w:eastAsia="Arial" w:hAnsi="Arial"/>
          <w:sz w:val="16"/>
          <w:szCs w:val="16"/>
          <w:i w:val="1"/>
          <w:iCs w:val="1"/>
          <w:color w:val="auto"/>
        </w:rPr>
        <w:t xml:space="preserve">Inventory. </w:t>
      </w:r>
      <w:r>
        <w:rPr>
          <w:rFonts w:ascii="Arial" w:cs="Arial" w:eastAsia="Arial" w:hAnsi="Arial"/>
          <w:sz w:val="16"/>
          <w:szCs w:val="16"/>
          <w:color w:val="auto"/>
        </w:rPr>
        <w:t>Inventories are stated at the lower of cost or market. Market refers to the current replacement</w:t>
      </w:r>
      <w:r>
        <w:rPr>
          <w:rFonts w:ascii="Arial" w:cs="Arial" w:eastAsia="Arial" w:hAnsi="Arial"/>
          <w:sz w:val="16"/>
          <w:szCs w:val="16"/>
          <w:i w:val="1"/>
          <w:iCs w:val="1"/>
          <w:color w:val="auto"/>
        </w:rPr>
        <w:t xml:space="preserve"> </w:t>
      </w:r>
      <w:r>
        <w:rPr>
          <w:rFonts w:ascii="Arial" w:cs="Arial" w:eastAsia="Arial" w:hAnsi="Arial"/>
          <w:sz w:val="16"/>
          <w:szCs w:val="16"/>
          <w:color w:val="auto"/>
        </w:rPr>
        <w:t>cost, except that market may not exceed the net realizable value (i.e., estimated selling price in the ordinary course of business less reasonable predictable costs of completion and disposal); and market is not less than the net realizable value reduced by an allowance for normal profit margins. In valuing inventory the Company estimates market value where it is believed to be the lower of cost or market and any necessary charges are charged to costs of goods sold in the period in which it occurs. All other inventory is valued at cost.</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312" w:lineRule="exact"/>
        <w:rPr>
          <w:sz w:val="20"/>
          <w:szCs w:val="20"/>
          <w:color w:val="auto"/>
        </w:rPr>
      </w:pPr>
    </w:p>
    <w:p>
      <w:pPr>
        <w:ind w:right="2459" w:firstLine="348"/>
        <w:spacing w:after="0" w:line="268" w:lineRule="auto"/>
        <w:rPr>
          <w:sz w:val="20"/>
          <w:szCs w:val="20"/>
          <w:color w:val="auto"/>
        </w:rPr>
      </w:pPr>
      <w:r>
        <w:rPr>
          <w:rFonts w:ascii="Arial" w:cs="Arial" w:eastAsia="Arial" w:hAnsi="Arial"/>
          <w:sz w:val="18"/>
          <w:szCs w:val="18"/>
          <w:color w:val="auto"/>
        </w:rPr>
        <w:t>The following table sets forth the percentage of net sales represented by items included in the Company’s Consolidated Statements of Income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469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94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Nine Months Ended</w:t>
            </w:r>
          </w:p>
        </w:tc>
      </w:tr>
      <w:tr>
        <w:trPr>
          <w:trHeight w:val="95"/>
        </w:trPr>
        <w:tc>
          <w:tcPr>
            <w:tcW w:w="40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37"/>
        </w:trPr>
        <w:tc>
          <w:tcPr>
            <w:tcW w:w="4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February 1,</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January 26,</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February 1,</w:t>
            </w:r>
          </w:p>
        </w:tc>
        <w:tc>
          <w:tcPr>
            <w:tcW w:w="20" w:type="dxa"/>
            <w:vAlign w:val="bottom"/>
          </w:tcPr>
          <w:p>
            <w:pPr>
              <w:spacing w:after="0"/>
              <w:rPr>
                <w:sz w:val="20"/>
                <w:szCs w:val="20"/>
                <w:color w:val="auto"/>
              </w:rPr>
            </w:pPr>
          </w:p>
        </w:tc>
        <w:tc>
          <w:tcPr>
            <w:tcW w:w="9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January 26,</w:t>
            </w:r>
          </w:p>
        </w:tc>
      </w:tr>
      <w:tr>
        <w:trPr>
          <w:trHeight w:val="149"/>
        </w:trPr>
        <w:tc>
          <w:tcPr>
            <w:tcW w:w="4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jc w:val="center"/>
              <w:ind w:left="197"/>
              <w:spacing w:after="0" w:line="149" w:lineRule="exact"/>
              <w:rPr>
                <w:sz w:val="20"/>
                <w:szCs w:val="20"/>
                <w:color w:val="auto"/>
              </w:rPr>
            </w:pPr>
            <w:r>
              <w:rPr>
                <w:rFonts w:ascii="Arial" w:cs="Arial" w:eastAsia="Arial" w:hAnsi="Arial"/>
                <w:sz w:val="14"/>
                <w:szCs w:val="14"/>
                <w:b w:val="1"/>
                <w:bCs w:val="1"/>
                <w:color w:val="auto"/>
                <w:w w:val="83"/>
              </w:rPr>
              <w:t>2003</w:t>
            </w:r>
          </w:p>
        </w:tc>
        <w:tc>
          <w:tcPr>
            <w:tcW w:w="300" w:type="dxa"/>
            <w:vAlign w:val="bottom"/>
          </w:tcPr>
          <w:p>
            <w:pPr>
              <w:spacing w:after="0"/>
              <w:rPr>
                <w:sz w:val="12"/>
                <w:szCs w:val="12"/>
                <w:color w:val="auto"/>
              </w:rPr>
            </w:pPr>
          </w:p>
        </w:tc>
        <w:tc>
          <w:tcPr>
            <w:tcW w:w="740" w:type="dxa"/>
            <w:vAlign w:val="bottom"/>
            <w:gridSpan w:val="3"/>
          </w:tcPr>
          <w:p>
            <w:pPr>
              <w:jc w:val="center"/>
              <w:ind w:left="274"/>
              <w:spacing w:after="0" w:line="149" w:lineRule="exact"/>
              <w:rPr>
                <w:sz w:val="20"/>
                <w:szCs w:val="20"/>
                <w:color w:val="auto"/>
              </w:rPr>
            </w:pPr>
            <w:r>
              <w:rPr>
                <w:rFonts w:ascii="Arial" w:cs="Arial" w:eastAsia="Arial" w:hAnsi="Arial"/>
                <w:sz w:val="14"/>
                <w:szCs w:val="14"/>
                <w:b w:val="1"/>
                <w:bCs w:val="1"/>
                <w:color w:val="auto"/>
                <w:w w:val="83"/>
              </w:rPr>
              <w:t>2002</w:t>
            </w:r>
          </w:p>
        </w:tc>
        <w:tc>
          <w:tcPr>
            <w:tcW w:w="300" w:type="dxa"/>
            <w:vAlign w:val="bottom"/>
          </w:tcPr>
          <w:p>
            <w:pPr>
              <w:spacing w:after="0"/>
              <w:rPr>
                <w:sz w:val="12"/>
                <w:szCs w:val="12"/>
                <w:color w:val="auto"/>
              </w:rPr>
            </w:pPr>
          </w:p>
        </w:tc>
        <w:tc>
          <w:tcPr>
            <w:tcW w:w="760" w:type="dxa"/>
            <w:vAlign w:val="bottom"/>
            <w:gridSpan w:val="4"/>
          </w:tcPr>
          <w:p>
            <w:pPr>
              <w:jc w:val="center"/>
              <w:ind w:left="274"/>
              <w:spacing w:after="0" w:line="149" w:lineRule="exact"/>
              <w:rPr>
                <w:sz w:val="20"/>
                <w:szCs w:val="20"/>
                <w:color w:val="auto"/>
              </w:rPr>
            </w:pPr>
            <w:r>
              <w:rPr>
                <w:rFonts w:ascii="Arial" w:cs="Arial" w:eastAsia="Arial" w:hAnsi="Arial"/>
                <w:sz w:val="14"/>
                <w:szCs w:val="14"/>
                <w:b w:val="1"/>
                <w:bCs w:val="1"/>
                <w:color w:val="auto"/>
                <w:w w:val="89"/>
              </w:rPr>
              <w:t>2003</w:t>
            </w:r>
          </w:p>
        </w:tc>
        <w:tc>
          <w:tcPr>
            <w:tcW w:w="320" w:type="dxa"/>
            <w:vAlign w:val="bottom"/>
          </w:tcPr>
          <w:p>
            <w:pPr>
              <w:spacing w:after="0"/>
              <w:rPr>
                <w:sz w:val="12"/>
                <w:szCs w:val="12"/>
                <w:color w:val="auto"/>
              </w:rPr>
            </w:pPr>
          </w:p>
        </w:tc>
        <w:tc>
          <w:tcPr>
            <w:tcW w:w="740" w:type="dxa"/>
            <w:vAlign w:val="bottom"/>
            <w:gridSpan w:val="2"/>
          </w:tcPr>
          <w:p>
            <w:pPr>
              <w:jc w:val="center"/>
              <w:ind w:left="134"/>
              <w:spacing w:after="0" w:line="149" w:lineRule="exact"/>
              <w:rPr>
                <w:sz w:val="20"/>
                <w:szCs w:val="20"/>
                <w:color w:val="auto"/>
              </w:rPr>
            </w:pPr>
            <w:r>
              <w:rPr>
                <w:rFonts w:ascii="Arial" w:cs="Arial" w:eastAsia="Arial" w:hAnsi="Arial"/>
                <w:sz w:val="14"/>
                <w:szCs w:val="14"/>
                <w:b w:val="1"/>
                <w:bCs w:val="1"/>
                <w:color w:val="auto"/>
                <w:w w:val="89"/>
              </w:rPr>
              <w:t>2002</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4"/>
        </w:trPr>
        <w:tc>
          <w:tcPr>
            <w:tcW w:w="4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(13 weeks)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(13 weeks)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4"/>
              </w:rPr>
              <w:t>(40 weeks)</w:t>
            </w:r>
          </w:p>
        </w:tc>
        <w:tc>
          <w:tcPr>
            <w:tcW w:w="20" w:type="dxa"/>
            <w:vAlign w:val="bottom"/>
          </w:tcPr>
          <w:p>
            <w:pPr>
              <w:spacing w:after="0"/>
              <w:rPr>
                <w:sz w:val="15"/>
                <w:szCs w:val="15"/>
                <w:color w:val="auto"/>
              </w:rPr>
            </w:pPr>
          </w:p>
        </w:tc>
        <w:tc>
          <w:tcPr>
            <w:tcW w:w="9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4"/>
              </w:rPr>
              <w:t>(39 weeks)</w:t>
            </w:r>
          </w:p>
        </w:tc>
      </w:tr>
      <w:tr>
        <w:trPr>
          <w:trHeight w:val="95"/>
        </w:trPr>
        <w:tc>
          <w:tcPr>
            <w:tcW w:w="40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Borders>
              <w:bottom w:val="single" w:sz="8" w:color="auto"/>
            </w:tcBorders>
            <w:gridSpan w:val="2"/>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309"/>
        </w:trPr>
        <w:tc>
          <w:tcPr>
            <w:tcW w:w="4040" w:type="dxa"/>
            <w:vAlign w:val="bottom"/>
            <w:gridSpan w:val="3"/>
          </w:tcPr>
          <w:p>
            <w:pPr>
              <w:spacing w:after="0"/>
              <w:rPr>
                <w:sz w:val="20"/>
                <w:szCs w:val="20"/>
                <w:color w:val="auto"/>
              </w:rPr>
            </w:pPr>
            <w:r>
              <w:rPr>
                <w:rFonts w:ascii="Arial" w:cs="Arial" w:eastAsia="Arial" w:hAnsi="Arial"/>
                <w:sz w:val="18"/>
                <w:szCs w:val="18"/>
                <w:color w:val="auto"/>
              </w:rPr>
              <w:t>Net sales</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c>
          <w:tcPr>
            <w:tcW w:w="1040" w:type="dxa"/>
            <w:vAlign w:val="bottom"/>
            <w:gridSpan w:val="4"/>
          </w:tcPr>
          <w:p>
            <w:pPr>
              <w:jc w:val="right"/>
              <w:ind w:right="140"/>
              <w:spacing w:after="0"/>
              <w:rPr>
                <w:sz w:val="20"/>
                <w:szCs w:val="20"/>
                <w:color w:val="auto"/>
              </w:rPr>
            </w:pPr>
            <w:r>
              <w:rPr>
                <w:rFonts w:ascii="Arial" w:cs="Arial" w:eastAsia="Arial" w:hAnsi="Arial"/>
                <w:sz w:val="18"/>
                <w:szCs w:val="18"/>
                <w:color w:val="auto"/>
              </w:rPr>
              <w:t>100.0%</w:t>
            </w:r>
          </w:p>
        </w:tc>
        <w:tc>
          <w:tcPr>
            <w:tcW w:w="1080" w:type="dxa"/>
            <w:vAlign w:val="bottom"/>
            <w:gridSpan w:val="5"/>
          </w:tcPr>
          <w:p>
            <w:pPr>
              <w:jc w:val="right"/>
              <w:ind w:right="180"/>
              <w:spacing w:after="0"/>
              <w:rPr>
                <w:sz w:val="20"/>
                <w:szCs w:val="20"/>
                <w:color w:val="auto"/>
              </w:rPr>
            </w:pPr>
            <w:r>
              <w:rPr>
                <w:rFonts w:ascii="Arial" w:cs="Arial" w:eastAsia="Arial" w:hAnsi="Arial"/>
                <w:sz w:val="18"/>
                <w:szCs w:val="18"/>
                <w:color w:val="auto"/>
              </w:rPr>
              <w:t>100.0%</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24"/>
                <w:szCs w:val="24"/>
                <w:color w:val="auto"/>
              </w:rPr>
            </w:pPr>
          </w:p>
        </w:tc>
      </w:tr>
      <w:tr>
        <w:trPr>
          <w:trHeight w:val="222"/>
        </w:trPr>
        <w:tc>
          <w:tcPr>
            <w:tcW w:w="4040" w:type="dxa"/>
            <w:vAlign w:val="bottom"/>
            <w:gridSpan w:val="3"/>
          </w:tcPr>
          <w:p>
            <w:pPr>
              <w:spacing w:after="0"/>
              <w:rPr>
                <w:sz w:val="20"/>
                <w:szCs w:val="20"/>
                <w:color w:val="auto"/>
              </w:rPr>
            </w:pPr>
            <w:r>
              <w:rPr>
                <w:rFonts w:ascii="Arial" w:cs="Arial" w:eastAsia="Arial" w:hAnsi="Arial"/>
                <w:sz w:val="18"/>
                <w:szCs w:val="18"/>
                <w:color w:val="auto"/>
              </w:rPr>
              <w:t>Cost of goods sold</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67.7%</w:t>
            </w:r>
          </w:p>
        </w:tc>
        <w:tc>
          <w:tcPr>
            <w:tcW w:w="1040" w:type="dxa"/>
            <w:vAlign w:val="bottom"/>
            <w:gridSpan w:val="4"/>
          </w:tcPr>
          <w:p>
            <w:pPr>
              <w:jc w:val="right"/>
              <w:ind w:right="140"/>
              <w:spacing w:after="0"/>
              <w:rPr>
                <w:sz w:val="20"/>
                <w:szCs w:val="20"/>
                <w:color w:val="auto"/>
              </w:rPr>
            </w:pPr>
            <w:r>
              <w:rPr>
                <w:rFonts w:ascii="Arial" w:cs="Arial" w:eastAsia="Arial" w:hAnsi="Arial"/>
                <w:sz w:val="18"/>
                <w:szCs w:val="18"/>
                <w:color w:val="auto"/>
              </w:rPr>
              <w:t>70.7%</w:t>
            </w:r>
          </w:p>
        </w:tc>
        <w:tc>
          <w:tcPr>
            <w:tcW w:w="1080" w:type="dxa"/>
            <w:vAlign w:val="bottom"/>
            <w:gridSpan w:val="5"/>
          </w:tcPr>
          <w:p>
            <w:pPr>
              <w:jc w:val="right"/>
              <w:ind w:right="180"/>
              <w:spacing w:after="0"/>
              <w:rPr>
                <w:sz w:val="20"/>
                <w:szCs w:val="20"/>
                <w:color w:val="auto"/>
              </w:rPr>
            </w:pPr>
            <w:r>
              <w:rPr>
                <w:rFonts w:ascii="Arial" w:cs="Arial" w:eastAsia="Arial" w:hAnsi="Arial"/>
                <w:sz w:val="18"/>
                <w:szCs w:val="18"/>
                <w:color w:val="auto"/>
              </w:rPr>
              <w:t>66.7%</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70.2%</w:t>
            </w:r>
          </w:p>
        </w:tc>
        <w:tc>
          <w:tcPr>
            <w:tcW w:w="20" w:type="dxa"/>
            <w:vAlign w:val="bottom"/>
          </w:tcPr>
          <w:p>
            <w:pPr>
              <w:spacing w:after="0"/>
              <w:rPr>
                <w:sz w:val="19"/>
                <w:szCs w:val="19"/>
                <w:color w:val="auto"/>
              </w:rPr>
            </w:pPr>
          </w:p>
        </w:tc>
      </w:tr>
      <w:tr>
        <w:trPr>
          <w:trHeight w:val="110"/>
        </w:trPr>
        <w:tc>
          <w:tcPr>
            <w:tcW w:w="4000" w:type="dxa"/>
            <w:vAlign w:val="bottom"/>
          </w:tcPr>
          <w:p>
            <w:pPr>
              <w:spacing w:after="0"/>
              <w:rPr>
                <w:sz w:val="9"/>
                <w:szCs w:val="9"/>
                <w:color w:val="auto"/>
              </w:rPr>
            </w:pPr>
          </w:p>
        </w:tc>
        <w:tc>
          <w:tcPr>
            <w:tcW w:w="40" w:type="dxa"/>
            <w:vAlign w:val="bottom"/>
            <w:tcBorders>
              <w:bottom w:val="single" w:sz="8" w:color="auto"/>
            </w:tcBorders>
            <w:gridSpan w:val="2"/>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Borders>
              <w:bottom w:val="single" w:sz="8" w:color="auto"/>
            </w:tcBorders>
            <w:gridSpan w:val="2"/>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720" w:type="dxa"/>
            <w:vAlign w:val="bottom"/>
            <w:tcBorders>
              <w:bottom w:val="single" w:sz="8" w:color="auto"/>
            </w:tcBorders>
            <w:gridSpan w:val="2"/>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Borders>
              <w:bottom w:val="single" w:sz="8" w:color="auto"/>
            </w:tcBorders>
            <w:gridSpan w:val="2"/>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309"/>
        </w:trPr>
        <w:tc>
          <w:tcPr>
            <w:tcW w:w="4040" w:type="dxa"/>
            <w:vAlign w:val="bottom"/>
            <w:gridSpan w:val="3"/>
          </w:tcPr>
          <w:p>
            <w:pPr>
              <w:spacing w:after="0"/>
              <w:rPr>
                <w:sz w:val="20"/>
                <w:szCs w:val="20"/>
                <w:color w:val="auto"/>
              </w:rPr>
            </w:pPr>
            <w:r>
              <w:rPr>
                <w:rFonts w:ascii="Arial" w:cs="Arial" w:eastAsia="Arial" w:hAnsi="Arial"/>
                <w:sz w:val="18"/>
                <w:szCs w:val="18"/>
                <w:color w:val="auto"/>
              </w:rPr>
              <w:t>Gross profit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32.3%</w:t>
            </w:r>
          </w:p>
        </w:tc>
        <w:tc>
          <w:tcPr>
            <w:tcW w:w="1040" w:type="dxa"/>
            <w:vAlign w:val="bottom"/>
            <w:gridSpan w:val="4"/>
          </w:tcPr>
          <w:p>
            <w:pPr>
              <w:jc w:val="right"/>
              <w:ind w:right="140"/>
              <w:spacing w:after="0"/>
              <w:rPr>
                <w:sz w:val="20"/>
                <w:szCs w:val="20"/>
                <w:color w:val="auto"/>
              </w:rPr>
            </w:pPr>
            <w:r>
              <w:rPr>
                <w:rFonts w:ascii="Arial" w:cs="Arial" w:eastAsia="Arial" w:hAnsi="Arial"/>
                <w:sz w:val="18"/>
                <w:szCs w:val="18"/>
                <w:color w:val="auto"/>
              </w:rPr>
              <w:t>29.3%</w:t>
            </w:r>
          </w:p>
        </w:tc>
        <w:tc>
          <w:tcPr>
            <w:tcW w:w="1080" w:type="dxa"/>
            <w:vAlign w:val="bottom"/>
            <w:gridSpan w:val="5"/>
          </w:tcPr>
          <w:p>
            <w:pPr>
              <w:jc w:val="right"/>
              <w:ind w:right="180"/>
              <w:spacing w:after="0"/>
              <w:rPr>
                <w:sz w:val="20"/>
                <w:szCs w:val="20"/>
                <w:color w:val="auto"/>
              </w:rPr>
            </w:pPr>
            <w:r>
              <w:rPr>
                <w:rFonts w:ascii="Arial" w:cs="Arial" w:eastAsia="Arial" w:hAnsi="Arial"/>
                <w:sz w:val="18"/>
                <w:szCs w:val="18"/>
                <w:color w:val="auto"/>
              </w:rPr>
              <w:t>33.3%</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29.8%</w:t>
            </w:r>
          </w:p>
        </w:tc>
        <w:tc>
          <w:tcPr>
            <w:tcW w:w="20" w:type="dxa"/>
            <w:vAlign w:val="bottom"/>
          </w:tcPr>
          <w:p>
            <w:pPr>
              <w:spacing w:after="0"/>
              <w:rPr>
                <w:sz w:val="24"/>
                <w:szCs w:val="24"/>
                <w:color w:val="auto"/>
              </w:rPr>
            </w:pPr>
          </w:p>
        </w:tc>
      </w:tr>
      <w:tr>
        <w:trPr>
          <w:trHeight w:val="222"/>
        </w:trPr>
        <w:tc>
          <w:tcPr>
            <w:tcW w:w="404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24.1%</w:t>
            </w:r>
          </w:p>
        </w:tc>
        <w:tc>
          <w:tcPr>
            <w:tcW w:w="1040" w:type="dxa"/>
            <w:vAlign w:val="bottom"/>
            <w:gridSpan w:val="4"/>
          </w:tcPr>
          <w:p>
            <w:pPr>
              <w:jc w:val="right"/>
              <w:ind w:right="140"/>
              <w:spacing w:after="0"/>
              <w:rPr>
                <w:sz w:val="20"/>
                <w:szCs w:val="20"/>
                <w:color w:val="auto"/>
              </w:rPr>
            </w:pPr>
            <w:r>
              <w:rPr>
                <w:rFonts w:ascii="Arial" w:cs="Arial" w:eastAsia="Arial" w:hAnsi="Arial"/>
                <w:sz w:val="18"/>
                <w:szCs w:val="18"/>
                <w:color w:val="auto"/>
              </w:rPr>
              <w:t>29.9%</w:t>
            </w:r>
          </w:p>
        </w:tc>
        <w:tc>
          <w:tcPr>
            <w:tcW w:w="1080" w:type="dxa"/>
            <w:vAlign w:val="bottom"/>
            <w:gridSpan w:val="5"/>
          </w:tcPr>
          <w:p>
            <w:pPr>
              <w:jc w:val="right"/>
              <w:ind w:right="180"/>
              <w:spacing w:after="0"/>
              <w:rPr>
                <w:sz w:val="20"/>
                <w:szCs w:val="20"/>
                <w:color w:val="auto"/>
              </w:rPr>
            </w:pPr>
            <w:r>
              <w:rPr>
                <w:rFonts w:ascii="Arial" w:cs="Arial" w:eastAsia="Arial" w:hAnsi="Arial"/>
                <w:sz w:val="18"/>
                <w:szCs w:val="18"/>
                <w:color w:val="auto"/>
              </w:rPr>
              <w:t>22.1%</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24.4%</w:t>
            </w:r>
          </w:p>
        </w:tc>
        <w:tc>
          <w:tcPr>
            <w:tcW w:w="20" w:type="dxa"/>
            <w:vAlign w:val="bottom"/>
          </w:tcPr>
          <w:p>
            <w:pPr>
              <w:spacing w:after="0"/>
              <w:rPr>
                <w:sz w:val="19"/>
                <w:szCs w:val="19"/>
                <w:color w:val="auto"/>
              </w:rPr>
            </w:pPr>
          </w:p>
        </w:tc>
      </w:tr>
      <w:tr>
        <w:trPr>
          <w:trHeight w:val="110"/>
        </w:trPr>
        <w:tc>
          <w:tcPr>
            <w:tcW w:w="4000" w:type="dxa"/>
            <w:vAlign w:val="bottom"/>
          </w:tcPr>
          <w:p>
            <w:pPr>
              <w:spacing w:after="0"/>
              <w:rPr>
                <w:sz w:val="9"/>
                <w:szCs w:val="9"/>
                <w:color w:val="auto"/>
              </w:rPr>
            </w:pPr>
          </w:p>
        </w:tc>
        <w:tc>
          <w:tcPr>
            <w:tcW w:w="40" w:type="dxa"/>
            <w:vAlign w:val="bottom"/>
            <w:tcBorders>
              <w:bottom w:val="single" w:sz="8" w:color="auto"/>
            </w:tcBorders>
            <w:gridSpan w:val="2"/>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Borders>
              <w:bottom w:val="single" w:sz="8" w:color="auto"/>
            </w:tcBorders>
            <w:gridSpan w:val="2"/>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720" w:type="dxa"/>
            <w:vAlign w:val="bottom"/>
            <w:tcBorders>
              <w:bottom w:val="single" w:sz="8" w:color="auto"/>
            </w:tcBorders>
            <w:gridSpan w:val="2"/>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Borders>
              <w:bottom w:val="single" w:sz="8" w:color="auto"/>
            </w:tcBorders>
            <w:gridSpan w:val="2"/>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309"/>
        </w:trPr>
        <w:tc>
          <w:tcPr>
            <w:tcW w:w="4040" w:type="dxa"/>
            <w:vAlign w:val="bottom"/>
            <w:gridSpan w:val="3"/>
          </w:tcPr>
          <w:p>
            <w:pPr>
              <w:spacing w:after="0"/>
              <w:rPr>
                <w:sz w:val="20"/>
                <w:szCs w:val="20"/>
                <w:color w:val="auto"/>
              </w:rPr>
            </w:pPr>
            <w:r>
              <w:rPr>
                <w:rFonts w:ascii="Arial" w:cs="Arial" w:eastAsia="Arial" w:hAnsi="Arial"/>
                <w:sz w:val="18"/>
                <w:szCs w:val="18"/>
                <w:color w:val="auto"/>
              </w:rPr>
              <w:t>Operating income</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8.2%</w:t>
            </w:r>
          </w:p>
        </w:tc>
        <w:tc>
          <w:tcPr>
            <w:tcW w:w="1040" w:type="dxa"/>
            <w:vAlign w:val="bottom"/>
            <w:gridSpan w:val="4"/>
          </w:tcPr>
          <w:p>
            <w:pPr>
              <w:jc w:val="right"/>
              <w:ind w:right="80"/>
              <w:spacing w:after="0"/>
              <w:rPr>
                <w:sz w:val="20"/>
                <w:szCs w:val="20"/>
                <w:color w:val="auto"/>
              </w:rPr>
            </w:pPr>
            <w:r>
              <w:rPr>
                <w:rFonts w:ascii="Arial" w:cs="Arial" w:eastAsia="Arial" w:hAnsi="Arial"/>
                <w:sz w:val="18"/>
                <w:szCs w:val="18"/>
                <w:color w:val="auto"/>
              </w:rPr>
              <w:t>(0.6%)</w:t>
            </w:r>
          </w:p>
        </w:tc>
        <w:tc>
          <w:tcPr>
            <w:tcW w:w="1080" w:type="dxa"/>
            <w:vAlign w:val="bottom"/>
            <w:gridSpan w:val="5"/>
          </w:tcPr>
          <w:p>
            <w:pPr>
              <w:jc w:val="right"/>
              <w:ind w:right="180"/>
              <w:spacing w:after="0"/>
              <w:rPr>
                <w:sz w:val="20"/>
                <w:szCs w:val="20"/>
                <w:color w:val="auto"/>
              </w:rPr>
            </w:pPr>
            <w:r>
              <w:rPr>
                <w:rFonts w:ascii="Arial" w:cs="Arial" w:eastAsia="Arial" w:hAnsi="Arial"/>
                <w:sz w:val="18"/>
                <w:szCs w:val="18"/>
                <w:color w:val="auto"/>
              </w:rPr>
              <w:t>11.2%</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24"/>
                <w:szCs w:val="24"/>
                <w:color w:val="auto"/>
              </w:rPr>
            </w:pPr>
          </w:p>
        </w:tc>
      </w:tr>
      <w:tr>
        <w:trPr>
          <w:trHeight w:val="216"/>
        </w:trPr>
        <w:tc>
          <w:tcPr>
            <w:tcW w:w="4040" w:type="dxa"/>
            <w:vAlign w:val="bottom"/>
            <w:gridSpan w:val="3"/>
          </w:tcPr>
          <w:p>
            <w:pPr>
              <w:spacing w:after="0"/>
              <w:rPr>
                <w:sz w:val="20"/>
                <w:szCs w:val="20"/>
                <w:color w:val="auto"/>
              </w:rPr>
            </w:pPr>
            <w:r>
              <w:rPr>
                <w:rFonts w:ascii="Arial" w:cs="Arial" w:eastAsia="Arial" w:hAnsi="Arial"/>
                <w:sz w:val="18"/>
                <w:szCs w:val="18"/>
                <w:color w:val="auto"/>
              </w:rPr>
              <w:t>Interest income</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0.5%</w:t>
            </w:r>
          </w:p>
        </w:tc>
        <w:tc>
          <w:tcPr>
            <w:tcW w:w="1040" w:type="dxa"/>
            <w:vAlign w:val="bottom"/>
            <w:gridSpan w:val="4"/>
          </w:tcPr>
          <w:p>
            <w:pPr>
              <w:jc w:val="right"/>
              <w:ind w:right="140"/>
              <w:spacing w:after="0"/>
              <w:rPr>
                <w:sz w:val="20"/>
                <w:szCs w:val="20"/>
                <w:color w:val="auto"/>
              </w:rPr>
            </w:pPr>
            <w:r>
              <w:rPr>
                <w:rFonts w:ascii="Arial" w:cs="Arial" w:eastAsia="Arial" w:hAnsi="Arial"/>
                <w:sz w:val="18"/>
                <w:szCs w:val="18"/>
                <w:color w:val="auto"/>
              </w:rPr>
              <w:t>0.7%</w:t>
            </w:r>
          </w:p>
        </w:tc>
        <w:tc>
          <w:tcPr>
            <w:tcW w:w="1080" w:type="dxa"/>
            <w:vAlign w:val="bottom"/>
            <w:gridSpan w:val="5"/>
          </w:tcPr>
          <w:p>
            <w:pPr>
              <w:jc w:val="right"/>
              <w:ind w:right="180"/>
              <w:spacing w:after="0"/>
              <w:rPr>
                <w:sz w:val="20"/>
                <w:szCs w:val="20"/>
                <w:color w:val="auto"/>
              </w:rPr>
            </w:pPr>
            <w:r>
              <w:rPr>
                <w:rFonts w:ascii="Arial" w:cs="Arial" w:eastAsia="Arial" w:hAnsi="Arial"/>
                <w:sz w:val="18"/>
                <w:szCs w:val="18"/>
                <w:color w:val="auto"/>
              </w:rPr>
              <w:t>0.4%</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8"/>
                <w:szCs w:val="18"/>
                <w:color w:val="auto"/>
              </w:rPr>
            </w:pPr>
          </w:p>
        </w:tc>
      </w:tr>
      <w:tr>
        <w:trPr>
          <w:trHeight w:val="216"/>
        </w:trPr>
        <w:tc>
          <w:tcPr>
            <w:tcW w:w="4040" w:type="dxa"/>
            <w:vAlign w:val="bottom"/>
            <w:gridSpan w:val="3"/>
          </w:tcPr>
          <w:p>
            <w:pPr>
              <w:spacing w:after="0"/>
              <w:rPr>
                <w:sz w:val="20"/>
                <w:szCs w:val="20"/>
                <w:color w:val="auto"/>
              </w:rPr>
            </w:pPr>
            <w:r>
              <w:rPr>
                <w:rFonts w:ascii="Arial" w:cs="Arial" w:eastAsia="Arial" w:hAnsi="Arial"/>
                <w:sz w:val="18"/>
                <w:szCs w:val="18"/>
                <w:color w:val="auto"/>
              </w:rPr>
              <w:t>Interest expense</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c>
          <w:tcPr>
            <w:tcW w:w="1040" w:type="dxa"/>
            <w:vAlign w:val="bottom"/>
            <w:gridSpan w:val="4"/>
          </w:tcPr>
          <w:p>
            <w:pPr>
              <w:jc w:val="right"/>
              <w:ind w:right="80"/>
              <w:spacing w:after="0"/>
              <w:rPr>
                <w:sz w:val="20"/>
                <w:szCs w:val="20"/>
                <w:color w:val="auto"/>
              </w:rPr>
            </w:pPr>
            <w:r>
              <w:rPr>
                <w:rFonts w:ascii="Arial" w:cs="Arial" w:eastAsia="Arial" w:hAnsi="Arial"/>
                <w:sz w:val="18"/>
                <w:szCs w:val="18"/>
                <w:color w:val="auto"/>
              </w:rPr>
              <w:t>(1.2%)</w:t>
            </w:r>
          </w:p>
        </w:tc>
        <w:tc>
          <w:tcPr>
            <w:tcW w:w="1080" w:type="dxa"/>
            <w:vAlign w:val="bottom"/>
            <w:gridSpan w:val="5"/>
          </w:tcPr>
          <w:p>
            <w:pPr>
              <w:jc w:val="right"/>
              <w:ind w:right="120"/>
              <w:spacing w:after="0"/>
              <w:rPr>
                <w:sz w:val="20"/>
                <w:szCs w:val="20"/>
                <w:color w:val="auto"/>
              </w:rPr>
            </w:pPr>
            <w:r>
              <w:rPr>
                <w:rFonts w:ascii="Arial" w:cs="Arial" w:eastAsia="Arial" w:hAnsi="Arial"/>
                <w:sz w:val="18"/>
                <w:szCs w:val="18"/>
                <w:color w:val="auto"/>
              </w:rPr>
              <w:t>(0.5%)</w:t>
            </w: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(1.1%)</w:t>
            </w:r>
          </w:p>
        </w:tc>
      </w:tr>
      <w:tr>
        <w:trPr>
          <w:trHeight w:val="222"/>
        </w:trPr>
        <w:tc>
          <w:tcPr>
            <w:tcW w:w="4040" w:type="dxa"/>
            <w:vAlign w:val="bottom"/>
            <w:gridSpan w:val="3"/>
          </w:tcPr>
          <w:p>
            <w:pPr>
              <w:spacing w:after="0"/>
              <w:rPr>
                <w:sz w:val="20"/>
                <w:szCs w:val="20"/>
                <w:color w:val="auto"/>
              </w:rPr>
            </w:pPr>
            <w:r>
              <w:rPr>
                <w:rFonts w:ascii="Arial" w:cs="Arial" w:eastAsia="Arial" w:hAnsi="Arial"/>
                <w:sz w:val="18"/>
                <w:szCs w:val="18"/>
                <w:color w:val="auto"/>
              </w:rPr>
              <w:t>Other income (expense), net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1040" w:type="dxa"/>
            <w:vAlign w:val="bottom"/>
            <w:gridSpan w:val="4"/>
          </w:tcPr>
          <w:p>
            <w:pPr>
              <w:jc w:val="right"/>
              <w:ind w:right="80"/>
              <w:spacing w:after="0"/>
              <w:rPr>
                <w:sz w:val="20"/>
                <w:szCs w:val="20"/>
                <w:color w:val="auto"/>
              </w:rPr>
            </w:pPr>
            <w:r>
              <w:rPr>
                <w:rFonts w:ascii="Arial" w:cs="Arial" w:eastAsia="Arial" w:hAnsi="Arial"/>
                <w:sz w:val="18"/>
                <w:szCs w:val="18"/>
                <w:color w:val="auto"/>
              </w:rPr>
              <w:t>(0.4%)</w:t>
            </w:r>
          </w:p>
        </w:tc>
        <w:tc>
          <w:tcPr>
            <w:tcW w:w="1080" w:type="dxa"/>
            <w:vAlign w:val="bottom"/>
            <w:gridSpan w:val="5"/>
          </w:tcPr>
          <w:p>
            <w:pPr>
              <w:jc w:val="right"/>
              <w:ind w:right="180"/>
              <w:spacing w:after="0"/>
              <w:rPr>
                <w:sz w:val="20"/>
                <w:szCs w:val="20"/>
                <w:color w:val="auto"/>
              </w:rPr>
            </w:pPr>
            <w:r>
              <w:rPr>
                <w:rFonts w:ascii="Arial" w:cs="Arial" w:eastAsia="Arial" w:hAnsi="Arial"/>
                <w:sz w:val="18"/>
                <w:szCs w:val="18"/>
                <w:color w:val="auto"/>
              </w:rPr>
              <w:t>0.2%</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9"/>
                <w:szCs w:val="19"/>
                <w:color w:val="auto"/>
              </w:rPr>
            </w:pPr>
          </w:p>
        </w:tc>
      </w:tr>
      <w:tr>
        <w:trPr>
          <w:trHeight w:val="110"/>
        </w:trPr>
        <w:tc>
          <w:tcPr>
            <w:tcW w:w="4000" w:type="dxa"/>
            <w:vAlign w:val="bottom"/>
          </w:tcPr>
          <w:p>
            <w:pPr>
              <w:spacing w:after="0"/>
              <w:rPr>
                <w:sz w:val="9"/>
                <w:szCs w:val="9"/>
                <w:color w:val="auto"/>
              </w:rPr>
            </w:pPr>
          </w:p>
        </w:tc>
        <w:tc>
          <w:tcPr>
            <w:tcW w:w="40" w:type="dxa"/>
            <w:vAlign w:val="bottom"/>
            <w:tcBorders>
              <w:bottom w:val="single" w:sz="8" w:color="auto"/>
            </w:tcBorders>
            <w:gridSpan w:val="2"/>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309"/>
        </w:trPr>
        <w:tc>
          <w:tcPr>
            <w:tcW w:w="4040" w:type="dxa"/>
            <w:vAlign w:val="bottom"/>
            <w:gridSpan w:val="3"/>
          </w:tcPr>
          <w:p>
            <w:pPr>
              <w:spacing w:after="0"/>
              <w:rPr>
                <w:sz w:val="20"/>
                <w:szCs w:val="20"/>
                <w:color w:val="auto"/>
              </w:rPr>
            </w:pPr>
            <w:r>
              <w:rPr>
                <w:rFonts w:ascii="Arial" w:cs="Arial" w:eastAsia="Arial" w:hAnsi="Arial"/>
                <w:sz w:val="18"/>
                <w:szCs w:val="18"/>
                <w:color w:val="auto"/>
              </w:rPr>
              <w:t>Income (loss) before income taxes and</w:t>
            </w: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4040" w:type="dxa"/>
            <w:vAlign w:val="bottom"/>
            <w:gridSpan w:val="3"/>
          </w:tcPr>
          <w:p>
            <w:pPr>
              <w:ind w:left="140"/>
              <w:spacing w:after="0"/>
              <w:rPr>
                <w:sz w:val="20"/>
                <w:szCs w:val="20"/>
                <w:color w:val="auto"/>
              </w:rPr>
            </w:pPr>
            <w:r>
              <w:rPr>
                <w:rFonts w:ascii="Arial" w:cs="Arial" w:eastAsia="Arial" w:hAnsi="Arial"/>
                <w:sz w:val="18"/>
                <w:szCs w:val="18"/>
                <w:color w:val="auto"/>
              </w:rPr>
              <w:t>minority interest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8.3%</w:t>
            </w:r>
          </w:p>
        </w:tc>
        <w:tc>
          <w:tcPr>
            <w:tcW w:w="1040" w:type="dxa"/>
            <w:vAlign w:val="bottom"/>
            <w:gridSpan w:val="4"/>
          </w:tcPr>
          <w:p>
            <w:pPr>
              <w:jc w:val="right"/>
              <w:ind w:right="80"/>
              <w:spacing w:after="0"/>
              <w:rPr>
                <w:sz w:val="20"/>
                <w:szCs w:val="20"/>
                <w:color w:val="auto"/>
              </w:rPr>
            </w:pPr>
            <w:r>
              <w:rPr>
                <w:rFonts w:ascii="Arial" w:cs="Arial" w:eastAsia="Arial" w:hAnsi="Arial"/>
                <w:sz w:val="18"/>
                <w:szCs w:val="18"/>
                <w:color w:val="auto"/>
              </w:rPr>
              <w:t>(1.5%)</w:t>
            </w:r>
          </w:p>
        </w:tc>
        <w:tc>
          <w:tcPr>
            <w:tcW w:w="1080" w:type="dxa"/>
            <w:vAlign w:val="bottom"/>
            <w:gridSpan w:val="5"/>
          </w:tcPr>
          <w:p>
            <w:pPr>
              <w:jc w:val="right"/>
              <w:ind w:right="180"/>
              <w:spacing w:after="0"/>
              <w:rPr>
                <w:sz w:val="20"/>
                <w:szCs w:val="20"/>
                <w:color w:val="auto"/>
              </w:rPr>
            </w:pPr>
            <w:r>
              <w:rPr>
                <w:rFonts w:ascii="Arial" w:cs="Arial" w:eastAsia="Arial" w:hAnsi="Arial"/>
                <w:sz w:val="18"/>
                <w:szCs w:val="18"/>
                <w:color w:val="auto"/>
              </w:rPr>
              <w:t>11.3%</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r>
      <w:tr>
        <w:trPr>
          <w:trHeight w:val="216"/>
        </w:trPr>
        <w:tc>
          <w:tcPr>
            <w:tcW w:w="4040" w:type="dxa"/>
            <w:vAlign w:val="bottom"/>
            <w:gridSpan w:val="3"/>
          </w:tcPr>
          <w:p>
            <w:pPr>
              <w:spacing w:after="0"/>
              <w:rPr>
                <w:sz w:val="20"/>
                <w:szCs w:val="20"/>
                <w:color w:val="auto"/>
              </w:rPr>
            </w:pPr>
            <w:r>
              <w:rPr>
                <w:rFonts w:ascii="Arial" w:cs="Arial" w:eastAsia="Arial" w:hAnsi="Arial"/>
                <w:sz w:val="18"/>
                <w:szCs w:val="18"/>
                <w:color w:val="auto"/>
              </w:rPr>
              <w:t>Income tax expense (benefit)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3.4%</w:t>
            </w:r>
          </w:p>
        </w:tc>
        <w:tc>
          <w:tcPr>
            <w:tcW w:w="1040" w:type="dxa"/>
            <w:vAlign w:val="bottom"/>
            <w:gridSpan w:val="4"/>
          </w:tcPr>
          <w:p>
            <w:pPr>
              <w:jc w:val="right"/>
              <w:ind w:right="80"/>
              <w:spacing w:after="0"/>
              <w:rPr>
                <w:sz w:val="20"/>
                <w:szCs w:val="20"/>
                <w:color w:val="auto"/>
              </w:rPr>
            </w:pPr>
            <w:r>
              <w:rPr>
                <w:rFonts w:ascii="Arial" w:cs="Arial" w:eastAsia="Arial" w:hAnsi="Arial"/>
                <w:sz w:val="18"/>
                <w:szCs w:val="18"/>
                <w:color w:val="auto"/>
              </w:rPr>
              <w:t>(0.6%)</w:t>
            </w:r>
          </w:p>
        </w:tc>
        <w:tc>
          <w:tcPr>
            <w:tcW w:w="1080" w:type="dxa"/>
            <w:vAlign w:val="bottom"/>
            <w:gridSpan w:val="5"/>
          </w:tcPr>
          <w:p>
            <w:pPr>
              <w:jc w:val="right"/>
              <w:ind w:right="180"/>
              <w:spacing w:after="0"/>
              <w:rPr>
                <w:sz w:val="20"/>
                <w:szCs w:val="20"/>
                <w:color w:val="auto"/>
              </w:rPr>
            </w:pPr>
            <w:r>
              <w:rPr>
                <w:rFonts w:ascii="Arial" w:cs="Arial" w:eastAsia="Arial" w:hAnsi="Arial"/>
                <w:sz w:val="18"/>
                <w:szCs w:val="18"/>
                <w:color w:val="auto"/>
              </w:rPr>
              <w:t>4.4%</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r>
      <w:tr>
        <w:trPr>
          <w:trHeight w:val="222"/>
        </w:trPr>
        <w:tc>
          <w:tcPr>
            <w:tcW w:w="4040" w:type="dxa"/>
            <w:vAlign w:val="bottom"/>
            <w:gridSpan w:val="3"/>
          </w:tcPr>
          <w:p>
            <w:pPr>
              <w:spacing w:after="0"/>
              <w:rPr>
                <w:sz w:val="20"/>
                <w:szCs w:val="20"/>
                <w:color w:val="auto"/>
              </w:rPr>
            </w:pPr>
            <w:r>
              <w:rPr>
                <w:rFonts w:ascii="Arial" w:cs="Arial" w:eastAsia="Arial" w:hAnsi="Arial"/>
                <w:sz w:val="18"/>
                <w:szCs w:val="18"/>
                <w:color w:val="auto"/>
              </w:rPr>
              <w:t>Minority interest in income of subsidiary</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1040" w:type="dxa"/>
            <w:vAlign w:val="bottom"/>
            <w:gridSpan w:val="4"/>
          </w:tcPr>
          <w:p>
            <w:pPr>
              <w:jc w:val="right"/>
              <w:ind w:right="80"/>
              <w:spacing w:after="0"/>
              <w:rPr>
                <w:sz w:val="20"/>
                <w:szCs w:val="20"/>
                <w:color w:val="auto"/>
              </w:rPr>
            </w:pPr>
            <w:r>
              <w:rPr>
                <w:rFonts w:ascii="Arial" w:cs="Arial" w:eastAsia="Arial" w:hAnsi="Arial"/>
                <w:sz w:val="18"/>
                <w:szCs w:val="18"/>
                <w:color w:val="auto"/>
              </w:rPr>
              <w:t>(0.0%)</w:t>
            </w:r>
          </w:p>
        </w:tc>
        <w:tc>
          <w:tcPr>
            <w:tcW w:w="1080" w:type="dxa"/>
            <w:vAlign w:val="bottom"/>
            <w:gridSpan w:val="5"/>
          </w:tcPr>
          <w:p>
            <w:pPr>
              <w:jc w:val="right"/>
              <w:ind w:right="120"/>
              <w:spacing w:after="0"/>
              <w:rPr>
                <w:sz w:val="20"/>
                <w:szCs w:val="20"/>
                <w:color w:val="auto"/>
              </w:rPr>
            </w:pPr>
            <w:r>
              <w:rPr>
                <w:rFonts w:ascii="Arial" w:cs="Arial" w:eastAsia="Arial" w:hAnsi="Arial"/>
                <w:sz w:val="18"/>
                <w:szCs w:val="18"/>
                <w:color w:val="auto"/>
              </w:rPr>
              <w:t>(0.0%)</w:t>
            </w: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(0.0%)</w:t>
            </w:r>
          </w:p>
        </w:tc>
      </w:tr>
      <w:tr>
        <w:trPr>
          <w:trHeight w:val="110"/>
        </w:trPr>
        <w:tc>
          <w:tcPr>
            <w:tcW w:w="4000" w:type="dxa"/>
            <w:vAlign w:val="bottom"/>
          </w:tcPr>
          <w:p>
            <w:pPr>
              <w:spacing w:after="0"/>
              <w:rPr>
                <w:sz w:val="9"/>
                <w:szCs w:val="9"/>
                <w:color w:val="auto"/>
              </w:rPr>
            </w:pPr>
          </w:p>
        </w:tc>
        <w:tc>
          <w:tcPr>
            <w:tcW w:w="40" w:type="dxa"/>
            <w:vAlign w:val="bottom"/>
            <w:tcBorders>
              <w:bottom w:val="single" w:sz="8" w:color="auto"/>
            </w:tcBorders>
            <w:gridSpan w:val="2"/>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Borders>
              <w:bottom w:val="single" w:sz="8" w:color="auto"/>
            </w:tcBorders>
            <w:gridSpan w:val="2"/>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720" w:type="dxa"/>
            <w:vAlign w:val="bottom"/>
            <w:tcBorders>
              <w:bottom w:val="single" w:sz="8" w:color="auto"/>
            </w:tcBorders>
            <w:gridSpan w:val="2"/>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Borders>
              <w:bottom w:val="single" w:sz="8" w:color="auto"/>
            </w:tcBorders>
            <w:gridSpan w:val="2"/>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4040" w:type="dxa"/>
            <w:vAlign w:val="bottom"/>
            <w:gridSpan w:val="3"/>
          </w:tcPr>
          <w:p>
            <w:pPr>
              <w:spacing w:after="0"/>
              <w:rPr>
                <w:sz w:val="20"/>
                <w:szCs w:val="20"/>
                <w:color w:val="auto"/>
              </w:rPr>
            </w:pPr>
            <w:r>
              <w:rPr>
                <w:rFonts w:ascii="Arial" w:cs="Arial" w:eastAsia="Arial" w:hAnsi="Arial"/>
                <w:sz w:val="18"/>
                <w:szCs w:val="18"/>
                <w:color w:val="auto"/>
              </w:rPr>
              <w:t>Net income (loss)</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4.9%</w:t>
            </w:r>
          </w:p>
        </w:tc>
        <w:tc>
          <w:tcPr>
            <w:tcW w:w="1040" w:type="dxa"/>
            <w:vAlign w:val="bottom"/>
            <w:gridSpan w:val="4"/>
          </w:tcPr>
          <w:p>
            <w:pPr>
              <w:jc w:val="right"/>
              <w:ind w:right="80"/>
              <w:spacing w:after="0"/>
              <w:rPr>
                <w:sz w:val="20"/>
                <w:szCs w:val="20"/>
                <w:color w:val="auto"/>
              </w:rPr>
            </w:pPr>
            <w:r>
              <w:rPr>
                <w:rFonts w:ascii="Arial" w:cs="Arial" w:eastAsia="Arial" w:hAnsi="Arial"/>
                <w:sz w:val="18"/>
                <w:szCs w:val="18"/>
                <w:color w:val="auto"/>
              </w:rPr>
              <w:t>(0.9%)</w:t>
            </w:r>
          </w:p>
        </w:tc>
        <w:tc>
          <w:tcPr>
            <w:tcW w:w="1080" w:type="dxa"/>
            <w:vAlign w:val="bottom"/>
            <w:gridSpan w:val="5"/>
          </w:tcPr>
          <w:p>
            <w:pPr>
              <w:jc w:val="right"/>
              <w:ind w:right="180"/>
              <w:spacing w:after="0"/>
              <w:rPr>
                <w:sz w:val="20"/>
                <w:szCs w:val="20"/>
                <w:color w:val="auto"/>
              </w:rPr>
            </w:pPr>
            <w:r>
              <w:rPr>
                <w:rFonts w:ascii="Arial" w:cs="Arial" w:eastAsia="Arial" w:hAnsi="Arial"/>
                <w:sz w:val="18"/>
                <w:szCs w:val="18"/>
                <w:color w:val="auto"/>
              </w:rPr>
              <w:t>6.9%</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24"/>
                <w:szCs w:val="24"/>
                <w:color w:val="auto"/>
              </w:rPr>
            </w:pPr>
          </w:p>
        </w:tc>
      </w:tr>
      <w:tr>
        <w:trPr>
          <w:trHeight w:val="120"/>
        </w:trPr>
        <w:tc>
          <w:tcPr>
            <w:tcW w:w="400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2995930</wp:posOffset>
            </wp:positionH>
            <wp:positionV relativeFrom="paragraph">
              <wp:posOffset>-14605</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2541270</wp:posOffset>
            </wp:positionH>
            <wp:positionV relativeFrom="paragraph">
              <wp:posOffset>-14605</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-14605</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-14605</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-14605</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-14605</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-14605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-14605</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9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Net sales increased 15.7% to $130.4 million for the nine months ended February 1, 2003 as compared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$112.7 million for the same period in fiscal year 2002. Net sales increased 23.8% to $38.2 million for the quarter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ended February 1, 2003 as compared to $30.9 million for the same period in fiscal year 2002. Net sales increased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the nine months of fiscal year 2003 versus fiscal year 2002 in the sports and business markets and in services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revenue, which include primarily maintenance, equipment services and parts sales. For the quarter ending February</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1, 2003 as compared to the quarter ended January 26, 2002, net sales increased in the sports and transportation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markets services. On a domestic basis, net sales increased in the sports and transportation markets for the quarter</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ended February 1, 2003 as compared to the quarter ended January 26, 2002. Year to date net sales in domestic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areas were up in the sports and business markets. On an international basis, net sales were down both for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quarter and nine months ended February 1, 2003 as compared to the quarter and nine months ended January 26,</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2002. International sales have historically been focused in the sports markets, although for the fiscal year 2003, net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sales in the commercial market have grown as a percentage of total net sales internationally. International sales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year to date are approximately 5% and 10% of net sales for the nine months ended February 1, 2003 and January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26, 2002, respectively. The Company also began fiscal year 2003 and the third quarter of fiscal year 2003 with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higher backlog of approximately $51 million for both periods, as compared to $37 million and $32 million for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beginning of fiscal year 2002 and the beginning of the third quarter of fiscal year 2002, respectively.</w:t>
      </w:r>
    </w:p>
    <w:p>
      <w:pPr>
        <w:spacing w:after="0" w:line="219" w:lineRule="exact"/>
        <w:rPr>
          <w:sz w:val="20"/>
          <w:szCs w:val="20"/>
          <w:color w:val="auto"/>
        </w:rPr>
      </w:pPr>
    </w:p>
    <w:p>
      <w:pPr>
        <w:ind w:right="2119" w:firstLine="348"/>
        <w:spacing w:after="0" w:line="308" w:lineRule="auto"/>
        <w:rPr>
          <w:sz w:val="20"/>
          <w:szCs w:val="20"/>
          <w:color w:val="auto"/>
        </w:rPr>
      </w:pPr>
      <w:r>
        <w:rPr>
          <w:rFonts w:ascii="Arial" w:cs="Arial" w:eastAsia="Arial" w:hAnsi="Arial"/>
          <w:sz w:val="15"/>
          <w:szCs w:val="15"/>
          <w:color w:val="auto"/>
        </w:rPr>
        <w:t>The increase in the sports markets was focused mainly in the college, university and smaller sports venues, primarily high schools, for the nine months ended February 1, 2003 as compared to the same periods in fiscal year 2002. Net sales in the college and university venues also increased for the quarter ended February 1, 2003 as compared to the same quarter of fiscal year 2002. Net sales to these two areas of the sports market grew in excess of 26% over the third quarter of fiscal year 2002 due to the effects of regionalizing and expanding the sales force, product pricing and contributions from the sports marketing division which raises funds through sale of advertising to fund purchases of the Company’s equipment. Net sales in the major league sports market were relatively flat for the quarter and down slightly year to date as compared to the same periods in fiscal year 2002, however the Company believes that it has significantly grown market share with the major league sports franchises and has booked significant orders which will contribute to net sales in future quarters. The improvements in the sports</w:t>
      </w:r>
    </w:p>
    <w:p>
      <w:pPr>
        <w:sectPr>
          <w:pgSz w:w="11900" w:h="16838" w:orient="portrait"/>
          <w:cols w:equalWidth="0" w:num="1">
            <w:col w:w="10219"/>
          </w:cols>
          <w:pgMar w:left="240" w:top="131" w:right="1440" w:bottom="0" w:gutter="0" w:footer="0" w:header="0"/>
        </w:sectPr>
      </w:pPr>
    </w:p>
    <w:bookmarkStart w:id="10" w:name="page11"/>
    <w:bookmarkEnd w:id="10"/>
    <w:p>
      <w:pPr>
        <w:spacing w:after="0" w:line="71" w:lineRule="exact"/>
        <w:rPr>
          <w:sz w:val="20"/>
          <w:szCs w:val="20"/>
          <w:color w:val="auto"/>
        </w:rPr>
      </w:pPr>
    </w:p>
    <w:p>
      <w:pPr>
        <w:ind w:right="2139"/>
        <w:spacing w:after="0" w:line="306" w:lineRule="auto"/>
        <w:rPr>
          <w:sz w:val="20"/>
          <w:szCs w:val="20"/>
          <w:color w:val="auto"/>
        </w:rPr>
      </w:pPr>
      <w:r>
        <w:rPr>
          <w:rFonts w:ascii="Arial" w:cs="Arial" w:eastAsia="Arial" w:hAnsi="Arial"/>
          <w:sz w:val="16"/>
          <w:szCs w:val="16"/>
          <w:color w:val="auto"/>
        </w:rPr>
        <w:t>markets are attributable to many factors including the Company’s breath of products and services, its integration capabilities, its strength and experience in sales and engineering, product quality and relationships it has developed over the years with customers. It expects net sales in the sports markets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469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right="2119"/>
        <w:spacing w:after="0" w:line="255" w:lineRule="auto"/>
        <w:rPr>
          <w:sz w:val="20"/>
          <w:szCs w:val="20"/>
          <w:color w:val="auto"/>
        </w:rPr>
      </w:pPr>
      <w:r>
        <w:rPr>
          <w:rFonts w:ascii="Arial" w:cs="Arial" w:eastAsia="Arial" w:hAnsi="Arial"/>
          <w:sz w:val="18"/>
          <w:szCs w:val="18"/>
          <w:color w:val="auto"/>
        </w:rPr>
        <w:t>be up in total for the fiscal year over the previous fiscal year. The increases in net sales in the sports markets were limited to the domestic markets. Internationally, the Company experienced a decline in net sales in sports markets for both the quarter and nine months ending February 1, 2003, as compared to the third quarter and nine months ending January 26, 2002 although as mentioned previously, net sales internationally have historically averaged less than 10% of total net sales.</w:t>
      </w:r>
    </w:p>
    <w:p>
      <w:pPr>
        <w:spacing w:after="0" w:line="197" w:lineRule="exact"/>
        <w:rPr>
          <w:sz w:val="20"/>
          <w:szCs w:val="20"/>
          <w:color w:val="auto"/>
        </w:rPr>
      </w:pPr>
    </w:p>
    <w:p>
      <w:pPr>
        <w:ind w:right="2119" w:firstLine="351"/>
        <w:spacing w:after="0" w:line="287" w:lineRule="auto"/>
        <w:rPr>
          <w:sz w:val="20"/>
          <w:szCs w:val="20"/>
          <w:color w:val="auto"/>
        </w:rPr>
      </w:pPr>
      <w:r>
        <w:rPr>
          <w:rFonts w:ascii="Arial" w:cs="Arial" w:eastAsia="Arial" w:hAnsi="Arial"/>
          <w:sz w:val="16"/>
          <w:szCs w:val="16"/>
          <w:color w:val="auto"/>
        </w:rPr>
        <w:t>In the business market, the first nine months of fiscal year 2003 included revenues from a significant project with lower overall margins. No comparable project was included in net sales for the first six months of fiscal year 2003. The overall increase in net sales in the business market, which offset the loss of that project, was the result of a 30% increase in standard product sales for the nine months ended February 1, 2003 as compared to the same periods in fiscal year 2002. This increase in standard order volume was partially offset by a small decline in orders for custom projects. The growth is attributable in part to new products developed and the development of the sales staff and distribution channels. As the Company continues to penetrate the business market, including national accounts and further matures its regional sales force, it expects this trend of increasing standard order volume to continue double-digit growth rates. The Company’s ability to generate greater sales to national accounts and similar large customers could cause this rate of growth to develop faster.</w:t>
      </w:r>
    </w:p>
    <w:p>
      <w:pPr>
        <w:spacing w:after="0" w:line="177" w:lineRule="exact"/>
        <w:rPr>
          <w:sz w:val="20"/>
          <w:szCs w:val="20"/>
          <w:color w:val="auto"/>
        </w:rPr>
      </w:pPr>
    </w:p>
    <w:p>
      <w:pPr>
        <w:ind w:right="2179" w:firstLine="351"/>
        <w:spacing w:after="0" w:line="287" w:lineRule="auto"/>
        <w:rPr>
          <w:sz w:val="20"/>
          <w:szCs w:val="20"/>
          <w:color w:val="auto"/>
        </w:rPr>
      </w:pPr>
      <w:r>
        <w:rPr>
          <w:rFonts w:ascii="Arial" w:cs="Arial" w:eastAsia="Arial" w:hAnsi="Arial"/>
          <w:sz w:val="16"/>
          <w:szCs w:val="16"/>
          <w:color w:val="auto"/>
        </w:rPr>
        <w:t>Net sales in the transportation markets were up for the quarter ended February 1, 2003 as compared to the same period of the previous year. The increase in net sales is due primarily to order bookings during the first half of the current fiscal year. The Company began the third quarter of fiscal year 2003 with an unusually high backlog of orders resulting in an increase in net sales of over 80% for the third quarter of fiscal year 2003 as compared to the third quarter of fiscal year 2002. Year to date net sales are relatively flat for fiscal year 2003 as compared to fiscal year 2002, however its backlog in this market finished the quarter strong down slightly from the beginning of the quarter. The Company expects net sales in the transportation market will continue to grow as its products and sales force further penetrate the market and existing orders are converted to net sales although the growth could be hampered through changes in local, state and federal spending due to budget constraints. For the year it expects net sales in the transportation market to be higher than the previous fiscal year.</w:t>
      </w:r>
    </w:p>
    <w:p>
      <w:pPr>
        <w:spacing w:after="0" w:line="177" w:lineRule="exact"/>
        <w:rPr>
          <w:sz w:val="20"/>
          <w:szCs w:val="20"/>
          <w:color w:val="auto"/>
        </w:rPr>
      </w:pPr>
    </w:p>
    <w:p>
      <w:pPr>
        <w:jc w:val="both"/>
        <w:ind w:right="2119" w:firstLine="348"/>
        <w:spacing w:after="0" w:line="259" w:lineRule="auto"/>
        <w:rPr>
          <w:sz w:val="20"/>
          <w:szCs w:val="20"/>
          <w:color w:val="auto"/>
        </w:rPr>
      </w:pPr>
      <w:r>
        <w:rPr>
          <w:rFonts w:ascii="Arial" w:cs="Arial" w:eastAsia="Arial" w:hAnsi="Arial"/>
          <w:sz w:val="18"/>
          <w:szCs w:val="18"/>
          <w:color w:val="auto"/>
        </w:rPr>
        <w:t>Typically net sales in the sports markets represent approximately two-thirds of total net sales with commercial representing 15% and transportation representing 10%, although these ranges can vary quarter to quarter as a result of the impact of large projects.</w:t>
      </w:r>
    </w:p>
    <w:p>
      <w:pPr>
        <w:spacing w:after="0" w:line="194" w:lineRule="exact"/>
        <w:rPr>
          <w:sz w:val="20"/>
          <w:szCs w:val="20"/>
          <w:color w:val="auto"/>
        </w:rPr>
      </w:pPr>
    </w:p>
    <w:p>
      <w:pPr>
        <w:ind w:right="2299" w:firstLine="348"/>
        <w:spacing w:after="0" w:line="256" w:lineRule="auto"/>
        <w:rPr>
          <w:sz w:val="20"/>
          <w:szCs w:val="20"/>
          <w:color w:val="auto"/>
        </w:rPr>
      </w:pPr>
      <w:r>
        <w:rPr>
          <w:rFonts w:ascii="Arial" w:cs="Arial" w:eastAsia="Arial" w:hAnsi="Arial"/>
          <w:sz w:val="18"/>
          <w:szCs w:val="18"/>
          <w:color w:val="auto"/>
        </w:rPr>
        <w:t>The Company occasionally sells products in exchange for the proceeds of advertising revenues generated from use of products. These sales represented less than 10% of net sales for the quarter and nine months ended February 1, 2003. The gross profit on these net sales has been comparable to the gross profit margin on other net sales.</w:t>
      </w:r>
    </w:p>
    <w:p>
      <w:pPr>
        <w:spacing w:after="0" w:line="197" w:lineRule="exact"/>
        <w:rPr>
          <w:sz w:val="20"/>
          <w:szCs w:val="20"/>
          <w:color w:val="auto"/>
        </w:rPr>
      </w:pPr>
    </w:p>
    <w:p>
      <w:pPr>
        <w:ind w:right="2099" w:firstLine="348"/>
        <w:spacing w:after="0" w:line="289" w:lineRule="auto"/>
        <w:rPr>
          <w:sz w:val="20"/>
          <w:szCs w:val="20"/>
          <w:color w:val="auto"/>
        </w:rPr>
      </w:pPr>
      <w:r>
        <w:rPr>
          <w:rFonts w:ascii="Arial" w:cs="Arial" w:eastAsia="Arial" w:hAnsi="Arial"/>
          <w:sz w:val="16"/>
          <w:szCs w:val="16"/>
          <w:color w:val="auto"/>
        </w:rPr>
        <w:t>The order backlog as of February 1, 2003 was approximately $51 million as compared to $30 million as of January 26, 2002 and $51 million as of November 2, 2002. Historically, the Company’s backlog varies significantly due to the timing of large orders. The dollar increase in backlog as compared to January 26, 2002 was primarily concentrated in the sports markets, however the transportation backlog experienced significant growth on a percentage basis from the end of the third quarter of fiscal year 2002 and since the end of the first quarter of the current fiscal year. Backlog in the business market increased slightly as compared to the previous year as sales grew in standard products, which due to the shorter lead-time, causes a decline in the backlog, although net sales are rising.</w:t>
      </w:r>
    </w:p>
    <w:p>
      <w:pPr>
        <w:spacing w:after="0" w:line="172" w:lineRule="exact"/>
        <w:rPr>
          <w:sz w:val="20"/>
          <w:szCs w:val="20"/>
          <w:color w:val="auto"/>
        </w:rPr>
      </w:pPr>
    </w:p>
    <w:p>
      <w:pPr>
        <w:ind w:right="2099" w:firstLine="348"/>
        <w:spacing w:after="0" w:line="288" w:lineRule="auto"/>
        <w:rPr>
          <w:sz w:val="20"/>
          <w:szCs w:val="20"/>
          <w:color w:val="auto"/>
        </w:rPr>
      </w:pPr>
      <w:r>
        <w:rPr>
          <w:rFonts w:ascii="Arial" w:cs="Arial" w:eastAsia="Arial" w:hAnsi="Arial"/>
          <w:sz w:val="16"/>
          <w:szCs w:val="16"/>
          <w:color w:val="auto"/>
        </w:rPr>
        <w:t>The Company books orders only upon receipt of a firm contract and, in many cases, only after receipt of any required deposits related to the order. As a result, certain orders for which the Company has received binding letters of intent or contracts will not be booked until all required contractual documents and deposits are received. In addition, order bookings can vary significantly as a result of the timing of large orders. Total order bookings for standard orders and contracts for the three months ended February 1, 2003, were up in excess of 70% compared to the three months ended January 26, 2002. Order bookings were up significantly in all three major markets for the quarter and nine months ended February 1, 2003 as compared to the same periods in fiscal year 2002. Within the sports markets orders in major league facilities were down for the nine months ended February 1, 2003 but were up during the quarter ended on the same date as compared to the same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469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right="2119"/>
        <w:spacing w:after="0" w:line="335" w:lineRule="auto"/>
        <w:rPr>
          <w:sz w:val="20"/>
          <w:szCs w:val="20"/>
          <w:color w:val="auto"/>
        </w:rPr>
      </w:pPr>
      <w:r>
        <w:rPr>
          <w:rFonts w:ascii="Arial" w:cs="Arial" w:eastAsia="Arial" w:hAnsi="Arial"/>
          <w:sz w:val="15"/>
          <w:szCs w:val="15"/>
          <w:color w:val="auto"/>
        </w:rPr>
        <w:t>in the previous fiscal year. It expects to book additional material orders in the major league sports area in the fourth quarter. Orders in the transportation markets were up significantly for the quarter and for the nine months ended February 1, 2003 as compared to similar periods for the previous fiscal year. Within the transportation market, the</w:t>
      </w:r>
    </w:p>
    <w:p>
      <w:pPr>
        <w:sectPr>
          <w:pgSz w:w="11900" w:h="16909" w:orient="portrait"/>
          <w:cols w:equalWidth="0" w:num="1">
            <w:col w:w="10219"/>
          </w:cols>
          <w:pgMar w:left="240" w:top="131" w:right="1440" w:bottom="0" w:gutter="0" w:footer="0" w:header="0"/>
        </w:sectPr>
      </w:pPr>
    </w:p>
    <w:bookmarkStart w:id="11" w:name="page12"/>
    <w:bookmarkEnd w:id="11"/>
    <w:p>
      <w:pPr>
        <w:ind w:right="2539"/>
        <w:spacing w:after="0" w:line="268" w:lineRule="auto"/>
        <w:rPr>
          <w:sz w:val="20"/>
          <w:szCs w:val="20"/>
          <w:color w:val="auto"/>
        </w:rPr>
      </w:pPr>
      <w:r>
        <w:rPr>
          <w:rFonts w:ascii="Arial" w:cs="Arial" w:eastAsia="Arial" w:hAnsi="Arial"/>
          <w:sz w:val="18"/>
          <w:szCs w:val="18"/>
          <w:color w:val="auto"/>
        </w:rPr>
        <w:t>aviation business is down only slightly year to date as compared to the previous fiscal year, due to the overall conditions of that market.</w:t>
      </w:r>
    </w:p>
    <w:p>
      <w:pPr>
        <w:spacing w:after="0" w:line="186" w:lineRule="exact"/>
        <w:rPr>
          <w:sz w:val="20"/>
          <w:szCs w:val="20"/>
          <w:color w:val="auto"/>
        </w:rPr>
      </w:pPr>
    </w:p>
    <w:p>
      <w:pPr>
        <w:ind w:right="2179" w:firstLine="348"/>
        <w:spacing w:after="0" w:line="312" w:lineRule="auto"/>
        <w:rPr>
          <w:sz w:val="20"/>
          <w:szCs w:val="20"/>
          <w:color w:val="auto"/>
        </w:rPr>
      </w:pPr>
      <w:r>
        <w:rPr>
          <w:rFonts w:ascii="Arial" w:cs="Arial" w:eastAsia="Arial" w:hAnsi="Arial"/>
          <w:sz w:val="15"/>
          <w:szCs w:val="15"/>
          <w:color w:val="auto"/>
        </w:rPr>
        <w:t>The overall growth in orders across all markets over the past nine months, which has translated into net sales, has been the result of a number of factors. Overall, the Company has positioned itself as the leader in large screen video and scoring displays and believes that it offers the most complete, integrated systems for fan entertainment, which it believes has added to orders in the sports markets. It also believes that it’s development of new markets and new uses for its technology have created new opportunities. Also product development, competitive pricing and deployment of a regional sales and service staff have helped drive the increase in orders and net sales. Finally, new products and the lessened effect of the events of September 11th have positively helped order bookings.</w:t>
      </w:r>
    </w:p>
    <w:p>
      <w:pPr>
        <w:spacing w:after="0" w:line="159" w:lineRule="exact"/>
        <w:rPr>
          <w:sz w:val="20"/>
          <w:szCs w:val="20"/>
          <w:color w:val="auto"/>
        </w:rPr>
      </w:pPr>
    </w:p>
    <w:p>
      <w:pPr>
        <w:ind w:right="2119" w:firstLine="348"/>
        <w:spacing w:after="0" w:line="298" w:lineRule="auto"/>
        <w:rPr>
          <w:sz w:val="20"/>
          <w:szCs w:val="20"/>
          <w:color w:val="auto"/>
        </w:rPr>
      </w:pPr>
      <w:r>
        <w:rPr>
          <w:rFonts w:ascii="Arial" w:cs="Arial" w:eastAsia="Arial" w:hAnsi="Arial"/>
          <w:sz w:val="16"/>
          <w:szCs w:val="16"/>
          <w:color w:val="auto"/>
        </w:rPr>
        <w:t>The Company expects that orders will continue to grow over the long term in all three of its markets. It also believes that much of its sports market is protected more in economic downturns than its business markets. Growth in the business markets is dependant on the economic conditions, however the Company believes that this market will grow in the current economic conditions, since the market is new and has the least penetration.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312" w:lineRule="exact"/>
        <w:rPr>
          <w:sz w:val="20"/>
          <w:szCs w:val="20"/>
          <w:color w:val="auto"/>
        </w:rPr>
      </w:pPr>
    </w:p>
    <w:p>
      <w:pPr>
        <w:ind w:right="2119" w:firstLine="351"/>
        <w:spacing w:after="0" w:line="285" w:lineRule="auto"/>
        <w:rPr>
          <w:sz w:val="20"/>
          <w:szCs w:val="20"/>
          <w:color w:val="auto"/>
        </w:rPr>
      </w:pPr>
      <w:r>
        <w:rPr>
          <w:rFonts w:ascii="Arial" w:cs="Arial" w:eastAsia="Arial" w:hAnsi="Arial"/>
          <w:sz w:val="16"/>
          <w:szCs w:val="16"/>
          <w:color w:val="auto"/>
        </w:rPr>
        <w:t>Gross profit increased 36.7% to $12.4 million for the three months ended February 1, 2003 compared to $9.0 million for the same period in fiscal year 2002. For the nine months ended February 1, 2003, gross profit increased 32.2% to $43.5 million as compared to $32.9 million for the nine months ended January 26, 2002. As a percent of net sales, gross profit was 32.3% and 33.3% for the quarter and nine months ended February 1, 2003 as compared to 29.3% and 29.8% for the quarter and nine months ended January 26, 2002. The increase in gross profit margins as a percent of net sales for the quarter was due to a number of factors including those listed in the following paragraphs, improvements in raw material costs, and an overall improvement in expected margins at contract signing, primarily in the business markets which was offset slightly by other markets. These improvements were offset by higher unabsorbed manufacturing costs for the quarter and slightly lower percentage of standard orders that typically produce higher margins. For the nine months ended February 1, 2003 as compared to the nine months ended January 26, 2002, gross profit margins increased as a percent of net sales due to the same positive factors listed above as well as improved overhead absorption due to production volumes and benefits realized from cost reductions in the prior fiscal year. Gross profit for the full fiscal year as a percent of net sales is expected to be higher than the gross profit percentages obtained in fiscal year 2002, but less than the level realized in the first nine months of fiscal year 2003.</w:t>
      </w:r>
    </w:p>
    <w:p>
      <w:pPr>
        <w:spacing w:after="0" w:line="180" w:lineRule="exact"/>
        <w:rPr>
          <w:sz w:val="20"/>
          <w:szCs w:val="20"/>
          <w:color w:val="auto"/>
        </w:rPr>
      </w:pPr>
    </w:p>
    <w:p>
      <w:pPr>
        <w:ind w:right="2239" w:firstLine="351"/>
        <w:spacing w:after="0" w:line="298" w:lineRule="auto"/>
        <w:rPr>
          <w:sz w:val="20"/>
          <w:szCs w:val="20"/>
          <w:color w:val="auto"/>
        </w:rPr>
      </w:pPr>
      <w:r>
        <w:rPr>
          <w:rFonts w:ascii="Arial" w:cs="Arial" w:eastAsia="Arial" w:hAnsi="Arial"/>
          <w:sz w:val="16"/>
          <w:szCs w:val="16"/>
          <w:color w:val="auto"/>
        </w:rPr>
        <w:t>During the quarter ending February 1, 2003, the Company also recognized revenue on two contracts, one related to commissions on sales of advertising contracts and the other for services provided over the past nine months which were not recognized due to the uncertainty of collection. The affect of these two transactions was a 0.7 increase in gross margin percentage. The effect for the year was not material.</w:t>
      </w:r>
    </w:p>
    <w:p>
      <w:pPr>
        <w:spacing w:after="0" w:line="167" w:lineRule="exact"/>
        <w:rPr>
          <w:sz w:val="20"/>
          <w:szCs w:val="20"/>
          <w:color w:val="auto"/>
        </w:rPr>
      </w:pPr>
    </w:p>
    <w:p>
      <w:pPr>
        <w:ind w:right="2119" w:firstLine="351"/>
        <w:spacing w:after="0" w:line="288" w:lineRule="auto"/>
        <w:rPr>
          <w:sz w:val="20"/>
          <w:szCs w:val="20"/>
          <w:color w:val="auto"/>
        </w:rPr>
      </w:pPr>
      <w:r>
        <w:rPr>
          <w:rFonts w:ascii="Arial" w:cs="Arial" w:eastAsia="Arial" w:hAnsi="Arial"/>
          <w:sz w:val="16"/>
          <w:szCs w:val="16"/>
          <w:color w:val="auto"/>
        </w:rPr>
        <w:t>During the third quarter the Company became aware of a provision in the South Dakota sales and use tax laws that could be interpreted to subject the Company to past unpaid use tax and the imposition of use tax in the future against certain equipment the Company sells and installs. The State of South Dakota has verbally confirmed that no such tax will be assessed for periods prior to January 1, 2003, and that in the future, the law could be interpreted to subject the Company to a use tax on equipment. As a result of this, the Company is working with the state to amend the current law to clarify that the Company is not subject to such use taxes. Management is optimistic that the legislation will be passed by the state legislature and signed by the Governor due to its interest in creating a favorable environment for business growth and in clarifying the applicability of the law. If passed, the law would likely become effective July 2003. Based on this, the Company has accrued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469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right="2779"/>
        <w:spacing w:after="0" w:line="268" w:lineRule="auto"/>
        <w:rPr>
          <w:sz w:val="20"/>
          <w:szCs w:val="20"/>
          <w:color w:val="auto"/>
        </w:rPr>
      </w:pPr>
      <w:r>
        <w:rPr>
          <w:rFonts w:ascii="Arial" w:cs="Arial" w:eastAsia="Arial" w:hAnsi="Arial"/>
          <w:sz w:val="18"/>
          <w:szCs w:val="18"/>
          <w:color w:val="auto"/>
        </w:rPr>
        <w:t>use tax which was charged against cost of goods sold for January 2003 to cover for the possibility that the Company could become subject to the use tax.</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312" w:lineRule="exact"/>
        <w:rPr>
          <w:sz w:val="20"/>
          <w:szCs w:val="20"/>
          <w:color w:val="auto"/>
        </w:rPr>
      </w:pPr>
    </w:p>
    <w:p>
      <w:pPr>
        <w:ind w:right="2119" w:firstLine="351"/>
        <w:spacing w:after="0" w:line="288" w:lineRule="auto"/>
        <w:rPr>
          <w:sz w:val="20"/>
          <w:szCs w:val="20"/>
          <w:color w:val="auto"/>
        </w:rPr>
      </w:pPr>
      <w:r>
        <w:rPr>
          <w:rFonts w:ascii="Arial" w:cs="Arial" w:eastAsia="Arial" w:hAnsi="Arial"/>
          <w:sz w:val="16"/>
          <w:szCs w:val="16"/>
          <w:i w:val="1"/>
          <w:iCs w:val="1"/>
          <w:color w:val="auto"/>
        </w:rPr>
        <w:t xml:space="preserve">Operating expenses. </w:t>
      </w:r>
      <w:r>
        <w:rPr>
          <w:rFonts w:ascii="Arial" w:cs="Arial" w:eastAsia="Arial" w:hAnsi="Arial"/>
          <w:sz w:val="16"/>
          <w:szCs w:val="16"/>
          <w:color w:val="auto"/>
        </w:rPr>
        <w:t>Operating expenses, which are comprised of selling, general and administrative and</w:t>
      </w:r>
      <w:r>
        <w:rPr>
          <w:rFonts w:ascii="Arial" w:cs="Arial" w:eastAsia="Arial" w:hAnsi="Arial"/>
          <w:sz w:val="16"/>
          <w:szCs w:val="16"/>
          <w:i w:val="1"/>
          <w:iCs w:val="1"/>
          <w:color w:val="auto"/>
        </w:rPr>
        <w:t xml:space="preserve"> </w:t>
      </w:r>
      <w:r>
        <w:rPr>
          <w:rFonts w:ascii="Arial" w:cs="Arial" w:eastAsia="Arial" w:hAnsi="Arial"/>
          <w:sz w:val="16"/>
          <w:szCs w:val="16"/>
          <w:color w:val="auto"/>
        </w:rPr>
        <w:t>product design and development, remained the same for the third quarter of fiscal year 2003 as compared to the third quarter of fiscal year 2002 and were $9.2 million. As a percent of net sales, operating expenses decreased from 29.9% to 24.1%. For the nine months ended February 1, 2003, operating expenses increased 7.8% from $26.8 million for the nine months ended January 26, 2002 to $28.9 million for the nine months ended February 1, 2003. For the nine months ended February 1, 2003, all components of operating expenses were affected as a result of the first quarter of fiscal year 2003 containing 14 weeks as opposed to the 13 weeks included in the first quarter of fiscal year 2002. The higher levels of sales for the quarter and nine months ended February 1, 2003, as compared to the previous fiscal year contributed to the improvements as a percent of sales.</w:t>
      </w:r>
    </w:p>
    <w:p>
      <w:pPr>
        <w:spacing w:after="0" w:line="174" w:lineRule="exact"/>
        <w:rPr>
          <w:sz w:val="20"/>
          <w:szCs w:val="20"/>
          <w:color w:val="auto"/>
        </w:rPr>
      </w:pPr>
    </w:p>
    <w:p>
      <w:pPr>
        <w:ind w:right="2439" w:firstLine="351"/>
        <w:spacing w:after="0" w:line="298" w:lineRule="auto"/>
        <w:rPr>
          <w:sz w:val="20"/>
          <w:szCs w:val="20"/>
          <w:color w:val="auto"/>
        </w:rPr>
      </w:pPr>
      <w:r>
        <w:rPr>
          <w:rFonts w:ascii="Arial" w:cs="Arial" w:eastAsia="Arial" w:hAnsi="Arial"/>
          <w:sz w:val="16"/>
          <w:szCs w:val="16"/>
          <w:color w:val="auto"/>
        </w:rPr>
        <w:t>Beginning in the third quarter of fiscal year 2001, the Company began building its operating expense infrastructure in preparation of the expected growth in net sales in fiscal year 2002 and consistent with the Company’s plan to become more regionalized. This buildup continued into the middle of the second quarter of fiscal year 2002 when the Company began to see that the anticipated level of sales for the year would not be</w:t>
      </w:r>
    </w:p>
    <w:p>
      <w:pPr>
        <w:sectPr>
          <w:pgSz w:w="11900" w:h="16838" w:orient="portrait"/>
          <w:cols w:equalWidth="0" w:num="1">
            <w:col w:w="10219"/>
          </w:cols>
          <w:pgMar w:left="240" w:top="131" w:right="1440" w:bottom="0" w:gutter="0" w:footer="0" w:header="0"/>
        </w:sectPr>
      </w:pPr>
    </w:p>
    <w:bookmarkStart w:id="12" w:name="page13"/>
    <w:bookmarkEnd w:id="12"/>
    <w:p>
      <w:pPr>
        <w:spacing w:after="0" w:line="17" w:lineRule="exact"/>
        <w:rPr>
          <w:sz w:val="20"/>
          <w:szCs w:val="20"/>
          <w:color w:val="auto"/>
        </w:rPr>
      </w:pPr>
    </w:p>
    <w:p>
      <w:pPr>
        <w:ind w:right="2139"/>
        <w:spacing w:after="0" w:line="286" w:lineRule="auto"/>
        <w:rPr>
          <w:sz w:val="20"/>
          <w:szCs w:val="20"/>
          <w:color w:val="auto"/>
        </w:rPr>
      </w:pPr>
      <w:r>
        <w:rPr>
          <w:rFonts w:ascii="Arial" w:cs="Arial" w:eastAsia="Arial" w:hAnsi="Arial"/>
          <w:sz w:val="16"/>
          <w:szCs w:val="16"/>
          <w:color w:val="auto"/>
        </w:rPr>
        <w:t>achievable. Beginning in the third quarter of fiscal year 2002, the Company undertook efforts to reduce certain operating expenses, keeping in mind its belief in the market as a whole and an expectation that the economic conditions at that time were not expected to continue for the long-term. As such, operating expenses in fiscal year 2002 were not reduced to levels consistent with fiscal year 2002 net sales in terms of a desired percentage of net sales. Operating expenses were reduced to the levels that would support the Company in a return to levels of growth which could be expected as the economy turned around and orders started to book again at reasonably expected levels. Although the levels of spending were reduced during fiscal year 2002 and some of these reductions carried over into fiscal year 2003, it is expected that in the absence of changing conditions, operating expenses will be higher in fiscal year 2003 than in fiscal year 2002 in terms of dollars, but down as a percentage of net sales. The Company believes that the level of order bookings and net sales demonstrates a return to reasonable revenue levels to support the current level of operating expenses.</w:t>
      </w:r>
    </w:p>
    <w:p>
      <w:pPr>
        <w:spacing w:after="0" w:line="181" w:lineRule="exact"/>
        <w:rPr>
          <w:sz w:val="20"/>
          <w:szCs w:val="20"/>
          <w:color w:val="auto"/>
        </w:rPr>
      </w:pPr>
    </w:p>
    <w:p>
      <w:pPr>
        <w:ind w:right="2139" w:firstLine="351"/>
        <w:spacing w:after="0" w:line="288" w:lineRule="auto"/>
        <w:rPr>
          <w:sz w:val="20"/>
          <w:szCs w:val="20"/>
          <w:color w:val="auto"/>
        </w:rPr>
      </w:pPr>
      <w:r>
        <w:rPr>
          <w:rFonts w:ascii="Arial" w:cs="Arial" w:eastAsia="Arial" w:hAnsi="Arial"/>
          <w:sz w:val="16"/>
          <w:szCs w:val="16"/>
          <w:i w:val="1"/>
          <w:iCs w:val="1"/>
          <w:color w:val="auto"/>
        </w:rPr>
        <w:t xml:space="preserve">Selling Expenses. </w:t>
      </w:r>
      <w:r>
        <w:rPr>
          <w:rFonts w:ascii="Arial" w:cs="Arial" w:eastAsia="Arial" w:hAnsi="Arial"/>
          <w:sz w:val="16"/>
          <w:szCs w:val="16"/>
          <w:color w:val="auto"/>
        </w:rPr>
        <w:t>Selling expenses consist primarily of salaries, other employee related costs, travel and</w:t>
      </w:r>
      <w:r>
        <w:rPr>
          <w:rFonts w:ascii="Arial" w:cs="Arial" w:eastAsia="Arial" w:hAnsi="Arial"/>
          <w:sz w:val="16"/>
          <w:szCs w:val="16"/>
          <w:i w:val="1"/>
          <w:iCs w:val="1"/>
          <w:color w:val="auto"/>
        </w:rPr>
        <w:t xml:space="preserve"> </w:t>
      </w:r>
      <w:r>
        <w:rPr>
          <w:rFonts w:ascii="Arial" w:cs="Arial" w:eastAsia="Arial" w:hAnsi="Arial"/>
          <w:sz w:val="16"/>
          <w:szCs w:val="16"/>
          <w:color w:val="auto"/>
        </w:rPr>
        <w:t>entertainment, facilities-related costs for sales and service offices, and expenditures for marketing efforts including such things as collateral materials, conventions and trade shows, product demos and supplies. Selling expenses increased 5.0% to $5.9 million for the three months ended February 1, 2003 compared to $5.6 million for the same period in fiscal year 2002. Selling expenses increased 13.6% to $18.6 million for the nine months ended February 1, 2003 from $16.4 million for the same period in fiscal year 2002. Selling expenses declined to 15.4% of net sales for the third quarter of fiscal year 2003 from 18.1% of net sales for the third quarter of fiscal year 2002. For the nine months ended February 1, 2003, selling expenses were 14.3% of net sales as compared to 14.6% of net sales for the nine months ended January 26, 2002.</w:t>
      </w:r>
    </w:p>
    <w:p>
      <w:pPr>
        <w:spacing w:after="0" w:line="174" w:lineRule="exact"/>
        <w:rPr>
          <w:sz w:val="20"/>
          <w:szCs w:val="20"/>
          <w:color w:val="auto"/>
        </w:rPr>
      </w:pPr>
    </w:p>
    <w:p>
      <w:pPr>
        <w:ind w:right="2139" w:firstLine="348"/>
        <w:spacing w:after="0" w:line="289" w:lineRule="auto"/>
        <w:rPr>
          <w:sz w:val="20"/>
          <w:szCs w:val="20"/>
          <w:color w:val="auto"/>
        </w:rPr>
      </w:pPr>
      <w:r>
        <w:rPr>
          <w:rFonts w:ascii="Arial" w:cs="Arial" w:eastAsia="Arial" w:hAnsi="Arial"/>
          <w:sz w:val="16"/>
          <w:szCs w:val="16"/>
          <w:color w:val="auto"/>
        </w:rPr>
        <w:t>The increases in selling expense dollars resulted from higher levels of personnel, and related costs due to the additional infrastructure put in place in connection with the expansion of the sales staff located outside of Brookings, South Dakota. Also, during the first nine months of fiscal year 2003, the Company wrote down the carrying costs of demonstration equipment by approximately $570,000, primarily due to technology improvements and replacement with newer equipment. The Company also experienced higher postage, marketing, depreciation and various other costs as a result of investments in infrastructure in its sales expansion and regionalization efforts, and the growth in net sales. The Company expects selling expenses to increase slightly during the next twelve months in the absence of changing conditions from the levels of the most recent quarter.</w:t>
      </w:r>
    </w:p>
    <w:p>
      <w:pPr>
        <w:spacing w:after="0" w:line="172" w:lineRule="exact"/>
        <w:rPr>
          <w:sz w:val="20"/>
          <w:szCs w:val="20"/>
          <w:color w:val="auto"/>
        </w:rPr>
      </w:pPr>
    </w:p>
    <w:p>
      <w:pPr>
        <w:ind w:right="2379" w:firstLine="351"/>
        <w:spacing w:after="0" w:line="335" w:lineRule="auto"/>
        <w:rPr>
          <w:sz w:val="20"/>
          <w:szCs w:val="20"/>
          <w:color w:val="auto"/>
        </w:rPr>
      </w:pPr>
      <w:r>
        <w:rPr>
          <w:rFonts w:ascii="Arial" w:cs="Arial" w:eastAsia="Arial" w:hAnsi="Arial"/>
          <w:sz w:val="15"/>
          <w:szCs w:val="15"/>
          <w:i w:val="1"/>
          <w:iCs w:val="1"/>
          <w:color w:val="auto"/>
        </w:rPr>
        <w:t xml:space="preserve">General and Administrative. </w:t>
      </w:r>
      <w:r>
        <w:rPr>
          <w:rFonts w:ascii="Arial" w:cs="Arial" w:eastAsia="Arial" w:hAnsi="Arial"/>
          <w:sz w:val="15"/>
          <w:szCs w:val="15"/>
          <w:color w:val="auto"/>
        </w:rPr>
        <w:t>General and administrative expenses consist primarily of salaries, other</w:t>
      </w:r>
      <w:r>
        <w:rPr>
          <w:rFonts w:ascii="Arial" w:cs="Arial" w:eastAsia="Arial" w:hAnsi="Arial"/>
          <w:sz w:val="15"/>
          <w:szCs w:val="15"/>
          <w:i w:val="1"/>
          <w:iCs w:val="1"/>
          <w:color w:val="auto"/>
        </w:rPr>
        <w:t xml:space="preserve"> </w:t>
      </w:r>
      <w:r>
        <w:rPr>
          <w:rFonts w:ascii="Arial" w:cs="Arial" w:eastAsia="Arial" w:hAnsi="Arial"/>
          <w:sz w:val="15"/>
          <w:szCs w:val="15"/>
          <w:color w:val="auto"/>
        </w:rPr>
        <w:t>employee-related costs, professional fees, facilities and equipment related costs for administration departments, amortization of intangibles, and supplies. General and administrative expenses increased 4.6% to $1.8 million</w:t>
      </w:r>
    </w:p>
    <w:p>
      <w:pPr>
        <w:spacing w:after="0" w:line="142"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469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right="2119"/>
        <w:spacing w:after="0" w:line="253" w:lineRule="auto"/>
        <w:rPr>
          <w:sz w:val="20"/>
          <w:szCs w:val="20"/>
          <w:color w:val="auto"/>
        </w:rPr>
      </w:pPr>
      <w:r>
        <w:rPr>
          <w:rFonts w:ascii="Arial" w:cs="Arial" w:eastAsia="Arial" w:hAnsi="Arial"/>
          <w:sz w:val="18"/>
          <w:szCs w:val="18"/>
          <w:color w:val="auto"/>
        </w:rPr>
        <w:t>for the three months ended February 1, 2003 compared to $1.7 million for the same period in fiscal year 2002. General and administrative expenses increased 1.5% to $5.2 million for the nine months ended February 1, 2003 as compared to $5.1 million for the nine months ended January 26, 2002, respectively. General and administrative expenses declined to 4.8% as a percent of net sales from 5.6% of net sales for the third quarter of fiscal year 2003 as compared to the third quarter of fiscal year 2002. For the nine months ended February 1, 2003, general and administrative expenses were 4.0% of net sales as compared to 4.5% of net sales for the nine months ended January 26, 2002.</w:t>
      </w:r>
    </w:p>
    <w:p>
      <w:pPr>
        <w:spacing w:after="0" w:line="201" w:lineRule="exact"/>
        <w:rPr>
          <w:sz w:val="20"/>
          <w:szCs w:val="20"/>
          <w:color w:val="auto"/>
        </w:rPr>
      </w:pPr>
    </w:p>
    <w:p>
      <w:pPr>
        <w:ind w:right="2239" w:firstLine="348"/>
        <w:spacing w:after="0" w:line="254" w:lineRule="auto"/>
        <w:rPr>
          <w:sz w:val="20"/>
          <w:szCs w:val="20"/>
          <w:color w:val="auto"/>
        </w:rPr>
      </w:pPr>
      <w:r>
        <w:rPr>
          <w:rFonts w:ascii="Arial" w:cs="Arial" w:eastAsia="Arial" w:hAnsi="Arial"/>
          <w:sz w:val="18"/>
          <w:szCs w:val="18"/>
          <w:color w:val="auto"/>
        </w:rPr>
        <w:t>The increase for the third quarter of fiscal year 2003 as compared to the third quarter of fiscal year 2003 was primarily due an increase in compensation and benefits costs. For the nine months ended February 1, 2003, increases in professional fees related to fiscal year 2002 audit costs and other professional fees and an increase in depreciation costs related to the capital expenditures in previous quarters were offset by the reduction in amortization expense as required under SFAS 142 and reductions in the costs of training expenses throughout the Company.</w:t>
      </w:r>
    </w:p>
    <w:p>
      <w:pPr>
        <w:spacing w:after="0" w:line="198" w:lineRule="exact"/>
        <w:rPr>
          <w:sz w:val="20"/>
          <w:szCs w:val="20"/>
          <w:color w:val="auto"/>
        </w:rPr>
      </w:pPr>
    </w:p>
    <w:p>
      <w:pPr>
        <w:ind w:right="2159" w:firstLine="351"/>
        <w:spacing w:after="0" w:line="288" w:lineRule="auto"/>
        <w:rPr>
          <w:sz w:val="20"/>
          <w:szCs w:val="20"/>
          <w:color w:val="auto"/>
        </w:rPr>
      </w:pPr>
      <w:r>
        <w:rPr>
          <w:rFonts w:ascii="Arial" w:cs="Arial" w:eastAsia="Arial" w:hAnsi="Arial"/>
          <w:sz w:val="16"/>
          <w:szCs w:val="16"/>
          <w:i w:val="1"/>
          <w:iCs w:val="1"/>
          <w:color w:val="auto"/>
        </w:rPr>
        <w:t xml:space="preserve">Product Design and Development. </w:t>
      </w:r>
      <w:r>
        <w:rPr>
          <w:rFonts w:ascii="Arial" w:cs="Arial" w:eastAsia="Arial" w:hAnsi="Arial"/>
          <w:sz w:val="16"/>
          <w:szCs w:val="16"/>
          <w:color w:val="auto"/>
        </w:rPr>
        <w:t>Product design and development expenses consist primarily of salaries,</w:t>
      </w:r>
      <w:r>
        <w:rPr>
          <w:rFonts w:ascii="Arial" w:cs="Arial" w:eastAsia="Arial" w:hAnsi="Arial"/>
          <w:sz w:val="16"/>
          <w:szCs w:val="16"/>
          <w:i w:val="1"/>
          <w:iCs w:val="1"/>
          <w:color w:val="auto"/>
        </w:rPr>
        <w:t xml:space="preserve"> </w:t>
      </w:r>
      <w:r>
        <w:rPr>
          <w:rFonts w:ascii="Arial" w:cs="Arial" w:eastAsia="Arial" w:hAnsi="Arial"/>
          <w:sz w:val="16"/>
          <w:szCs w:val="16"/>
          <w:color w:val="auto"/>
        </w:rPr>
        <w:t>other employee-related costs, facilities and equipment related costs, and supplies. Product design and development expenses decreased to $1.5 million for the three months ended February 1, 2003 compared to $1.9 million for the same period in fiscal year 2002. Product design and development expenses decreased 1.5% to $5.1 million for the nine months ended February 1, 2003 as compared to $5.3 million for the nine months ended January 26, 2002. Product design and development declined to 4.0% as a percent of net sales from 6.1% of net sales for the third quarter of fiscal year 2003 as compared to the third quarter of fiscal year 2002. For the nine months ended February 1, 2003, product design and development expenses were 3.9% of net sales as compared to 4.7% of net sales for the nine months ended January 26, 2002.</w:t>
      </w:r>
    </w:p>
    <w:p>
      <w:pPr>
        <w:spacing w:after="0" w:line="174" w:lineRule="exact"/>
        <w:rPr>
          <w:sz w:val="20"/>
          <w:szCs w:val="20"/>
          <w:color w:val="auto"/>
        </w:rPr>
      </w:pPr>
    </w:p>
    <w:p>
      <w:pPr>
        <w:ind w:right="2179" w:firstLine="351"/>
        <w:spacing w:after="0" w:line="254" w:lineRule="auto"/>
        <w:rPr>
          <w:sz w:val="20"/>
          <w:szCs w:val="20"/>
          <w:color w:val="auto"/>
        </w:rPr>
      </w:pPr>
      <w:r>
        <w:rPr>
          <w:rFonts w:ascii="Arial" w:cs="Arial" w:eastAsia="Arial" w:hAnsi="Arial"/>
          <w:sz w:val="18"/>
          <w:szCs w:val="18"/>
          <w:color w:val="auto"/>
        </w:rPr>
        <w:t>Generally, product design and development expenses increase during times when the Company’s engineering personnel are not as involved in long-term contracts, as the same personnel who work on research and development also work on long-term contracts. The Company expects that product design and development expenses will approximate 4.0% of net sales on an annual basis. Product design and development costs during the quarter focused on projects associated with control systems, software development and various video display technology enhancements.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w:t>
      </w:r>
    </w:p>
    <w:p>
      <w:pPr>
        <w:spacing w:after="0" w:line="312" w:lineRule="exact"/>
        <w:rPr>
          <w:sz w:val="20"/>
          <w:szCs w:val="20"/>
          <w:color w:val="auto"/>
        </w:rPr>
      </w:pPr>
    </w:p>
    <w:p>
      <w:pPr>
        <w:ind w:right="2179" w:firstLine="348"/>
        <w:spacing w:after="0" w:line="335" w:lineRule="auto"/>
        <w:rPr>
          <w:sz w:val="20"/>
          <w:szCs w:val="20"/>
          <w:color w:val="auto"/>
        </w:rPr>
      </w:pPr>
      <w:r>
        <w:rPr>
          <w:rFonts w:ascii="Arial" w:cs="Arial" w:eastAsia="Arial" w:hAnsi="Arial"/>
          <w:sz w:val="15"/>
          <w:szCs w:val="15"/>
          <w:color w:val="auto"/>
        </w:rPr>
        <w:t>The Company occasionally sells products on an installment basis or in exchange for the rights to sell and retain advertising revenues from the scoreboard or display, both of which result in long-term receivables. Interest income resulting from these long-term receivables decreased 8.5% to $0.18 million for the quarter ended February</w:t>
      </w:r>
    </w:p>
    <w:p>
      <w:pPr>
        <w:sectPr>
          <w:pgSz w:w="11900" w:h="16855" w:orient="portrait"/>
          <w:cols w:equalWidth="0" w:num="1">
            <w:col w:w="10219"/>
          </w:cols>
          <w:pgMar w:left="240" w:top="131" w:right="1440" w:bottom="0" w:gutter="0" w:footer="0" w:header="0"/>
        </w:sectPr>
      </w:pPr>
    </w:p>
    <w:bookmarkStart w:id="13" w:name="page14"/>
    <w:bookmarkEnd w:id="13"/>
    <w:p>
      <w:pPr>
        <w:ind w:right="2259"/>
        <w:spacing w:after="0" w:line="256" w:lineRule="auto"/>
        <w:rPr>
          <w:sz w:val="20"/>
          <w:szCs w:val="20"/>
          <w:color w:val="auto"/>
        </w:rPr>
      </w:pPr>
      <w:r>
        <w:rPr>
          <w:rFonts w:ascii="Arial" w:cs="Arial" w:eastAsia="Arial" w:hAnsi="Arial"/>
          <w:sz w:val="18"/>
          <w:szCs w:val="18"/>
          <w:color w:val="auto"/>
        </w:rPr>
        <w:t>1, 2003 as compared to $0.2 million for the third quarter of fiscal year 2002. For the nine months ended February 1, 2003, interest income declined 8.7% to $0.5 million from $0.6 million for the nine months ended January 26, 2002. The decline for both periods of time was the result of lower average levels of long-term receivables outstanding during the respective periods.</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312" w:lineRule="exact"/>
        <w:rPr>
          <w:sz w:val="20"/>
          <w:szCs w:val="20"/>
          <w:color w:val="auto"/>
        </w:rPr>
      </w:pPr>
    </w:p>
    <w:p>
      <w:pPr>
        <w:ind w:right="2199" w:firstLine="351"/>
        <w:spacing w:after="0" w:line="291" w:lineRule="auto"/>
        <w:rPr>
          <w:sz w:val="20"/>
          <w:szCs w:val="20"/>
          <w:color w:val="auto"/>
        </w:rPr>
      </w:pPr>
      <w:r>
        <w:rPr>
          <w:rFonts w:ascii="Arial" w:cs="Arial" w:eastAsia="Arial" w:hAnsi="Arial"/>
          <w:sz w:val="16"/>
          <w:szCs w:val="16"/>
          <w:color w:val="auto"/>
        </w:rPr>
        <w:t>Interest expense is comprised primarily of interest costs on the Company’s notes payable and long-term debt. Interest expense decreased 46.0% to $0.20 million for the three months ended February 1, 2003 as compared to $0.36 million for the three months ended January 26, 2002. For the nine months ended February 1, 2003, interest expense declined 43.9% to $0.68 million from $1.2 million for the nine months ended January 26, 2002. The decrease for both the nine months and the quarter was due to the reduction of debt outstanding under the Company’s line of credit and decreases in average long-term debt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469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299" w:lineRule="exact"/>
        <w:rPr>
          <w:sz w:val="20"/>
          <w:szCs w:val="20"/>
          <w:color w:val="auto"/>
        </w:rPr>
      </w:pPr>
    </w:p>
    <w:p>
      <w:pPr>
        <w:ind w:right="2119" w:firstLine="351"/>
        <w:spacing w:after="0" w:line="290" w:lineRule="auto"/>
        <w:rPr>
          <w:sz w:val="20"/>
          <w:szCs w:val="20"/>
          <w:color w:val="auto"/>
        </w:rPr>
      </w:pPr>
      <w:r>
        <w:rPr>
          <w:rFonts w:ascii="Arial" w:cs="Arial" w:eastAsia="Arial" w:hAnsi="Arial"/>
          <w:sz w:val="16"/>
          <w:szCs w:val="16"/>
          <w:color w:val="auto"/>
        </w:rPr>
        <w:t>Other income (expense) increased from ($0.11) million to $0.06 million for the third quarter of fiscal year 2003 as compared to the third quarter of fiscal year 2002. It also increased to $0.32 million for the first nine months of fiscal year 2003 as compared to ($0.04) in the first nine months of fiscal year 2002. This increase for the nine months was the result of gains realized on the sale of the rental equipment used by the Company’s video display rental subsidiary. Offsetting that gain was a partial write-down of the carrying value of the Company’s investment in a business which markets and partially manufactures products on behalf of the Company in Malaysia due to the effects of the economic conditions there and the performance of that business.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99" w:lineRule="exact"/>
        <w:rPr>
          <w:sz w:val="20"/>
          <w:szCs w:val="20"/>
          <w:color w:val="auto"/>
        </w:rPr>
      </w:pPr>
    </w:p>
    <w:p>
      <w:pPr>
        <w:ind w:right="2119" w:firstLine="348"/>
        <w:spacing w:after="0" w:line="259" w:lineRule="auto"/>
        <w:rPr>
          <w:sz w:val="20"/>
          <w:szCs w:val="20"/>
          <w:color w:val="auto"/>
        </w:rPr>
      </w:pPr>
      <w:r>
        <w:rPr>
          <w:rFonts w:ascii="Arial" w:cs="Arial" w:eastAsia="Arial" w:hAnsi="Arial"/>
          <w:sz w:val="18"/>
          <w:szCs w:val="18"/>
          <w:color w:val="auto"/>
        </w:rPr>
        <w:t>Working capital was $37.5 million at February 1, 2003 and $28.4 million at April 27, 2002. The Company has historically financed working capital needs through a combination of cash flow from operations and borrowings under bank credit agreements.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Cash provided by operations for the nine months ended February 1, 2003 was $14.1 million. Net income of</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$9.0 million plus depreciation and amortization of $4.4 million, an increase in accounts payable, accrued expenses,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income taxes payable and a decrease in accounts receivable and long term receivables, was offset by an increase in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costs and estimated earnings in excess of billings and an increase in inventory. Cash used by investing activities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consisted of $4.0 million of purchases of property and equipment as described below. Cash used by financing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activities included $1.6 million in proceeds from refinancing certain debt at lower interest rates, and $0.4 million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proceeds from the exercise of stock options, offset by $4.5 million used to pay down the Company’s long-term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debt including the portion refinanced.</w:t>
      </w:r>
    </w:p>
    <w:p>
      <w:pPr>
        <w:spacing w:after="0" w:line="219" w:lineRule="exact"/>
        <w:rPr>
          <w:sz w:val="20"/>
          <w:szCs w:val="20"/>
          <w:color w:val="auto"/>
        </w:rPr>
      </w:pPr>
    </w:p>
    <w:p>
      <w:pPr>
        <w:ind w:right="2159" w:firstLine="348"/>
        <w:spacing w:after="0" w:line="255" w:lineRule="auto"/>
        <w:rPr>
          <w:sz w:val="20"/>
          <w:szCs w:val="20"/>
          <w:color w:val="auto"/>
        </w:rPr>
      </w:pPr>
      <w:r>
        <w:rPr>
          <w:rFonts w:ascii="Arial" w:cs="Arial" w:eastAsia="Arial" w:hAnsi="Arial"/>
          <w:sz w:val="18"/>
          <w:szCs w:val="18"/>
          <w:color w:val="auto"/>
        </w:rPr>
        <w:t>The increase in billings in excess of costs and estimated earnings and the decline in accounts receivable resulted from the higher level of sales, occurring late in the quarter. Included in accounts receivable as of February 1, 2003, was approximately $0.1 million of retainage on long-term contracts, all of which is expected to be collected within one year. Accounts payable increased as a result of the growth in net sales as the Company purchased more raw materials during the quarter.</w:t>
      </w:r>
    </w:p>
    <w:p>
      <w:pPr>
        <w:spacing w:after="0" w:line="197" w:lineRule="exact"/>
        <w:rPr>
          <w:sz w:val="20"/>
          <w:szCs w:val="20"/>
          <w:color w:val="auto"/>
        </w:rPr>
      </w:pPr>
    </w:p>
    <w:p>
      <w:pPr>
        <w:ind w:right="2119" w:firstLine="351"/>
        <w:spacing w:after="0" w:line="294" w:lineRule="auto"/>
        <w:rPr>
          <w:sz w:val="20"/>
          <w:szCs w:val="20"/>
          <w:color w:val="auto"/>
        </w:rPr>
      </w:pPr>
      <w:r>
        <w:rPr>
          <w:rFonts w:ascii="Arial" w:cs="Arial" w:eastAsia="Arial" w:hAnsi="Arial"/>
          <w:sz w:val="16"/>
          <w:szCs w:val="16"/>
          <w:color w:val="auto"/>
        </w:rPr>
        <w:t>During the nine months ended February 1, 2003, the Company invested approximately $0.4 million in equipment to be used as demonstration equipment, approximately $0.8 million in rental equipment for primarily its video display rental subsidiary approximately $1.0 million on information systems hardware and software, $0.9 million in manufacturing equipment and various other items, including vehicles and building improvements. These purchases were made to support the Company’s continued growth and to replace obsolete equipment.</w:t>
      </w:r>
    </w:p>
    <w:p>
      <w:pPr>
        <w:spacing w:after="0" w:line="170" w:lineRule="exact"/>
        <w:rPr>
          <w:sz w:val="20"/>
          <w:szCs w:val="20"/>
          <w:color w:val="auto"/>
        </w:rPr>
      </w:pPr>
    </w:p>
    <w:p>
      <w:pPr>
        <w:ind w:right="2339" w:firstLine="348"/>
        <w:spacing w:after="0" w:line="291" w:lineRule="auto"/>
        <w:rPr>
          <w:sz w:val="20"/>
          <w:szCs w:val="20"/>
          <w:color w:val="auto"/>
        </w:rPr>
      </w:pPr>
      <w:r>
        <w:rPr>
          <w:rFonts w:ascii="Arial" w:cs="Arial" w:eastAsia="Arial" w:hAnsi="Arial"/>
          <w:sz w:val="16"/>
          <w:szCs w:val="16"/>
          <w:color w:val="auto"/>
        </w:rPr>
        <w:t>The Company has used and expects to continue to use cash reserves and bank borrowings to meet its short-term working capital requirements. On large product orders, the time between acceptance and completion may extend up to 18 months depending on the amount of custom work and the customer’s delivery needs. The Company often receives a down payment or progress payments on these product orders. To the extent that these payments are not sufficient to fund the costs and other expenses associated with these orders, the Company uses working capital and bank borrowings to finance these cash requirements.</w:t>
      </w:r>
    </w:p>
    <w:p>
      <w:pPr>
        <w:spacing w:after="0" w:line="174" w:lineRule="exact"/>
        <w:rPr>
          <w:sz w:val="20"/>
          <w:szCs w:val="20"/>
          <w:color w:val="auto"/>
        </w:rPr>
      </w:pPr>
    </w:p>
    <w:p>
      <w:pPr>
        <w:ind w:right="2319" w:firstLine="348"/>
        <w:spacing w:after="0" w:line="291" w:lineRule="auto"/>
        <w:rPr>
          <w:sz w:val="20"/>
          <w:szCs w:val="20"/>
          <w:color w:val="auto"/>
        </w:rPr>
      </w:pPr>
      <w:r>
        <w:rPr>
          <w:rFonts w:ascii="Arial" w:cs="Arial" w:eastAsia="Arial" w:hAnsi="Arial"/>
          <w:sz w:val="16"/>
          <w:szCs w:val="16"/>
          <w:color w:val="auto"/>
        </w:rPr>
        <w:t>The Company’s product development activities include the enhancement of existing products and the development of new products from existing technologies. Product design and development expenses were $1.8 million for the quarter ended February 1, 2003. The Company intends to continue to incur these expenditures to develop new display products using various technologies to offer higher more cost effective and energy efficient displays. The Company also intends to continue developing software applications for its display controllers to enable these products to continue to meet the needs and expectations of the marketplace.</w:t>
      </w:r>
    </w:p>
    <w:p>
      <w:pPr>
        <w:sectPr>
          <w:pgSz w:w="11900" w:h="16838" w:orient="portrait"/>
          <w:cols w:equalWidth="0" w:num="1">
            <w:col w:w="10219"/>
          </w:cols>
          <w:pgMar w:left="240" w:top="131" w:right="1440" w:bottom="461" w:gutter="0" w:footer="0" w:header="0"/>
        </w:sectPr>
      </w:pPr>
    </w:p>
    <w:bookmarkStart w:id="14" w:name="page15"/>
    <w:bookmarkEnd w:id="14"/>
    <w:p>
      <w:pPr>
        <w:ind w:left="398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469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right="2119" w:firstLine="348"/>
        <w:spacing w:after="0" w:line="285" w:lineRule="auto"/>
        <w:rPr>
          <w:sz w:val="20"/>
          <w:szCs w:val="20"/>
          <w:color w:val="auto"/>
        </w:rPr>
      </w:pPr>
      <w:r>
        <w:rPr>
          <w:rFonts w:ascii="Arial" w:cs="Arial" w:eastAsia="Arial" w:hAnsi="Arial"/>
          <w:sz w:val="16"/>
          <w:szCs w:val="16"/>
          <w:color w:val="auto"/>
        </w:rPr>
        <w:t>The Company has a credit agreement with a bank providing for a $20.0 million line of credit, which includes up to $2.0 million for standby letters of credit. The line of credit is at LIBOR rate plus 1.55% (2.89% at February 1, 2003) and is due on October 1, 2004. As of February 1, 2003, no advances had been drawn on the line of credit and the bank had issued no standby letters of credit. The credit agreement is unsecured and requires the Company to meet certain covenants including the maintenance of tangible net worth of at least $40 million, a minimum liquidity ratio, a limit on dividends and distributions, and a minimum adjusted fixed charge coverage ratio. Daktronics Canada, Inc. (formerly Servtrotech, Inc.), the Company’s Canadian subsidiary, has a credit agreement with a bank that provides for a $0.2 million line of credit. The interest rate on the line of credit is equal to 1% above the bank’s prime rate of interest (4.5% at February 1, 2003). As of February 1, 2003, there were no advances outstanding against this line. The line is secured primarily by accounts receivables, inventory and other assets of the subsidiary. SportsLink, Ltd. has a credit agreement with a bank that provides for a $100,000 line of credit. The rate on the line of credit is equal to the bank’s prime rate of interest (4.75% as of February 1, 2003). As of February 1, 2003, no advances were outstanding under the line. The credit agreement is secured by the assets of the subsidiary and is guaranteed by the Company.</w:t>
      </w:r>
    </w:p>
    <w:p>
      <w:pPr>
        <w:spacing w:after="0" w:line="182" w:lineRule="exact"/>
        <w:rPr>
          <w:sz w:val="20"/>
          <w:szCs w:val="20"/>
          <w:color w:val="auto"/>
        </w:rPr>
      </w:pPr>
    </w:p>
    <w:p>
      <w:pPr>
        <w:ind w:right="2159" w:firstLine="348"/>
        <w:spacing w:after="0" w:line="256" w:lineRule="auto"/>
        <w:rPr>
          <w:sz w:val="20"/>
          <w:szCs w:val="20"/>
          <w:color w:val="auto"/>
        </w:rPr>
      </w:pPr>
      <w:r>
        <w:rPr>
          <w:rFonts w:ascii="Arial" w:cs="Arial" w:eastAsia="Arial" w:hAnsi="Arial"/>
          <w:sz w:val="18"/>
          <w:szCs w:val="18"/>
          <w:color w:val="auto"/>
        </w:rPr>
        <w:t>The Company is sometimes required to obtain performance bonds for display installations and currently has a bonding line available through a surety company that provides for an aggregate of $100 million in bonded work outstanding. At February 1, 2003, the Company had approximately $15 million of bonded work outstanding against this line.</w:t>
      </w:r>
    </w:p>
    <w:p>
      <w:pPr>
        <w:spacing w:after="0" w:line="197" w:lineRule="exact"/>
        <w:rPr>
          <w:sz w:val="20"/>
          <w:szCs w:val="20"/>
          <w:color w:val="auto"/>
        </w:rPr>
      </w:pPr>
    </w:p>
    <w:p>
      <w:pPr>
        <w:ind w:right="2359" w:firstLine="348"/>
        <w:spacing w:after="0" w:line="255" w:lineRule="auto"/>
        <w:rPr>
          <w:sz w:val="20"/>
          <w:szCs w:val="20"/>
          <w:color w:val="auto"/>
        </w:rPr>
      </w:pPr>
      <w:r>
        <w:rPr>
          <w:rFonts w:ascii="Arial" w:cs="Arial" w:eastAsia="Arial" w:hAnsi="Arial"/>
          <w:sz w:val="18"/>
          <w:szCs w:val="18"/>
          <w:color w:val="auto"/>
        </w:rPr>
        <w:t>The Company believes that if its growth continues, it may need to increase the amount of its credit facility. The Company anticipates that it will be able to obtain any needed funds under commercially reasonable terms from its current lender. The Company believes that cash from operations, from its existing or increased credit facility, and its current working capital will be adequate to meet the cash requirements of its operations in the foreseeable future.</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RATES</w:t>
      </w:r>
    </w:p>
    <w:p>
      <w:pPr>
        <w:spacing w:after="0" w:line="299" w:lineRule="exact"/>
        <w:rPr>
          <w:sz w:val="20"/>
          <w:szCs w:val="20"/>
          <w:color w:val="auto"/>
        </w:rPr>
      </w:pPr>
    </w:p>
    <w:p>
      <w:pPr>
        <w:ind w:right="2119" w:firstLine="348"/>
        <w:spacing w:after="0" w:line="286" w:lineRule="auto"/>
        <w:rPr>
          <w:sz w:val="20"/>
          <w:szCs w:val="20"/>
          <w:color w:val="auto"/>
        </w:rPr>
      </w:pPr>
      <w:r>
        <w:rPr>
          <w:rFonts w:ascii="Arial" w:cs="Arial" w:eastAsia="Arial" w:hAnsi="Arial"/>
          <w:sz w:val="16"/>
          <w:szCs w:val="16"/>
          <w:color w:val="auto"/>
        </w:rPr>
        <w:t>Through February 1, 2003 substantially all of the Company’s net sales were denominated in United States dollars, and its exposure to foreign currency exchange rate changes has been immaterial. Net sales originating outside the United States through February 1, 2003, were 4.2% of total net sales. It is expected that in the future net sales to international markets may increase as a percentage of net sales; however, the Company does not expect that such increases will be denominated in foreign currencies. As a result, operating results are not expected to become subject to significant fluctuations based upon changes in the exchange rates of certain currencies in relation to the United States dollar. However, to the extent that the Company engages in international sales denominated in United States dollars, an increase in the value of the United States dollar relative to foreign currencies could make the Company’s products less competitive in international markets. Although the Company will continue to monitor and minimize its exposure to currency fluctuations, and, when appropriate, may use financial hedging techniques in the future to minimize the effect of these fluctuations, exchange rate fluctuations as well as differing economic conditions, changes in political climates, differing tax structures and other rules and regulations could adversely affect the Company’s financial results in the future.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RISKS</w:t>
      </w:r>
    </w:p>
    <w:p>
      <w:pPr>
        <w:spacing w:after="0" w:line="299" w:lineRule="exact"/>
        <w:rPr>
          <w:sz w:val="20"/>
          <w:szCs w:val="20"/>
          <w:color w:val="auto"/>
        </w:rPr>
      </w:pPr>
    </w:p>
    <w:p>
      <w:pPr>
        <w:ind w:right="2199" w:firstLine="348"/>
        <w:spacing w:after="0" w:line="253" w:lineRule="auto"/>
        <w:rPr>
          <w:sz w:val="20"/>
          <w:szCs w:val="20"/>
          <w:color w:val="auto"/>
        </w:rPr>
      </w:pPr>
      <w:r>
        <w:rPr>
          <w:rFonts w:ascii="Arial" w:cs="Arial" w:eastAsia="Arial" w:hAnsi="Arial"/>
          <w:sz w:val="18"/>
          <w:szCs w:val="18"/>
          <w:color w:val="auto"/>
        </w:rPr>
        <w:t>The Company’s exposure to market rate risk for changes in interest rates relates primarily to the Company’s debt and long-term accounts receivable. The Company maintains a blend of both fixed and floating rate debt instruments. As of February 1, 2003, the Company’s outstanding debt approximated $9.3 million, substantially all of which was in fixed rate obligations. Each 100 basis point increase or decrease in interest rates would have an insignificant annual effect on variable rate debt interest based on the balances of such debt as of as of February 1, 2003. For fixed rate debt, interest rate changes affects its fair market value, but do not impact earnings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469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right="2219" w:firstLine="351"/>
        <w:spacing w:after="0" w:line="318" w:lineRule="auto"/>
        <w:rPr>
          <w:sz w:val="20"/>
          <w:szCs w:val="20"/>
          <w:color w:val="auto"/>
        </w:rPr>
      </w:pPr>
      <w:r>
        <w:rPr>
          <w:rFonts w:ascii="Arial" w:cs="Arial" w:eastAsia="Arial" w:hAnsi="Arial"/>
          <w:sz w:val="15"/>
          <w:szCs w:val="15"/>
          <w:color w:val="auto"/>
        </w:rPr>
        <w:t>In connection with the sale of certain video displays, scoreboards and message display centers, the Company has entered into long-term sales contracts and sales type leases. The aggregate amounts due from customers include an imputed interest element. The majority of these financings carry fixed rates of interest. As of February 1, 2003, the Company’s outstanding long-term receivables were approximately $6.6 million. Each 25 basis point increase in interest rates would have an associated annual opportunity cost of approximately $0.02 million.</w:t>
      </w:r>
    </w:p>
    <w:p>
      <w:pPr>
        <w:spacing w:after="0" w:line="154" w:lineRule="exact"/>
        <w:rPr>
          <w:sz w:val="20"/>
          <w:szCs w:val="20"/>
          <w:color w:val="auto"/>
        </w:rPr>
      </w:pPr>
    </w:p>
    <w:p>
      <w:pPr>
        <w:ind w:right="2159" w:firstLine="348"/>
        <w:spacing w:after="0" w:line="256" w:lineRule="auto"/>
        <w:rPr>
          <w:sz w:val="20"/>
          <w:szCs w:val="20"/>
          <w:color w:val="auto"/>
        </w:rPr>
      </w:pPr>
      <w:r>
        <w:rPr>
          <w:rFonts w:ascii="Arial" w:cs="Arial" w:eastAsia="Arial" w:hAnsi="Arial"/>
          <w:sz w:val="18"/>
          <w:szCs w:val="18"/>
          <w:color w:val="auto"/>
        </w:rPr>
        <w:t>The following table provides information about the Company’s financial instruments that are sensitive to changes in interest rates, including debt obligations for the three quarters ending May 3, 2003, and the fiscal years following fiscal year 2003. Weighted average variable interest rates are based on implied forward rates in the yield curve at the reporting date.</w:t>
      </w:r>
    </w:p>
    <w:p>
      <w:pPr>
        <w:sectPr>
          <w:pgSz w:w="11900" w:h="16838" w:orient="portrait"/>
          <w:cols w:equalWidth="0" w:num="1">
            <w:col w:w="10219"/>
          </w:cols>
          <w:pgMar w:left="240" w:top="131" w:right="1440" w:bottom="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60" w:type="dxa"/>
            <w:vAlign w:val="bottom"/>
            <w:gridSpan w:val="11"/>
          </w:tcPr>
          <w:p>
            <w:pPr>
              <w:jc w:val="center"/>
              <w:ind w:right="60"/>
              <w:spacing w:after="0"/>
              <w:rPr>
                <w:sz w:val="20"/>
                <w:szCs w:val="20"/>
                <w:color w:val="auto"/>
              </w:rPr>
            </w:pPr>
            <w:r>
              <w:rPr>
                <w:rFonts w:ascii="Arial" w:cs="Arial" w:eastAsia="Arial" w:hAnsi="Arial"/>
                <w:sz w:val="14"/>
                <w:szCs w:val="14"/>
                <w:b w:val="1"/>
                <w:bCs w:val="1"/>
                <w:color w:val="auto"/>
                <w:w w:val="89"/>
              </w:rPr>
              <w:t>Principal (Notional) Amount by Expected Maturity</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(in thousands)</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80" w:type="dxa"/>
            <w:vAlign w:val="bottom"/>
            <w:gridSpan w:val="5"/>
          </w:tcPr>
          <w:p>
            <w:pPr>
              <w:jc w:val="center"/>
              <w:spacing w:after="0"/>
              <w:rPr>
                <w:sz w:val="20"/>
                <w:szCs w:val="20"/>
                <w:color w:val="auto"/>
              </w:rPr>
            </w:pPr>
            <w:r>
              <w:rPr>
                <w:rFonts w:ascii="Arial" w:cs="Arial" w:eastAsia="Arial" w:hAnsi="Arial"/>
                <w:sz w:val="14"/>
                <w:szCs w:val="14"/>
                <w:b w:val="1"/>
                <w:bCs w:val="1"/>
                <w:color w:val="auto"/>
                <w:w w:val="87"/>
              </w:rPr>
              <w:t>Fiscal Year Ending</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0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66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rPr>
              <w:t>There-</w:t>
            </w:r>
          </w:p>
        </w:tc>
        <w:tc>
          <w:tcPr>
            <w:tcW w:w="0" w:type="dxa"/>
            <w:vAlign w:val="bottom"/>
          </w:tcPr>
          <w:p>
            <w:pPr>
              <w:spacing w:after="0"/>
              <w:rPr>
                <w:sz w:val="1"/>
                <w:szCs w:val="1"/>
                <w:color w:val="auto"/>
              </w:rPr>
            </w:pPr>
          </w:p>
        </w:tc>
      </w:tr>
      <w:tr>
        <w:trPr>
          <w:trHeight w:val="89"/>
        </w:trPr>
        <w:tc>
          <w:tcPr>
            <w:tcW w:w="30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3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ind w:right="75"/>
              <w:spacing w:after="0"/>
              <w:rPr>
                <w:sz w:val="20"/>
                <w:szCs w:val="20"/>
                <w:color w:val="auto"/>
              </w:rPr>
            </w:pPr>
            <w:r>
              <w:rPr>
                <w:rFonts w:ascii="Arial" w:cs="Arial" w:eastAsia="Arial" w:hAnsi="Arial"/>
                <w:sz w:val="14"/>
                <w:szCs w:val="14"/>
                <w:b w:val="1"/>
                <w:bCs w:val="1"/>
                <w:color w:val="auto"/>
              </w:rPr>
              <w:t>2003</w:t>
            </w:r>
          </w:p>
        </w:tc>
        <w:tc>
          <w:tcPr>
            <w:tcW w:w="9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2004</w:t>
            </w:r>
          </w:p>
        </w:tc>
        <w:tc>
          <w:tcPr>
            <w:tcW w:w="1020" w:type="dxa"/>
            <w:vAlign w:val="bottom"/>
            <w:gridSpan w:val="3"/>
          </w:tcPr>
          <w:p>
            <w:pPr>
              <w:jc w:val="center"/>
              <w:ind w:left="79"/>
              <w:spacing w:after="0"/>
              <w:rPr>
                <w:sz w:val="20"/>
                <w:szCs w:val="20"/>
                <w:color w:val="auto"/>
              </w:rPr>
            </w:pPr>
            <w:r>
              <w:rPr>
                <w:rFonts w:ascii="Arial" w:cs="Arial" w:eastAsia="Arial" w:hAnsi="Arial"/>
                <w:sz w:val="14"/>
                <w:szCs w:val="14"/>
                <w:b w:val="1"/>
                <w:bCs w:val="1"/>
                <w:color w:val="auto"/>
                <w:w w:val="83"/>
              </w:rPr>
              <w:t>2005</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216"/>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jc w:val="right"/>
              <w:ind w:right="116"/>
              <w:spacing w:after="0"/>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jc w:val="right"/>
              <w:ind w:right="112"/>
              <w:spacing w:after="0"/>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95"/>
        </w:trPr>
        <w:tc>
          <w:tcPr>
            <w:tcW w:w="30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310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Long-term receivables, including</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2"/>
          </w:tcPr>
          <w:p>
            <w:pPr>
              <w:ind w:left="140"/>
              <w:spacing w:after="0"/>
              <w:rPr>
                <w:sz w:val="20"/>
                <w:szCs w:val="20"/>
                <w:color w:val="auto"/>
              </w:rPr>
            </w:pPr>
            <w:r>
              <w:rPr>
                <w:rFonts w:ascii="Arial" w:cs="Arial" w:eastAsia="Arial" w:hAnsi="Arial"/>
                <w:sz w:val="18"/>
                <w:szCs w:val="18"/>
                <w:color w:val="auto"/>
              </w:rPr>
              <w:t>current portion:</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2"/>
          </w:tcPr>
          <w:p>
            <w:pPr>
              <w:ind w:left="140"/>
              <w:spacing w:after="0"/>
              <w:rPr>
                <w:sz w:val="20"/>
                <w:szCs w:val="20"/>
                <w:color w:val="auto"/>
              </w:rPr>
            </w:pPr>
            <w:r>
              <w:rPr>
                <w:rFonts w:ascii="Arial" w:cs="Arial" w:eastAsia="Arial" w:hAnsi="Arial"/>
                <w:sz w:val="18"/>
                <w:szCs w:val="18"/>
                <w:color w:val="auto"/>
              </w:rPr>
              <w:t>Fixed rate</w:t>
            </w:r>
          </w:p>
        </w:tc>
        <w:tc>
          <w:tcPr>
            <w:tcW w:w="640" w:type="dxa"/>
            <w:vAlign w:val="bottom"/>
          </w:tcPr>
          <w:p>
            <w:pPr>
              <w:jc w:val="right"/>
              <w:ind w:right="75"/>
              <w:spacing w:after="0"/>
              <w:rPr>
                <w:sz w:val="20"/>
                <w:szCs w:val="20"/>
                <w:color w:val="auto"/>
              </w:rPr>
            </w:pPr>
            <w:r>
              <w:rPr>
                <w:rFonts w:ascii="Arial" w:cs="Arial" w:eastAsia="Arial" w:hAnsi="Arial"/>
                <w:sz w:val="18"/>
                <w:szCs w:val="18"/>
                <w:color w:val="auto"/>
              </w:rPr>
              <w:t>753</w:t>
            </w: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1,434</w:t>
            </w:r>
          </w:p>
        </w:tc>
        <w:tc>
          <w:tcPr>
            <w:tcW w:w="1020" w:type="dxa"/>
            <w:vAlign w:val="bottom"/>
            <w:gridSpan w:val="3"/>
          </w:tcPr>
          <w:p>
            <w:pPr>
              <w:jc w:val="right"/>
              <w:ind w:right="232"/>
              <w:spacing w:after="0"/>
              <w:rPr>
                <w:sz w:val="20"/>
                <w:szCs w:val="20"/>
                <w:color w:val="auto"/>
              </w:rPr>
            </w:pPr>
            <w:r>
              <w:rPr>
                <w:rFonts w:ascii="Arial" w:cs="Arial" w:eastAsia="Arial" w:hAnsi="Arial"/>
                <w:sz w:val="18"/>
                <w:szCs w:val="18"/>
                <w:color w:val="auto"/>
              </w:rPr>
              <w:t>1,195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ind w:right="236"/>
              <w:spacing w:after="0"/>
              <w:rPr>
                <w:sz w:val="20"/>
                <w:szCs w:val="20"/>
                <w:color w:val="auto"/>
              </w:rPr>
            </w:pPr>
            <w:r>
              <w:rPr>
                <w:rFonts w:ascii="Arial" w:cs="Arial" w:eastAsia="Arial" w:hAnsi="Arial"/>
                <w:sz w:val="18"/>
                <w:szCs w:val="18"/>
                <w:color w:val="auto"/>
                <w:w w:val="88"/>
              </w:rPr>
              <w:t>1,027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ind w:right="136"/>
              <w:spacing w:after="0"/>
              <w:rPr>
                <w:sz w:val="20"/>
                <w:szCs w:val="20"/>
                <w:color w:val="auto"/>
              </w:rPr>
            </w:pPr>
            <w:r>
              <w:rPr>
                <w:rFonts w:ascii="Arial" w:cs="Arial" w:eastAsia="Arial" w:hAnsi="Arial"/>
                <w:sz w:val="18"/>
                <w:szCs w:val="18"/>
                <w:color w:val="auto"/>
              </w:rPr>
              <w:t>710</w:t>
            </w:r>
          </w:p>
        </w:tc>
        <w:tc>
          <w:tcPr>
            <w:tcW w:w="760" w:type="dxa"/>
            <w:vAlign w:val="bottom"/>
            <w:gridSpan w:val="3"/>
          </w:tcPr>
          <w:p>
            <w:pPr>
              <w:jc w:val="right"/>
              <w:ind w:right="112"/>
              <w:spacing w:after="0"/>
              <w:rPr>
                <w:sz w:val="20"/>
                <w:szCs w:val="20"/>
                <w:color w:val="auto"/>
              </w:rPr>
            </w:pPr>
            <w:r>
              <w:rPr>
                <w:rFonts w:ascii="Arial" w:cs="Arial" w:eastAsia="Arial" w:hAnsi="Arial"/>
                <w:sz w:val="18"/>
                <w:szCs w:val="18"/>
                <w:color w:val="auto"/>
              </w:rPr>
              <w:t>1,478</w:t>
            </w:r>
          </w:p>
        </w:tc>
        <w:tc>
          <w:tcPr>
            <w:tcW w:w="0" w:type="dxa"/>
            <w:vAlign w:val="bottom"/>
          </w:tcPr>
          <w:p>
            <w:pPr>
              <w:spacing w:after="0"/>
              <w:rPr>
                <w:sz w:val="1"/>
                <w:szCs w:val="1"/>
                <w:color w:val="auto"/>
              </w:rPr>
            </w:pPr>
          </w:p>
        </w:tc>
      </w:tr>
      <w:tr>
        <w:trPr>
          <w:trHeight w:val="210"/>
        </w:trPr>
        <w:tc>
          <w:tcPr>
            <w:tcW w:w="3100" w:type="dxa"/>
            <w:vAlign w:val="bottom"/>
            <w:gridSpan w:val="2"/>
          </w:tcPr>
          <w:p>
            <w:pPr>
              <w:ind w:left="180"/>
              <w:spacing w:after="0"/>
              <w:rPr>
                <w:sz w:val="20"/>
                <w:szCs w:val="20"/>
                <w:color w:val="auto"/>
              </w:rPr>
            </w:pPr>
            <w:r>
              <w:rPr>
                <w:rFonts w:ascii="Arial" w:cs="Arial" w:eastAsia="Arial" w:hAnsi="Arial"/>
                <w:sz w:val="18"/>
                <w:szCs w:val="18"/>
                <w:color w:val="auto"/>
              </w:rPr>
              <w:t>Average interest rate</w:t>
            </w:r>
          </w:p>
        </w:tc>
        <w:tc>
          <w:tcPr>
            <w:tcW w:w="640" w:type="dxa"/>
            <w:vAlign w:val="bottom"/>
          </w:tcPr>
          <w:p>
            <w:pPr>
              <w:jc w:val="right"/>
              <w:spacing w:after="0"/>
              <w:rPr>
                <w:sz w:val="20"/>
                <w:szCs w:val="20"/>
                <w:color w:val="auto"/>
              </w:rPr>
            </w:pPr>
            <w:r>
              <w:rPr>
                <w:rFonts w:ascii="Arial" w:cs="Arial" w:eastAsia="Arial" w:hAnsi="Arial"/>
                <w:sz w:val="18"/>
                <w:szCs w:val="18"/>
                <w:color w:val="auto"/>
              </w:rPr>
              <w:t>6.4%</w:t>
            </w: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7.7%</w:t>
            </w:r>
          </w:p>
        </w:tc>
        <w:tc>
          <w:tcPr>
            <w:tcW w:w="1020" w:type="dxa"/>
            <w:vAlign w:val="bottom"/>
            <w:gridSpan w:val="3"/>
          </w:tcPr>
          <w:p>
            <w:pPr>
              <w:jc w:val="right"/>
              <w:ind w:right="92"/>
              <w:spacing w:after="0"/>
              <w:rPr>
                <w:sz w:val="20"/>
                <w:szCs w:val="20"/>
                <w:color w:val="auto"/>
              </w:rPr>
            </w:pPr>
            <w:r>
              <w:rPr>
                <w:rFonts w:ascii="Arial" w:cs="Arial" w:eastAsia="Arial" w:hAnsi="Arial"/>
                <w:sz w:val="18"/>
                <w:szCs w:val="18"/>
                <w:color w:val="auto"/>
              </w:rPr>
              <w:t>9.5%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ind w:right="76"/>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9.2%</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2"/>
        </w:trPr>
        <w:tc>
          <w:tcPr>
            <w:tcW w:w="310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Long and short term debt:</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2"/>
          </w:tcPr>
          <w:p>
            <w:pPr>
              <w:ind w:left="140"/>
              <w:spacing w:after="0"/>
              <w:rPr>
                <w:sz w:val="20"/>
                <w:szCs w:val="20"/>
                <w:color w:val="auto"/>
              </w:rPr>
            </w:pPr>
            <w:r>
              <w:rPr>
                <w:rFonts w:ascii="Arial" w:cs="Arial" w:eastAsia="Arial" w:hAnsi="Arial"/>
                <w:sz w:val="18"/>
                <w:szCs w:val="18"/>
                <w:color w:val="auto"/>
              </w:rPr>
              <w:t>Fixed rate</w:t>
            </w:r>
          </w:p>
        </w:tc>
        <w:tc>
          <w:tcPr>
            <w:tcW w:w="640" w:type="dxa"/>
            <w:vAlign w:val="bottom"/>
          </w:tcPr>
          <w:p>
            <w:pPr>
              <w:jc w:val="right"/>
              <w:ind w:right="75"/>
              <w:spacing w:after="0"/>
              <w:rPr>
                <w:sz w:val="20"/>
                <w:szCs w:val="20"/>
                <w:color w:val="auto"/>
              </w:rPr>
            </w:pPr>
            <w:r>
              <w:rPr>
                <w:rFonts w:ascii="Arial" w:cs="Arial" w:eastAsia="Arial" w:hAnsi="Arial"/>
                <w:sz w:val="18"/>
                <w:szCs w:val="18"/>
                <w:color w:val="auto"/>
              </w:rPr>
              <w:t>735</w:t>
            </w: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3,262</w:t>
            </w:r>
          </w:p>
        </w:tc>
        <w:tc>
          <w:tcPr>
            <w:tcW w:w="1020" w:type="dxa"/>
            <w:vAlign w:val="bottom"/>
            <w:gridSpan w:val="3"/>
          </w:tcPr>
          <w:p>
            <w:pPr>
              <w:jc w:val="right"/>
              <w:ind w:right="232"/>
              <w:spacing w:after="0"/>
              <w:rPr>
                <w:sz w:val="20"/>
                <w:szCs w:val="20"/>
                <w:color w:val="auto"/>
              </w:rPr>
            </w:pPr>
            <w:r>
              <w:rPr>
                <w:rFonts w:ascii="Arial" w:cs="Arial" w:eastAsia="Arial" w:hAnsi="Arial"/>
                <w:sz w:val="18"/>
                <w:szCs w:val="18"/>
                <w:color w:val="auto"/>
              </w:rPr>
              <w:t>1,498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ind w:right="236"/>
              <w:spacing w:after="0"/>
              <w:rPr>
                <w:sz w:val="20"/>
                <w:szCs w:val="20"/>
                <w:color w:val="auto"/>
              </w:rPr>
            </w:pPr>
            <w:r>
              <w:rPr>
                <w:rFonts w:ascii="Arial" w:cs="Arial" w:eastAsia="Arial" w:hAnsi="Arial"/>
                <w:sz w:val="18"/>
                <w:szCs w:val="18"/>
                <w:color w:val="auto"/>
                <w:w w:val="88"/>
              </w:rPr>
              <w:t>3,407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ind w:right="136"/>
              <w:spacing w:after="0"/>
              <w:rPr>
                <w:sz w:val="20"/>
                <w:szCs w:val="20"/>
                <w:color w:val="auto"/>
              </w:rPr>
            </w:pPr>
            <w:r>
              <w:rPr>
                <w:rFonts w:ascii="Arial" w:cs="Arial" w:eastAsia="Arial" w:hAnsi="Arial"/>
                <w:sz w:val="18"/>
                <w:szCs w:val="18"/>
                <w:color w:val="auto"/>
              </w:rPr>
              <w:t>323</w:t>
            </w:r>
          </w:p>
        </w:tc>
        <w:tc>
          <w:tcPr>
            <w:tcW w:w="760" w:type="dxa"/>
            <w:vAlign w:val="bottom"/>
            <w:gridSpan w:val="3"/>
          </w:tcPr>
          <w:p>
            <w:pPr>
              <w:jc w:val="right"/>
              <w:ind w:right="112"/>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3100" w:type="dxa"/>
            <w:vAlign w:val="bottom"/>
            <w:gridSpan w:val="2"/>
          </w:tcPr>
          <w:p>
            <w:pPr>
              <w:ind w:left="180"/>
              <w:spacing w:after="0"/>
              <w:rPr>
                <w:sz w:val="20"/>
                <w:szCs w:val="20"/>
                <w:color w:val="auto"/>
              </w:rPr>
            </w:pPr>
            <w:r>
              <w:rPr>
                <w:rFonts w:ascii="Arial" w:cs="Arial" w:eastAsia="Arial" w:hAnsi="Arial"/>
                <w:sz w:val="18"/>
                <w:szCs w:val="18"/>
                <w:color w:val="auto"/>
              </w:rPr>
              <w:t>Average interest rate</w:t>
            </w:r>
          </w:p>
        </w:tc>
        <w:tc>
          <w:tcPr>
            <w:tcW w:w="640" w:type="dxa"/>
            <w:vAlign w:val="bottom"/>
          </w:tcPr>
          <w:p>
            <w:pPr>
              <w:jc w:val="right"/>
              <w:spacing w:after="0"/>
              <w:rPr>
                <w:sz w:val="20"/>
                <w:szCs w:val="20"/>
                <w:color w:val="auto"/>
              </w:rPr>
            </w:pPr>
            <w:r>
              <w:rPr>
                <w:rFonts w:ascii="Arial" w:cs="Arial" w:eastAsia="Arial" w:hAnsi="Arial"/>
                <w:sz w:val="18"/>
                <w:szCs w:val="18"/>
                <w:color w:val="auto"/>
              </w:rPr>
              <w:t>7.4%</w:t>
            </w: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7.5%</w:t>
            </w:r>
          </w:p>
        </w:tc>
        <w:tc>
          <w:tcPr>
            <w:tcW w:w="1020" w:type="dxa"/>
            <w:vAlign w:val="bottom"/>
            <w:gridSpan w:val="3"/>
          </w:tcPr>
          <w:p>
            <w:pPr>
              <w:jc w:val="right"/>
              <w:ind w:right="92"/>
              <w:spacing w:after="0"/>
              <w:rPr>
                <w:sz w:val="20"/>
                <w:szCs w:val="20"/>
                <w:color w:val="auto"/>
              </w:rPr>
            </w:pPr>
            <w:r>
              <w:rPr>
                <w:rFonts w:ascii="Arial" w:cs="Arial" w:eastAsia="Arial" w:hAnsi="Arial"/>
                <w:sz w:val="18"/>
                <w:szCs w:val="18"/>
                <w:color w:val="auto"/>
              </w:rPr>
              <w:t>8.5%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ind w:right="76"/>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9.1%</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3100" w:type="dxa"/>
            <w:vAlign w:val="bottom"/>
            <w:gridSpan w:val="2"/>
          </w:tcPr>
          <w:p>
            <w:pPr>
              <w:ind w:left="140"/>
              <w:spacing w:after="0"/>
              <w:rPr>
                <w:sz w:val="20"/>
                <w:szCs w:val="20"/>
                <w:color w:val="auto"/>
              </w:rPr>
            </w:pPr>
            <w:r>
              <w:rPr>
                <w:rFonts w:ascii="Arial" w:cs="Arial" w:eastAsia="Arial" w:hAnsi="Arial"/>
                <w:sz w:val="18"/>
                <w:szCs w:val="18"/>
                <w:color w:val="auto"/>
              </w:rPr>
              <w:t>Variable rate</w:t>
            </w:r>
          </w:p>
        </w:tc>
        <w:tc>
          <w:tcPr>
            <w:tcW w:w="640" w:type="dxa"/>
            <w:vAlign w:val="bottom"/>
          </w:tcPr>
          <w:p>
            <w:pPr>
              <w:jc w:val="right"/>
              <w:ind w:right="75"/>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100" w:type="dxa"/>
            <w:vAlign w:val="bottom"/>
            <w:gridSpan w:val="2"/>
          </w:tcPr>
          <w:p>
            <w:pPr>
              <w:ind w:left="180"/>
              <w:spacing w:after="0"/>
              <w:rPr>
                <w:sz w:val="20"/>
                <w:szCs w:val="20"/>
                <w:color w:val="auto"/>
              </w:rPr>
            </w:pPr>
            <w:r>
              <w:rPr>
                <w:rFonts w:ascii="Arial" w:cs="Arial" w:eastAsia="Arial" w:hAnsi="Arial"/>
                <w:sz w:val="18"/>
                <w:szCs w:val="18"/>
                <w:color w:val="auto"/>
              </w:rPr>
              <w:t>Average interest rate</w:t>
            </w:r>
          </w:p>
        </w:tc>
        <w:tc>
          <w:tcPr>
            <w:tcW w:w="640" w:type="dxa"/>
            <w:vAlign w:val="bottom"/>
          </w:tcPr>
          <w:p>
            <w:pPr>
              <w:jc w:val="right"/>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ind w:right="2339" w:firstLine="348"/>
        <w:spacing w:after="0" w:line="268" w:lineRule="auto"/>
        <w:rPr>
          <w:sz w:val="20"/>
          <w:szCs w:val="20"/>
          <w:color w:val="auto"/>
        </w:rPr>
      </w:pPr>
      <w:r>
        <w:rPr>
          <w:rFonts w:ascii="Arial" w:cs="Arial" w:eastAsia="Arial" w:hAnsi="Arial"/>
          <w:sz w:val="18"/>
          <w:szCs w:val="18"/>
          <w:color w:val="auto"/>
        </w:rPr>
        <w:t>The carrying amounts reported on the balance sheet for long-term receivables and long and short-term debt approximates its fair value.</w:t>
      </w:r>
    </w:p>
    <w:p>
      <w:pPr>
        <w:spacing w:after="0" w:line="186" w:lineRule="exact"/>
        <w:rPr>
          <w:sz w:val="20"/>
          <w:szCs w:val="20"/>
          <w:color w:val="auto"/>
        </w:rPr>
      </w:pPr>
    </w:p>
    <w:p>
      <w:pPr>
        <w:ind w:right="2259" w:firstLine="351"/>
        <w:spacing w:after="0" w:line="259" w:lineRule="auto"/>
        <w:rPr>
          <w:sz w:val="20"/>
          <w:szCs w:val="20"/>
          <w:color w:val="auto"/>
        </w:rPr>
      </w:pPr>
      <w:r>
        <w:rPr>
          <w:rFonts w:ascii="Arial" w:cs="Arial" w:eastAsia="Arial" w:hAnsi="Arial"/>
          <w:sz w:val="18"/>
          <w:szCs w:val="18"/>
          <w:color w:val="auto"/>
        </w:rPr>
        <w:t>Substantially all of the Company’s cash balances are denominated in United States dollars. Cash balances in foreign currencies are operating balances maintained in accounts of the Company’s Canadian subsidiary. These balances are immaterial to the Company as a whole.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306"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31" w:lineRule="exact"/>
        <w:rPr>
          <w:sz w:val="20"/>
          <w:szCs w:val="20"/>
          <w:color w:val="auto"/>
        </w:rPr>
      </w:pPr>
    </w:p>
    <w:p>
      <w:pPr>
        <w:ind w:right="2199" w:firstLine="351"/>
        <w:spacing w:after="0" w:line="290" w:lineRule="auto"/>
        <w:rPr>
          <w:sz w:val="20"/>
          <w:szCs w:val="20"/>
          <w:color w:val="auto"/>
        </w:rPr>
      </w:pPr>
      <w:r>
        <w:rPr>
          <w:rFonts w:ascii="Arial" w:cs="Arial" w:eastAsia="Arial" w:hAnsi="Arial"/>
          <w:sz w:val="16"/>
          <w:szCs w:val="16"/>
          <w:i w:val="1"/>
          <w:iCs w:val="1"/>
          <w:color w:val="auto"/>
        </w:rPr>
        <w:t xml:space="preserve">Evaluation of Disclosure Controls and Procedures. </w:t>
      </w:r>
      <w:r>
        <w:rPr>
          <w:rFonts w:ascii="Arial" w:cs="Arial" w:eastAsia="Arial" w:hAnsi="Arial"/>
          <w:sz w:val="16"/>
          <w:szCs w:val="16"/>
          <w:color w:val="auto"/>
        </w:rPr>
        <w:t>The Company’s Chief Executive Officer and Chief</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Officer have evaluated the effectiveness of the Company’s disclosure controls and procedures (as such term is defined in Rules 13a-14(c) and 15d-14(c) under the Exchange Act) as of an evaluation date within 90 days prior to the filing date of this Quarterly Report on Form 10-Q. Based on this evaluation, they have concluded that, as of the evaluation date, the Company’s disclosure controls and procedures are effective in alerting them on a timely basis to material information relating to the Company (including its consolidated subsidiaries) required to be included in its reports filed or submitted under the Exchange Act.</w:t>
      </w:r>
    </w:p>
    <w:p>
      <w:pPr>
        <w:spacing w:after="0" w:line="172" w:lineRule="exact"/>
        <w:rPr>
          <w:sz w:val="20"/>
          <w:szCs w:val="20"/>
          <w:color w:val="auto"/>
        </w:rPr>
      </w:pPr>
    </w:p>
    <w:p>
      <w:pPr>
        <w:ind w:right="2179" w:firstLine="351"/>
        <w:spacing w:after="0" w:line="370" w:lineRule="auto"/>
        <w:rPr>
          <w:sz w:val="20"/>
          <w:szCs w:val="20"/>
          <w:color w:val="auto"/>
        </w:rPr>
      </w:pPr>
      <w:r>
        <w:rPr>
          <w:rFonts w:ascii="Arial" w:cs="Arial" w:eastAsia="Arial" w:hAnsi="Arial"/>
          <w:sz w:val="15"/>
          <w:szCs w:val="15"/>
          <w:i w:val="1"/>
          <w:iCs w:val="1"/>
          <w:color w:val="auto"/>
        </w:rPr>
        <w:t xml:space="preserve">Changes in Internal Controls. </w:t>
      </w:r>
      <w:r>
        <w:rPr>
          <w:rFonts w:ascii="Arial" w:cs="Arial" w:eastAsia="Arial" w:hAnsi="Arial"/>
          <w:sz w:val="15"/>
          <w:szCs w:val="15"/>
          <w:color w:val="auto"/>
        </w:rPr>
        <w:t>Since the evaluation date referred to above, there have not been any significant</w:t>
      </w:r>
      <w:r>
        <w:rPr>
          <w:rFonts w:ascii="Arial" w:cs="Arial" w:eastAsia="Arial" w:hAnsi="Arial"/>
          <w:sz w:val="15"/>
          <w:szCs w:val="15"/>
          <w:i w:val="1"/>
          <w:iCs w:val="1"/>
          <w:color w:val="auto"/>
        </w:rPr>
        <w:t xml:space="preserve"> </w:t>
      </w:r>
      <w:r>
        <w:rPr>
          <w:rFonts w:ascii="Arial" w:cs="Arial" w:eastAsia="Arial" w:hAnsi="Arial"/>
          <w:sz w:val="15"/>
          <w:szCs w:val="15"/>
          <w:color w:val="auto"/>
        </w:rPr>
        <w:t>changes in the Company’s internal controls or in other factors that could significantly affect such controls.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469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 AND REPORTS ON FORM 8-K</w:t>
      </w:r>
    </w:p>
    <w:p>
      <w:pPr>
        <w:spacing w:after="0" w:line="200" w:lineRule="exact"/>
        <w:rPr>
          <w:sz w:val="20"/>
          <w:szCs w:val="20"/>
          <w:color w:val="auto"/>
        </w:rPr>
      </w:pPr>
    </w:p>
    <w:p>
      <w:pPr>
        <w:spacing w:after="0" w:line="342" w:lineRule="exact"/>
        <w:rPr>
          <w:sz w:val="20"/>
          <w:szCs w:val="20"/>
          <w:color w:val="auto"/>
        </w:rPr>
      </w:pPr>
    </w:p>
    <w:p>
      <w:pPr>
        <w:ind w:left="860" w:hanging="460"/>
        <w:spacing w:after="0"/>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Exhibits</w:t>
      </w:r>
    </w:p>
    <w:p>
      <w:pPr>
        <w:spacing w:after="0" w:line="252" w:lineRule="exact"/>
        <w:rPr>
          <w:sz w:val="20"/>
          <w:szCs w:val="20"/>
          <w:color w:val="auto"/>
        </w:rPr>
      </w:pPr>
    </w:p>
    <w:p>
      <w:pPr>
        <w:ind w:left="1260" w:right="2479" w:hanging="458"/>
        <w:spacing w:after="0" w:line="268" w:lineRule="auto"/>
        <w:tabs>
          <w:tab w:leader="none" w:pos="1240" w:val="left"/>
        </w:tabs>
        <w:rPr>
          <w:sz w:val="20"/>
          <w:szCs w:val="20"/>
          <w:color w:val="auto"/>
        </w:rPr>
      </w:pPr>
      <w:r>
        <w:rPr>
          <w:rFonts w:ascii="Arial" w:cs="Arial" w:eastAsia="Arial" w:hAnsi="Arial"/>
          <w:sz w:val="18"/>
          <w:szCs w:val="18"/>
          <w:color w:val="auto"/>
        </w:rPr>
        <w:t>99.1</w:t>
        <w:tab/>
        <w:t>Certification Pursuant to 18 U.S.C. Section 1350, as Adopted Pursuant to Section 906 of the Sarbanes-Oxley Act of 2002.</w:t>
      </w:r>
    </w:p>
    <w:p>
      <w:pPr>
        <w:spacing w:after="0" w:line="213" w:lineRule="exact"/>
        <w:rPr>
          <w:sz w:val="20"/>
          <w:szCs w:val="20"/>
          <w:color w:val="auto"/>
        </w:rPr>
      </w:pPr>
    </w:p>
    <w:p>
      <w:pPr>
        <w:ind w:left="1260" w:right="2479" w:hanging="458"/>
        <w:spacing w:after="0" w:line="268" w:lineRule="auto"/>
        <w:tabs>
          <w:tab w:leader="none" w:pos="1240" w:val="left"/>
        </w:tabs>
        <w:rPr>
          <w:sz w:val="20"/>
          <w:szCs w:val="20"/>
          <w:color w:val="auto"/>
        </w:rPr>
      </w:pPr>
      <w:r>
        <w:rPr>
          <w:rFonts w:ascii="Arial" w:cs="Arial" w:eastAsia="Arial" w:hAnsi="Arial"/>
          <w:sz w:val="18"/>
          <w:szCs w:val="18"/>
          <w:color w:val="auto"/>
        </w:rPr>
        <w:t>99.2</w:t>
        <w:tab/>
        <w:t>Certification Pursuant to 18 U.S.C.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469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99" w:lineRule="exact"/>
        <w:rPr>
          <w:sz w:val="20"/>
          <w:szCs w:val="20"/>
          <w:color w:val="auto"/>
        </w:rPr>
      </w:pPr>
    </w:p>
    <w:p>
      <w:pPr>
        <w:ind w:right="2279"/>
        <w:spacing w:after="0" w:line="30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 After due inquiry and to the best of my knowledge and belief, I certify that the information set forth in this statement is true, complete and correct.</w:t>
      </w:r>
    </w:p>
    <w:p>
      <w:pPr>
        <w:sectPr>
          <w:pgSz w:w="11900" w:h="16838" w:orient="portrait"/>
          <w:cols w:equalWidth="0" w:num="1">
            <w:col w:w="10219"/>
          </w:cols>
          <w:pgMar w:left="240" w:top="357" w:right="1440" w:bottom="0" w:gutter="0" w:footer="0" w:header="0"/>
        </w:sectPr>
      </w:pPr>
    </w:p>
    <w:bookmarkStart w:id="16" w:name="page17"/>
    <w:bookmarkEnd w:id="16"/>
    <w:p>
      <w:pPr>
        <w:ind w:left="3240"/>
        <w:spacing w:after="0"/>
        <w:rPr>
          <w:sz w:val="20"/>
          <w:szCs w:val="20"/>
          <w:color w:val="auto"/>
        </w:rPr>
      </w:pPr>
      <w:r>
        <w:rPr>
          <w:rFonts w:ascii="Arial" w:cs="Arial" w:eastAsia="Arial" w:hAnsi="Arial"/>
          <w:sz w:val="18"/>
          <w:szCs w:val="18"/>
          <w:u w:val="single" w:color="auto"/>
          <w:color w:val="auto"/>
        </w:rPr>
        <w:t>/s/ William R. Retterath</w:t>
      </w:r>
    </w:p>
    <w:p>
      <w:pPr>
        <w:spacing w:after="0" w:line="1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Daktronics, Inc.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William R. Retterath, Chief Financial Officer</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February 21, 2003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Daktronics, Inc.</w:t>
      </w:r>
    </w:p>
    <w:p>
      <w:pPr>
        <w:spacing w:after="0" w:line="293" w:lineRule="exact"/>
        <w:rPr>
          <w:sz w:val="20"/>
          <w:szCs w:val="20"/>
          <w:color w:val="auto"/>
        </w:rPr>
      </w:pPr>
    </w:p>
    <w:p>
      <w:pPr>
        <w:jc w:val="center"/>
        <w:ind w:right="2159"/>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21" w:lineRule="exact"/>
        <w:rPr>
          <w:sz w:val="20"/>
          <w:szCs w:val="20"/>
          <w:color w:val="auto"/>
        </w:rPr>
      </w:pPr>
    </w:p>
    <w:p>
      <w:pPr>
        <w:jc w:val="center"/>
        <w:ind w:right="215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21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SECTI0N 906 OF THE SARBANES-OXLEY ACT OF 2002</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I, James B. Morgan, certify that:</w:t>
      </w:r>
    </w:p>
    <w:p>
      <w:pPr>
        <w:spacing w:after="0" w:line="252" w:lineRule="exact"/>
        <w:rPr>
          <w:sz w:val="20"/>
          <w:szCs w:val="20"/>
          <w:color w:val="auto"/>
        </w:rPr>
      </w:pPr>
    </w:p>
    <w:p>
      <w:pPr>
        <w:ind w:left="420" w:hanging="412"/>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Daktronics, Inc.;</w:t>
      </w:r>
    </w:p>
    <w:p>
      <w:pPr>
        <w:spacing w:after="0" w:line="252" w:lineRule="exact"/>
        <w:rPr>
          <w:rFonts w:ascii="Arial" w:cs="Arial" w:eastAsia="Arial" w:hAnsi="Arial"/>
          <w:sz w:val="18"/>
          <w:szCs w:val="18"/>
          <w:color w:val="auto"/>
        </w:rPr>
      </w:pPr>
    </w:p>
    <w:p>
      <w:pPr>
        <w:ind w:left="420" w:right="2159" w:hanging="412"/>
        <w:spacing w:after="0" w:line="335" w:lineRule="auto"/>
        <w:tabs>
          <w:tab w:leader="none" w:pos="420" w:val="left"/>
        </w:tabs>
        <w:numPr>
          <w:ilvl w:val="0"/>
          <w:numId w:val="5"/>
        </w:numPr>
        <w:rPr>
          <w:rFonts w:ascii="Arial" w:cs="Arial" w:eastAsia="Arial" w:hAnsi="Arial"/>
          <w:sz w:val="15"/>
          <w:szCs w:val="15"/>
          <w:color w:val="auto"/>
        </w:rPr>
      </w:pPr>
      <w:r>
        <w:rPr>
          <w:rFonts w:ascii="Arial" w:cs="Arial" w:eastAsia="Arial" w:hAnsi="Arial"/>
          <w:sz w:val="15"/>
          <w:szCs w:val="15"/>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69" w:lineRule="exact"/>
        <w:rPr>
          <w:rFonts w:ascii="Arial" w:cs="Arial" w:eastAsia="Arial" w:hAnsi="Arial"/>
          <w:sz w:val="15"/>
          <w:szCs w:val="15"/>
          <w:color w:val="auto"/>
        </w:rPr>
      </w:pPr>
    </w:p>
    <w:p>
      <w:pPr>
        <w:ind w:left="460" w:right="2199" w:hanging="452"/>
        <w:spacing w:after="0" w:line="306"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87" w:lineRule="exact"/>
        <w:rPr>
          <w:rFonts w:ascii="Arial" w:cs="Arial" w:eastAsia="Arial" w:hAnsi="Arial"/>
          <w:sz w:val="16"/>
          <w:szCs w:val="16"/>
          <w:color w:val="auto"/>
        </w:rPr>
      </w:pPr>
    </w:p>
    <w:p>
      <w:pPr>
        <w:jc w:val="both"/>
        <w:ind w:left="460" w:right="2419" w:hanging="452"/>
        <w:spacing w:after="0" w:line="259"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13a-14 and 15d-14) for the registrant and we have:</w:t>
      </w:r>
    </w:p>
    <w:p>
      <w:pPr>
        <w:spacing w:after="0" w:line="221" w:lineRule="exact"/>
        <w:rPr>
          <w:rFonts w:ascii="Arial" w:cs="Arial" w:eastAsia="Arial" w:hAnsi="Arial"/>
          <w:sz w:val="18"/>
          <w:szCs w:val="18"/>
          <w:color w:val="auto"/>
        </w:rPr>
      </w:pPr>
    </w:p>
    <w:p>
      <w:pPr>
        <w:ind w:left="820" w:right="2239" w:hanging="407"/>
        <w:spacing w:after="0" w:line="306" w:lineRule="auto"/>
        <w:tabs>
          <w:tab w:leader="none" w:pos="820" w:val="left"/>
        </w:tabs>
        <w:numPr>
          <w:ilvl w:val="1"/>
          <w:numId w:val="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to ensure that material information relating to the registrant, including its consolidated subsidiaries, is made known to us by others within those entities, particularly during the period in which this quarterly report is being prepared;</w:t>
      </w:r>
    </w:p>
    <w:p>
      <w:pPr>
        <w:spacing w:after="0" w:line="187" w:lineRule="exact"/>
        <w:rPr>
          <w:rFonts w:ascii="Arial" w:cs="Arial" w:eastAsia="Arial" w:hAnsi="Arial"/>
          <w:sz w:val="16"/>
          <w:szCs w:val="16"/>
          <w:color w:val="auto"/>
        </w:rPr>
      </w:pPr>
    </w:p>
    <w:p>
      <w:pPr>
        <w:ind w:left="820" w:right="2439" w:hanging="407"/>
        <w:spacing w:after="0" w:line="332" w:lineRule="auto"/>
        <w:tabs>
          <w:tab w:leader="none" w:pos="820" w:val="left"/>
        </w:tabs>
        <w:numPr>
          <w:ilvl w:val="1"/>
          <w:numId w:val="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as of a date within 90 days prior to the filing date of this quarterly report (the “Evaluation Date”); and</w:t>
      </w:r>
    </w:p>
    <w:p>
      <w:pPr>
        <w:spacing w:after="0" w:line="166" w:lineRule="exact"/>
        <w:rPr>
          <w:rFonts w:ascii="Arial" w:cs="Arial" w:eastAsia="Arial" w:hAnsi="Arial"/>
          <w:sz w:val="16"/>
          <w:szCs w:val="16"/>
          <w:color w:val="auto"/>
        </w:rPr>
      </w:pPr>
    </w:p>
    <w:p>
      <w:pPr>
        <w:ind w:left="820" w:right="2199" w:hanging="407"/>
        <w:spacing w:after="0" w:line="268" w:lineRule="auto"/>
        <w:tabs>
          <w:tab w:leader="none" w:pos="8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presented in this quarterly report our conclusions about the effectiveness of the disclosure controls and procedures based on our evaluation as of the Evaluation Date;</w:t>
      </w:r>
    </w:p>
    <w:p>
      <w:pPr>
        <w:spacing w:after="0" w:line="212" w:lineRule="exact"/>
        <w:rPr>
          <w:rFonts w:ascii="Arial" w:cs="Arial" w:eastAsia="Arial" w:hAnsi="Arial"/>
          <w:sz w:val="18"/>
          <w:szCs w:val="18"/>
          <w:color w:val="auto"/>
        </w:rPr>
      </w:pPr>
    </w:p>
    <w:p>
      <w:pPr>
        <w:jc w:val="both"/>
        <w:ind w:left="420" w:right="2459" w:hanging="412"/>
        <w:spacing w:after="0" w:line="259" w:lineRule="auto"/>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to the registrant’s auditors and the audit committee of registrant’s board of directors (or persons performing the equivalent function):</w:t>
      </w:r>
    </w:p>
    <w:p>
      <w:pPr>
        <w:spacing w:after="0" w:line="221" w:lineRule="exact"/>
        <w:rPr>
          <w:rFonts w:ascii="Arial" w:cs="Arial" w:eastAsia="Arial" w:hAnsi="Arial"/>
          <w:sz w:val="18"/>
          <w:szCs w:val="18"/>
          <w:color w:val="auto"/>
        </w:rPr>
      </w:pPr>
    </w:p>
    <w:p>
      <w:pPr>
        <w:jc w:val="both"/>
        <w:ind w:left="820" w:right="2279" w:hanging="407"/>
        <w:spacing w:after="0" w:line="306" w:lineRule="auto"/>
        <w:tabs>
          <w:tab w:leader="none" w:pos="820" w:val="left"/>
        </w:tabs>
        <w:numPr>
          <w:ilvl w:val="1"/>
          <w:numId w:val="5"/>
        </w:numPr>
        <w:rPr>
          <w:rFonts w:ascii="Arial" w:cs="Arial" w:eastAsia="Arial" w:hAnsi="Arial"/>
          <w:sz w:val="16"/>
          <w:szCs w:val="16"/>
          <w:color w:val="auto"/>
        </w:rPr>
      </w:pPr>
      <w:r>
        <w:rPr>
          <w:rFonts w:ascii="Arial" w:cs="Arial" w:eastAsia="Arial" w:hAnsi="Arial"/>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87" w:lineRule="exact"/>
        <w:rPr>
          <w:rFonts w:ascii="Arial" w:cs="Arial" w:eastAsia="Arial" w:hAnsi="Arial"/>
          <w:sz w:val="16"/>
          <w:szCs w:val="16"/>
          <w:color w:val="auto"/>
        </w:rPr>
      </w:pPr>
    </w:p>
    <w:p>
      <w:pPr>
        <w:ind w:left="820" w:right="2839" w:hanging="407"/>
        <w:spacing w:after="0" w:line="268" w:lineRule="auto"/>
        <w:tabs>
          <w:tab w:leader="none" w:pos="8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and</w:t>
      </w:r>
    </w:p>
    <w:p>
      <w:pPr>
        <w:spacing w:after="0" w:line="212" w:lineRule="exact"/>
        <w:rPr>
          <w:rFonts w:ascii="Arial" w:cs="Arial" w:eastAsia="Arial" w:hAnsi="Arial"/>
          <w:sz w:val="18"/>
          <w:szCs w:val="18"/>
          <w:color w:val="auto"/>
        </w:rPr>
      </w:pPr>
    </w:p>
    <w:p>
      <w:pPr>
        <w:ind w:left="420" w:right="2139" w:hanging="412"/>
        <w:spacing w:after="0" w:line="256" w:lineRule="auto"/>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indicated in this quarterly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200" w:lineRule="exact"/>
        <w:rPr>
          <w:sz w:val="20"/>
          <w:szCs w:val="20"/>
          <w:color w:val="auto"/>
        </w:rPr>
      </w:pPr>
    </w:p>
    <w:p>
      <w:pPr>
        <w:spacing w:after="0" w:line="267" w:lineRule="exact"/>
        <w:rPr>
          <w:sz w:val="20"/>
          <w:szCs w:val="20"/>
          <w:color w:val="auto"/>
        </w:rPr>
      </w:pPr>
    </w:p>
    <w:p>
      <w:pPr>
        <w:ind w:left="80"/>
        <w:spacing w:after="0"/>
        <w:rPr>
          <w:sz w:val="20"/>
          <w:szCs w:val="20"/>
          <w:color w:val="auto"/>
        </w:rPr>
      </w:pPr>
      <w:r>
        <w:rPr>
          <w:rFonts w:ascii="Arial" w:cs="Arial" w:eastAsia="Arial" w:hAnsi="Arial"/>
          <w:sz w:val="18"/>
          <w:szCs w:val="18"/>
          <w:u w:val="single" w:color="auto"/>
          <w:color w:val="auto"/>
        </w:rPr>
        <w:t>/s/ James B. Morgan</w:t>
      </w:r>
    </w:p>
    <w:p>
      <w:pPr>
        <w:spacing w:after="0" w:line="15" w:lineRule="exact"/>
        <w:rPr>
          <w:sz w:val="20"/>
          <w:szCs w:val="20"/>
          <w:color w:val="auto"/>
        </w:rPr>
      </w:pPr>
    </w:p>
    <w:p>
      <w:pPr>
        <w:ind w:left="80"/>
        <w:spacing w:after="0"/>
        <w:rPr>
          <w:sz w:val="20"/>
          <w:szCs w:val="20"/>
          <w:color w:val="auto"/>
        </w:rPr>
      </w:pPr>
      <w:r>
        <w:rPr>
          <w:rFonts w:ascii="Arial" w:cs="Arial" w:eastAsia="Arial" w:hAnsi="Arial"/>
          <w:sz w:val="18"/>
          <w:szCs w:val="18"/>
          <w:color w:val="auto"/>
        </w:rPr>
        <w:t>James B. MorganChief</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color w:val="auto"/>
        </w:rPr>
        <w:t>Executive Officer</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color w:val="auto"/>
        </w:rPr>
        <w:t>Date: February 21, 2003</w:t>
      </w:r>
    </w:p>
    <w:p>
      <w:pPr>
        <w:sectPr>
          <w:pgSz w:w="11900" w:h="16838" w:orient="portrait"/>
          <w:cols w:equalWidth="0" w:num="1">
            <w:col w:w="10219"/>
          </w:cols>
          <w:pgMar w:left="240" w:top="131" w:right="1440" w:bottom="0" w:gutter="0" w:footer="0" w:header="0"/>
        </w:sectPr>
      </w:pPr>
    </w:p>
    <w:bookmarkStart w:id="17" w:name="page18"/>
    <w:bookmarkEnd w:id="17"/>
    <w:p>
      <w:pPr>
        <w:ind w:left="3980"/>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106680</wp:posOffset>
            </wp:positionV>
            <wp:extent cx="7250430" cy="469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ectPr>
          <w:pgSz w:w="11900" w:h="16838" w:orient="portrait"/>
          <w:cols w:equalWidth="0" w:num="1">
            <w:col w:w="10219"/>
          </w:cols>
          <w:pgMar w:left="240" w:top="374" w:right="1440" w:bottom="1440" w:gutter="0" w:footer="0" w:header="0"/>
        </w:sectPr>
      </w:pPr>
    </w:p>
    <w:p>
      <w:pPr>
        <w:spacing w:after="0" w:line="200" w:lineRule="exact"/>
        <w:rPr>
          <w:sz w:val="20"/>
          <w:szCs w:val="20"/>
          <w:color w:val="auto"/>
        </w:rPr>
      </w:pPr>
    </w:p>
    <w:p>
      <w:pPr>
        <w:spacing w:after="0" w:line="376"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Daktronics, Inc.</w:t>
      </w:r>
    </w:p>
    <w:p>
      <w:pPr>
        <w:spacing w:after="0" w:line="293"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CERTIFICATION OF THE CHIEF FINANCIAL OFFICER PURSUANT TO</w:t>
      </w:r>
    </w:p>
    <w:p>
      <w:pPr>
        <w:spacing w:after="0" w:line="21" w:lineRule="exact"/>
        <w:rPr>
          <w:sz w:val="20"/>
          <w:szCs w:val="20"/>
          <w:color w:val="auto"/>
        </w:rPr>
      </w:pPr>
    </w:p>
    <w:p>
      <w:pPr>
        <w:jc w:val="center"/>
        <w:ind w:right="215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21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SECTI0N 906 OF THE SARBANES-OXLEY ACT OF 2002</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I, William R. Retterath, certify that:</w:t>
      </w:r>
    </w:p>
    <w:p>
      <w:pPr>
        <w:spacing w:after="0" w:line="252"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Daktronics, Inc.;</w:t>
      </w:r>
    </w:p>
    <w:p>
      <w:pPr>
        <w:spacing w:after="0" w:line="252" w:lineRule="exact"/>
        <w:rPr>
          <w:rFonts w:ascii="Arial" w:cs="Arial" w:eastAsia="Arial" w:hAnsi="Arial"/>
          <w:sz w:val="18"/>
          <w:szCs w:val="18"/>
          <w:color w:val="auto"/>
        </w:rPr>
      </w:pPr>
    </w:p>
    <w:p>
      <w:pPr>
        <w:ind w:left="460" w:right="2119" w:hanging="452"/>
        <w:spacing w:after="0" w:line="335" w:lineRule="auto"/>
        <w:tabs>
          <w:tab w:leader="none" w:pos="460" w:val="left"/>
        </w:tabs>
        <w:numPr>
          <w:ilvl w:val="0"/>
          <w:numId w:val="6"/>
        </w:numPr>
        <w:rPr>
          <w:rFonts w:ascii="Arial" w:cs="Arial" w:eastAsia="Arial" w:hAnsi="Arial"/>
          <w:sz w:val="15"/>
          <w:szCs w:val="15"/>
          <w:color w:val="auto"/>
        </w:rPr>
      </w:pPr>
      <w:r>
        <w:rPr>
          <w:rFonts w:ascii="Arial" w:cs="Arial" w:eastAsia="Arial" w:hAnsi="Arial"/>
          <w:sz w:val="15"/>
          <w:szCs w:val="15"/>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69" w:lineRule="exact"/>
        <w:rPr>
          <w:rFonts w:ascii="Arial" w:cs="Arial" w:eastAsia="Arial" w:hAnsi="Arial"/>
          <w:sz w:val="15"/>
          <w:szCs w:val="15"/>
          <w:color w:val="auto"/>
        </w:rPr>
      </w:pPr>
    </w:p>
    <w:p>
      <w:pPr>
        <w:ind w:left="460" w:right="2199" w:hanging="452"/>
        <w:spacing w:after="0" w:line="306"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87" w:lineRule="exact"/>
        <w:rPr>
          <w:rFonts w:ascii="Arial" w:cs="Arial" w:eastAsia="Arial" w:hAnsi="Arial"/>
          <w:sz w:val="16"/>
          <w:szCs w:val="16"/>
          <w:color w:val="auto"/>
        </w:rPr>
      </w:pPr>
    </w:p>
    <w:p>
      <w:pPr>
        <w:jc w:val="both"/>
        <w:ind w:left="460" w:right="2419" w:hanging="452"/>
        <w:spacing w:after="0" w:line="259"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13a-14 and 15d-14) for the registrant and we have:</w:t>
      </w:r>
    </w:p>
    <w:p>
      <w:pPr>
        <w:spacing w:after="0" w:line="221" w:lineRule="exact"/>
        <w:rPr>
          <w:rFonts w:ascii="Arial" w:cs="Arial" w:eastAsia="Arial" w:hAnsi="Arial"/>
          <w:sz w:val="18"/>
          <w:szCs w:val="18"/>
          <w:color w:val="auto"/>
        </w:rPr>
      </w:pPr>
    </w:p>
    <w:p>
      <w:pPr>
        <w:ind w:left="860" w:right="2199" w:hanging="460"/>
        <w:spacing w:after="0" w:line="306" w:lineRule="auto"/>
        <w:tabs>
          <w:tab w:leader="none" w:pos="860" w:val="left"/>
        </w:tabs>
        <w:numPr>
          <w:ilvl w:val="1"/>
          <w:numId w:val="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to ensure that material information relating to the registrant, including its consolidated subsidiaries, is made known to us by others within those entities, particularly during the period in which this quarterly report is being prepared;</w:t>
      </w:r>
    </w:p>
    <w:p>
      <w:pPr>
        <w:spacing w:after="0" w:line="187" w:lineRule="exact"/>
        <w:rPr>
          <w:rFonts w:ascii="Arial" w:cs="Arial" w:eastAsia="Arial" w:hAnsi="Arial"/>
          <w:sz w:val="16"/>
          <w:szCs w:val="16"/>
          <w:color w:val="auto"/>
        </w:rPr>
      </w:pPr>
    </w:p>
    <w:p>
      <w:pPr>
        <w:ind w:left="860" w:right="2399" w:hanging="460"/>
        <w:spacing w:after="0" w:line="332" w:lineRule="auto"/>
        <w:tabs>
          <w:tab w:leader="none" w:pos="860"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as of a date within 90 days prior to the filing date of this quarterly report (the “Evaluation Date”); and</w:t>
      </w:r>
    </w:p>
    <w:p>
      <w:pPr>
        <w:spacing w:after="0" w:line="166" w:lineRule="exact"/>
        <w:rPr>
          <w:rFonts w:ascii="Arial" w:cs="Arial" w:eastAsia="Arial" w:hAnsi="Arial"/>
          <w:sz w:val="16"/>
          <w:szCs w:val="16"/>
          <w:color w:val="auto"/>
        </w:rPr>
      </w:pPr>
    </w:p>
    <w:p>
      <w:pPr>
        <w:ind w:left="860" w:right="2159" w:hanging="460"/>
        <w:spacing w:after="0" w:line="268" w:lineRule="auto"/>
        <w:tabs>
          <w:tab w:leader="none" w:pos="860" w:val="left"/>
        </w:tabs>
        <w:numPr>
          <w:ilvl w:val="1"/>
          <w:numId w:val="6"/>
        </w:numPr>
        <w:rPr>
          <w:rFonts w:ascii="Arial" w:cs="Arial" w:eastAsia="Arial" w:hAnsi="Arial"/>
          <w:sz w:val="18"/>
          <w:szCs w:val="18"/>
          <w:color w:val="auto"/>
        </w:rPr>
      </w:pPr>
      <w:r>
        <w:rPr>
          <w:rFonts w:ascii="Arial" w:cs="Arial" w:eastAsia="Arial" w:hAnsi="Arial"/>
          <w:sz w:val="18"/>
          <w:szCs w:val="18"/>
          <w:color w:val="auto"/>
        </w:rPr>
        <w:t>presented in this quarterly report our conclusions about the effectiveness of the disclosure controls and procedures based on our evaluation as of the Evaluation Date;</w:t>
      </w:r>
    </w:p>
    <w:p>
      <w:pPr>
        <w:spacing w:after="0" w:line="212" w:lineRule="exact"/>
        <w:rPr>
          <w:rFonts w:ascii="Arial" w:cs="Arial" w:eastAsia="Arial" w:hAnsi="Arial"/>
          <w:sz w:val="18"/>
          <w:szCs w:val="18"/>
          <w:color w:val="auto"/>
        </w:rPr>
      </w:pPr>
    </w:p>
    <w:p>
      <w:pPr>
        <w:jc w:val="both"/>
        <w:ind w:left="460" w:right="2419" w:hanging="452"/>
        <w:spacing w:after="0" w:line="259"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to the registrant’s auditors and the audit committee of registrant’s board of directors (or persons performing the equivalent function):</w:t>
      </w:r>
    </w:p>
    <w:p>
      <w:pPr>
        <w:spacing w:after="0" w:line="221" w:lineRule="exact"/>
        <w:rPr>
          <w:rFonts w:ascii="Arial" w:cs="Arial" w:eastAsia="Arial" w:hAnsi="Arial"/>
          <w:sz w:val="18"/>
          <w:szCs w:val="18"/>
          <w:color w:val="auto"/>
        </w:rPr>
      </w:pPr>
    </w:p>
    <w:p>
      <w:pPr>
        <w:jc w:val="both"/>
        <w:ind w:left="860" w:right="2239" w:hanging="460"/>
        <w:spacing w:after="0" w:line="306" w:lineRule="auto"/>
        <w:tabs>
          <w:tab w:leader="none" w:pos="860" w:val="left"/>
        </w:tabs>
        <w:numPr>
          <w:ilvl w:val="1"/>
          <w:numId w:val="6"/>
        </w:numPr>
        <w:rPr>
          <w:rFonts w:ascii="Arial" w:cs="Arial" w:eastAsia="Arial" w:hAnsi="Arial"/>
          <w:sz w:val="16"/>
          <w:szCs w:val="16"/>
          <w:color w:val="auto"/>
        </w:rPr>
      </w:pPr>
      <w:r>
        <w:rPr>
          <w:rFonts w:ascii="Arial" w:cs="Arial" w:eastAsia="Arial" w:hAnsi="Arial"/>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87" w:lineRule="exact"/>
        <w:rPr>
          <w:rFonts w:ascii="Arial" w:cs="Arial" w:eastAsia="Arial" w:hAnsi="Arial"/>
          <w:sz w:val="16"/>
          <w:szCs w:val="16"/>
          <w:color w:val="auto"/>
        </w:rPr>
      </w:pPr>
    </w:p>
    <w:p>
      <w:pPr>
        <w:ind w:left="860" w:right="2799" w:hanging="460"/>
        <w:spacing w:after="0" w:line="268" w:lineRule="auto"/>
        <w:tabs>
          <w:tab w:leader="none" w:pos="86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and</w:t>
      </w:r>
    </w:p>
    <w:p>
      <w:pPr>
        <w:spacing w:after="0" w:line="212" w:lineRule="exact"/>
        <w:rPr>
          <w:rFonts w:ascii="Arial" w:cs="Arial" w:eastAsia="Arial" w:hAnsi="Arial"/>
          <w:sz w:val="18"/>
          <w:szCs w:val="18"/>
          <w:color w:val="auto"/>
        </w:rPr>
      </w:pPr>
    </w:p>
    <w:p>
      <w:pPr>
        <w:ind w:left="460" w:right="2139" w:hanging="452"/>
        <w:spacing w:after="0" w:line="256"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indicated in this quarterly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200" w:lineRule="exact"/>
        <w:rPr>
          <w:sz w:val="20"/>
          <w:szCs w:val="20"/>
          <w:color w:val="auto"/>
        </w:rPr>
      </w:pPr>
    </w:p>
    <w:p>
      <w:pPr>
        <w:spacing w:after="0" w:line="267" w:lineRule="exact"/>
        <w:rPr>
          <w:sz w:val="20"/>
          <w:szCs w:val="20"/>
          <w:color w:val="auto"/>
        </w:rPr>
      </w:pPr>
    </w:p>
    <w:p>
      <w:pPr>
        <w:ind w:left="80"/>
        <w:spacing w:after="0"/>
        <w:rPr>
          <w:sz w:val="20"/>
          <w:szCs w:val="20"/>
          <w:color w:val="auto"/>
        </w:rPr>
      </w:pPr>
      <w:r>
        <w:rPr>
          <w:rFonts w:ascii="Arial" w:cs="Arial" w:eastAsia="Arial" w:hAnsi="Arial"/>
          <w:sz w:val="18"/>
          <w:szCs w:val="18"/>
          <w:u w:val="single" w:color="auto"/>
          <w:color w:val="auto"/>
        </w:rPr>
        <w:t>/s/ William R. Retterath</w:t>
      </w:r>
    </w:p>
    <w:p>
      <w:pPr>
        <w:spacing w:after="0" w:line="15" w:lineRule="exact"/>
        <w:rPr>
          <w:sz w:val="20"/>
          <w:szCs w:val="20"/>
          <w:color w:val="auto"/>
        </w:rPr>
      </w:pPr>
    </w:p>
    <w:p>
      <w:pPr>
        <w:ind w:left="80"/>
        <w:spacing w:after="0"/>
        <w:rPr>
          <w:sz w:val="20"/>
          <w:szCs w:val="20"/>
          <w:color w:val="auto"/>
        </w:rPr>
      </w:pPr>
      <w:r>
        <w:rPr>
          <w:rFonts w:ascii="Arial" w:cs="Arial" w:eastAsia="Arial" w:hAnsi="Arial"/>
          <w:sz w:val="18"/>
          <w:szCs w:val="18"/>
          <w:color w:val="auto"/>
        </w:rPr>
        <w:t>William R. RetterathChief</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color w:val="auto"/>
        </w:rPr>
        <w:t>Financial Officer</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color w:val="auto"/>
        </w:rPr>
        <w:t>Date: February 21, 2003</w:t>
      </w:r>
    </w:p>
    <w:p>
      <w:pPr>
        <w:sectPr>
          <w:pgSz w:w="11900" w:h="16838" w:orient="portrait"/>
          <w:cols w:equalWidth="0" w:num="1">
            <w:col w:w="10219"/>
          </w:cols>
          <w:pgMar w:left="240" w:top="374" w:right="1440" w:bottom="1440" w:gutter="0" w:footer="0" w:header="0"/>
          <w:type w:val="continuous"/>
        </w:sectPr>
      </w:pPr>
    </w:p>
    <w:p>
      <w:pPr>
        <w:spacing w:after="0" w:line="200" w:lineRule="exact"/>
        <w:rPr>
          <w:sz w:val="20"/>
          <w:szCs w:val="20"/>
          <w:color w:val="auto"/>
        </w:rPr>
      </w:pPr>
    </w:p>
    <w:p>
      <w:pPr>
        <w:spacing w:after="0" w:line="289" w:lineRule="exact"/>
        <w:rPr>
          <w:sz w:val="20"/>
          <w:szCs w:val="20"/>
          <w:color w:val="auto"/>
        </w:rPr>
      </w:pPr>
    </w:p>
    <w:p>
      <w:pPr>
        <w:ind w:left="3980"/>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0219"/>
          </w:cols>
          <w:pgMar w:left="240" w:top="374" w:right="1440" w:bottom="1440" w:gutter="0" w:footer="0" w:header="0"/>
          <w:type w:val="continuous"/>
        </w:sectPr>
      </w:pPr>
    </w:p>
    <w:bookmarkStart w:id="18" w:name="page19"/>
    <w:bookmarkEnd w:id="18"/>
    <w:p>
      <w:pPr>
        <w:jc w:val="right"/>
        <w:ind w:right="2099"/>
        <w:spacing w:after="0"/>
        <w:rPr>
          <w:sz w:val="20"/>
          <w:szCs w:val="20"/>
          <w:color w:val="auto"/>
        </w:rPr>
      </w:pPr>
      <w:r>
        <w:rPr>
          <w:rFonts w:ascii="Arial" w:cs="Arial" w:eastAsia="Arial" w:hAnsi="Arial"/>
          <w:sz w:val="18"/>
          <w:szCs w:val="18"/>
          <w:color w:val="auto"/>
        </w:rPr>
        <w:t>EXHIBIT 99.1</w:t>
      </w:r>
    </w:p>
    <w:p>
      <w:pPr>
        <w:spacing w:after="0" w:line="287"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DAKTRONICS, INC.</w:t>
      </w:r>
    </w:p>
    <w:p>
      <w:pPr>
        <w:spacing w:after="0" w:line="306" w:lineRule="exact"/>
        <w:rPr>
          <w:sz w:val="20"/>
          <w:szCs w:val="20"/>
          <w:color w:val="auto"/>
        </w:rPr>
      </w:pPr>
    </w:p>
    <w:p>
      <w:pPr>
        <w:jc w:val="center"/>
        <w:ind w:right="2159"/>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21" w:lineRule="exact"/>
        <w:rPr>
          <w:sz w:val="20"/>
          <w:szCs w:val="20"/>
          <w:color w:val="auto"/>
        </w:rPr>
      </w:pPr>
    </w:p>
    <w:p>
      <w:pPr>
        <w:jc w:val="center"/>
        <w:ind w:right="215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21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86" w:lineRule="exact"/>
        <w:rPr>
          <w:sz w:val="20"/>
          <w:szCs w:val="20"/>
          <w:color w:val="auto"/>
        </w:rPr>
      </w:pPr>
    </w:p>
    <w:p>
      <w:pPr>
        <w:ind w:right="2459"/>
        <w:spacing w:after="0" w:line="255" w:lineRule="auto"/>
        <w:rPr>
          <w:sz w:val="20"/>
          <w:szCs w:val="20"/>
          <w:color w:val="auto"/>
        </w:rPr>
      </w:pPr>
      <w:r>
        <w:rPr>
          <w:rFonts w:ascii="Arial" w:cs="Arial" w:eastAsia="Arial" w:hAnsi="Arial"/>
          <w:sz w:val="18"/>
          <w:szCs w:val="18"/>
          <w:color w:val="auto"/>
        </w:rPr>
        <w:t>In connection with the Quarterly Report on Form 10-Q of Daktronics, Inc. (the “Company”) for the quarterly period ending February 1, 2003 as filed with the Securities and Exchange Commission on the date hereof (the “Report”), I, James B. Morgan, Chief Executive Officer of the Company, hereby certify, pursuant to 18 U.S.C. Section 1350, as adopted pursuant to Section 906 of the Sarbanes-Oxley Act of 2002, that to the best of my knowledge:</w:t>
      </w:r>
    </w:p>
    <w:p>
      <w:pPr>
        <w:spacing w:after="0" w:line="224" w:lineRule="exact"/>
        <w:rPr>
          <w:sz w:val="20"/>
          <w:szCs w:val="20"/>
          <w:color w:val="auto"/>
        </w:rPr>
      </w:pPr>
    </w:p>
    <w:p>
      <w:pPr>
        <w:ind w:left="420" w:right="2219" w:hanging="412"/>
        <w:spacing w:after="0" w:line="268" w:lineRule="auto"/>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2" w:lineRule="exact"/>
        <w:rPr>
          <w:rFonts w:ascii="Arial" w:cs="Arial" w:eastAsia="Arial" w:hAnsi="Arial"/>
          <w:sz w:val="18"/>
          <w:szCs w:val="18"/>
          <w:color w:val="auto"/>
        </w:rPr>
      </w:pPr>
    </w:p>
    <w:p>
      <w:pPr>
        <w:ind w:left="420" w:right="2299" w:hanging="412"/>
        <w:spacing w:after="0" w:line="259" w:lineRule="auto"/>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February 21, 2003 (the last date of the period covered by the Report).</w:t>
      </w:r>
    </w:p>
    <w:p>
      <w:pPr>
        <w:spacing w:after="0" w:line="200" w:lineRule="exact"/>
        <w:rPr>
          <w:sz w:val="20"/>
          <w:szCs w:val="20"/>
          <w:color w:val="auto"/>
        </w:rPr>
      </w:pPr>
    </w:p>
    <w:p>
      <w:pPr>
        <w:spacing w:after="0" w:line="264"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 JAMES B. MORGAN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2063115</wp:posOffset>
            </wp:positionH>
            <wp:positionV relativeFrom="paragraph">
              <wp:posOffset>-13970</wp:posOffset>
            </wp:positionV>
            <wp:extent cx="130683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306830" cy="8890"/>
                    </a:xfrm>
                    <a:prstGeom prst="rect">
                      <a:avLst/>
                    </a:prstGeom>
                    <a:noFill/>
                  </pic:spPr>
                </pic:pic>
              </a:graphicData>
            </a:graphic>
          </wp:anchor>
        </w:drawing>
      </w:r>
    </w:p>
    <w:p>
      <w:pPr>
        <w:ind w:left="3240"/>
        <w:spacing w:after="0"/>
        <w:rPr>
          <w:sz w:val="20"/>
          <w:szCs w:val="20"/>
          <w:color w:val="auto"/>
        </w:rPr>
      </w:pPr>
      <w:r>
        <w:rPr>
          <w:rFonts w:ascii="Arial" w:cs="Arial" w:eastAsia="Arial" w:hAnsi="Arial"/>
          <w:sz w:val="18"/>
          <w:szCs w:val="18"/>
          <w:color w:val="auto"/>
        </w:rPr>
        <w:t>James B. Morgan</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February 21, 2003</w:t>
      </w:r>
    </w:p>
    <w:p>
      <w:pPr>
        <w:sectPr>
          <w:pgSz w:w="11900" w:h="16838" w:orient="portrait"/>
          <w:cols w:equalWidth="0" w:num="1">
            <w:col w:w="10219"/>
          </w:cols>
          <w:pgMar w:left="240" w:top="374" w:right="1440" w:bottom="1440" w:gutter="0" w:footer="0" w:header="0"/>
        </w:sectPr>
      </w:pPr>
    </w:p>
    <w:bookmarkStart w:id="19" w:name="page20"/>
    <w:bookmarkEnd w:id="19"/>
    <w:p>
      <w:pPr>
        <w:jc w:val="right"/>
        <w:ind w:right="2099"/>
        <w:spacing w:after="0"/>
        <w:rPr>
          <w:sz w:val="20"/>
          <w:szCs w:val="20"/>
          <w:color w:val="auto"/>
        </w:rPr>
      </w:pPr>
      <w:r>
        <w:rPr>
          <w:rFonts w:ascii="Arial" w:cs="Arial" w:eastAsia="Arial" w:hAnsi="Arial"/>
          <w:sz w:val="18"/>
          <w:szCs w:val="18"/>
          <w:color w:val="auto"/>
        </w:rPr>
        <w:t>EXHIBIT 99.2</w:t>
      </w:r>
    </w:p>
    <w:p>
      <w:pPr>
        <w:spacing w:after="0" w:line="287" w:lineRule="exact"/>
        <w:rPr>
          <w:sz w:val="20"/>
          <w:szCs w:val="20"/>
          <w:color w:val="auto"/>
        </w:rPr>
      </w:pPr>
    </w:p>
    <w:p>
      <w:pPr>
        <w:jc w:val="center"/>
        <w:ind w:right="2159"/>
        <w:spacing w:after="0"/>
        <w:rPr>
          <w:sz w:val="20"/>
          <w:szCs w:val="20"/>
          <w:color w:val="auto"/>
        </w:rPr>
      </w:pPr>
      <w:r>
        <w:rPr>
          <w:rFonts w:ascii="Arial" w:cs="Arial" w:eastAsia="Arial" w:hAnsi="Arial"/>
          <w:sz w:val="18"/>
          <w:szCs w:val="18"/>
          <w:b w:val="1"/>
          <w:bCs w:val="1"/>
          <w:color w:val="auto"/>
        </w:rPr>
        <w:t>DAKTRONICS, INC.</w:t>
      </w:r>
    </w:p>
    <w:p>
      <w:pPr>
        <w:spacing w:after="0" w:line="21"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CERTIFICATION OF THE CHIEF FINANCIAL OFFICER PURSUANT TO</w:t>
      </w:r>
    </w:p>
    <w:p>
      <w:pPr>
        <w:spacing w:after="0" w:line="9" w:lineRule="exact"/>
        <w:rPr>
          <w:sz w:val="20"/>
          <w:szCs w:val="20"/>
          <w:color w:val="auto"/>
        </w:rPr>
      </w:pPr>
    </w:p>
    <w:p>
      <w:pPr>
        <w:jc w:val="center"/>
        <w:ind w:right="215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21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00" w:lineRule="exact"/>
        <w:rPr>
          <w:sz w:val="20"/>
          <w:szCs w:val="20"/>
          <w:color w:val="auto"/>
        </w:rPr>
      </w:pPr>
    </w:p>
    <w:p>
      <w:pPr>
        <w:ind w:right="2279"/>
        <w:spacing w:after="0" w:line="255" w:lineRule="auto"/>
        <w:rPr>
          <w:sz w:val="20"/>
          <w:szCs w:val="20"/>
          <w:color w:val="auto"/>
        </w:rPr>
      </w:pPr>
      <w:r>
        <w:rPr>
          <w:rFonts w:ascii="Arial" w:cs="Arial" w:eastAsia="Arial" w:hAnsi="Arial"/>
          <w:sz w:val="18"/>
          <w:szCs w:val="18"/>
          <w:color w:val="auto"/>
        </w:rPr>
        <w:t>In connection with the Quarterly Report on Form 10-Q of Daktronics, Inc. (the “Company”) for the quarterly period ending February 1, 2003 as filed with the Securities and Exchange Commission on the date hereof (the “Report”), I, William R. Retterath, Chief Financial Officer of the Company, hereby certify, pursuant to 18 U.S.C. Section 1350, as adopted pursuant to Section 906 of the Sarbanes-Oxley Act of 2002, that to the best of my knowledge:</w:t>
      </w:r>
    </w:p>
    <w:p>
      <w:pPr>
        <w:spacing w:after="0" w:line="224" w:lineRule="exact"/>
        <w:rPr>
          <w:sz w:val="20"/>
          <w:szCs w:val="20"/>
          <w:color w:val="auto"/>
        </w:rPr>
      </w:pPr>
    </w:p>
    <w:p>
      <w:pPr>
        <w:ind w:left="420" w:right="2219" w:hanging="412"/>
        <w:spacing w:after="0" w:line="268" w:lineRule="auto"/>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2" w:lineRule="exact"/>
        <w:rPr>
          <w:rFonts w:ascii="Arial" w:cs="Arial" w:eastAsia="Arial" w:hAnsi="Arial"/>
          <w:sz w:val="18"/>
          <w:szCs w:val="18"/>
          <w:color w:val="auto"/>
        </w:rPr>
      </w:pPr>
    </w:p>
    <w:p>
      <w:pPr>
        <w:ind w:left="420" w:right="2299" w:hanging="412"/>
        <w:spacing w:after="0" w:line="259" w:lineRule="auto"/>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February 21, 2003 (the last date of the period covered by the Report).</w:t>
      </w:r>
    </w:p>
    <w:p>
      <w:pPr>
        <w:spacing w:after="0" w:line="200" w:lineRule="exact"/>
        <w:rPr>
          <w:sz w:val="20"/>
          <w:szCs w:val="20"/>
          <w:color w:val="auto"/>
        </w:rPr>
      </w:pPr>
    </w:p>
    <w:p>
      <w:pPr>
        <w:spacing w:after="0" w:line="264"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 WILLIAM R. RETTERATH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2063115</wp:posOffset>
            </wp:positionH>
            <wp:positionV relativeFrom="paragraph">
              <wp:posOffset>-13970</wp:posOffset>
            </wp:positionV>
            <wp:extent cx="153543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535430" cy="8890"/>
                    </a:xfrm>
                    <a:prstGeom prst="rect">
                      <a:avLst/>
                    </a:prstGeom>
                    <a:noFill/>
                  </pic:spPr>
                </pic:pic>
              </a:graphicData>
            </a:graphic>
          </wp:anchor>
        </w:drawing>
      </w:r>
    </w:p>
    <w:p>
      <w:pPr>
        <w:ind w:left="3240"/>
        <w:spacing w:after="0"/>
        <w:rPr>
          <w:sz w:val="20"/>
          <w:szCs w:val="20"/>
          <w:color w:val="auto"/>
        </w:rPr>
      </w:pPr>
      <w:r>
        <w:rPr>
          <w:rFonts w:ascii="Arial" w:cs="Arial" w:eastAsia="Arial" w:hAnsi="Arial"/>
          <w:sz w:val="18"/>
          <w:szCs w:val="18"/>
          <w:color w:val="auto"/>
        </w:rPr>
        <w:t>William R. Retterath</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February 21, 2003</w:t>
      </w:r>
    </w:p>
    <w:sectPr>
      <w:pgSz w:w="11900" w:h="16838" w:orient="portrait"/>
      <w:cols w:equalWidth="0" w:num="1">
        <w:col w:w="10219"/>
      </w:cols>
      <w:pgMar w:left="240" w:top="3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33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2019-12-14T02:10:33Z</dcterms:created>
  <dcterms:modified xsi:type="dcterms:W3CDTF">2019-12-14T02:10:33Z</dcterms:modified>
</cp:coreProperties>
</file>