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240" w:after="283"/>
        <w:jc w:val="both"/>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August 1, 2026</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240" w:after="283"/>
        <w:jc w:val="both"/>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 to 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001-38747</w:t>
      </w:r>
    </w:p>
    <w:p>
      <w:pPr>
        <w:pStyle w:val="TextBody"/>
        <w:bidi w:val="0"/>
        <w:spacing w:before="0" w:after="0"/>
        <w:jc w:val="center"/>
        <w:rPr/>
      </w:pPr>
      <w:r>
        <w:rPr/>
        <w:drawing>
          <wp:inline distT="0" distB="0" distL="0" distR="0">
            <wp:extent cx="19050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952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89" w:type="dxa"/>
        <w:jc w:val="left"/>
        <w:tblInd w:w="0" w:type="dxa"/>
        <w:tblLayout w:type="fixed"/>
        <w:tblCellMar>
          <w:top w:w="28" w:type="dxa"/>
          <w:left w:w="28" w:type="dxa"/>
          <w:bottom w:w="28" w:type="dxa"/>
          <w:right w:w="28" w:type="dxa"/>
        </w:tblCellMar>
      </w:tblPr>
      <w:tblGrid>
        <w:gridCol w:w="933"/>
        <w:gridCol w:w="819"/>
        <w:gridCol w:w="828"/>
        <w:gridCol w:w="344"/>
        <w:gridCol w:w="344"/>
        <w:gridCol w:w="346"/>
        <w:gridCol w:w="115"/>
        <w:gridCol w:w="115"/>
        <w:gridCol w:w="116"/>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201 Daktronics Drive</w:t>
            </w:r>
          </w:p>
        </w:tc>
        <w:tc>
          <w:tcPr>
            <w:tcW w:w="10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Brookings,</w:t>
            </w:r>
          </w:p>
        </w:tc>
        <w:tc>
          <w:tcPr>
            <w:tcW w:w="34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20"/>
              </w:rPr>
            </w:pPr>
            <w:r>
              <w:rPr>
                <w:rFonts w:ascii="Times New Roman;serif" w:hAnsi="Times New Roman;serif"/>
                <w:b/>
                <w:color w:val="000000"/>
                <w:sz w:val="20"/>
              </w:rPr>
              <w:t>SD</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57006</w:t>
            </w:r>
          </w:p>
        </w:tc>
      </w:tr>
      <w:tr>
        <w:trPr/>
        <w:tc>
          <w:tcPr>
            <w:tcW w:w="6989"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29" w:type="dxa"/>
        <w:jc w:val="left"/>
        <w:tblInd w:w="0" w:type="dxa"/>
        <w:tblLayout w:type="fixed"/>
        <w:tblCellMar>
          <w:top w:w="28" w:type="dxa"/>
          <w:left w:w="28" w:type="dxa"/>
          <w:bottom w:w="28" w:type="dxa"/>
          <w:right w:w="28" w:type="dxa"/>
        </w:tblCellMar>
      </w:tblPr>
      <w:tblGrid>
        <w:gridCol w:w="1377"/>
        <w:gridCol w:w="1209"/>
        <w:gridCol w:w="1224"/>
        <w:gridCol w:w="564"/>
        <w:gridCol w:w="564"/>
        <w:gridCol w:w="566"/>
        <w:gridCol w:w="1118"/>
        <w:gridCol w:w="1118"/>
        <w:gridCol w:w="1589"/>
      </w:tblGrid>
      <w:tr>
        <w:trPr/>
        <w:tc>
          <w:tcPr>
            <w:tcW w:w="137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81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$0.00001 per share</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35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number of shares of the registrant’s common stock outstanding as of August 24, 2026 was 48,092,650.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 Ended August 1,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2"/>
        <w:gridCol w:w="240"/>
        <w:gridCol w:w="241"/>
        <w:gridCol w:w="2986"/>
        <w:gridCol w:w="2943"/>
        <w:gridCol w:w="2950"/>
        <w:gridCol w:w="167"/>
        <w:gridCol w:w="167"/>
        <w:gridCol w:w="239"/>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0">
              <w:r>
                <w:rPr>
                  <w:rStyle w:val="InternetLink"/>
                  <w:rFonts w:ascii="Times New Roman;serif" w:hAnsi="Times New Roman;serif"/>
                  <w:b/>
                  <w:color w:val="0000FF"/>
                  <w:sz w:val="20"/>
                  <w:u w:val="single"/>
                </w:rPr>
                <w:t>Part I.</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0">
              <w:r>
                <w:rPr>
                  <w:rStyle w:val="InternetLink"/>
                  <w:rFonts w:ascii="Times New Roman;serif" w:hAnsi="Times New Roman;serif"/>
                  <w:b/>
                  <w:color w:val="0000FF"/>
                  <w:sz w:val="20"/>
                  <w:u w:val="single"/>
                </w:rPr>
                <w:t>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0">
              <w:r>
                <w:rPr>
                  <w:rStyle w:val="InternetLink"/>
                  <w:rFonts w:ascii="Times New Roman;serif" w:hAnsi="Times New Roman;serif"/>
                  <w:b w:val="false"/>
                  <w:color w:val="0000FF"/>
                  <w:sz w:val="20"/>
                  <w:u w:val="single"/>
                </w:rPr>
                <w:t>1</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3">
              <w:r>
                <w:rPr>
                  <w:rStyle w:val="InternetLink"/>
                  <w:rFonts w:ascii="Times New Roman;serif" w:hAnsi="Times New Roman;serif"/>
                  <w:b w:val="false"/>
                  <w:color w:val="0000FF"/>
                  <w:sz w:val="20"/>
                  <w:u w:val="single"/>
                </w:rPr>
                <w:t>Item 1.</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3">
              <w:r>
                <w:rPr>
                  <w:rStyle w:val="InternetLink"/>
                  <w:rFonts w:ascii="Times New Roman;serif" w:hAnsi="Times New Roman;serif"/>
                  <w:b w:val="false"/>
                  <w:color w:val="0000FF"/>
                  <w:sz w:val="20"/>
                  <w:u w:val="single"/>
                </w:rPr>
                <w:t>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3">
              <w:r>
                <w:rPr>
                  <w:rStyle w:val="InternetLink"/>
                  <w:rFonts w:ascii="Times New Roman;serif" w:hAnsi="Times New Roman;serif"/>
                  <w:b w:val="false"/>
                  <w:color w:val="0000FF"/>
                  <w:sz w:val="20"/>
                  <w:u w:val="single"/>
                </w:rPr>
                <w:t>1</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0500b9806a64d30836472e08573014d_16">
              <w:r>
                <w:rPr>
                  <w:rStyle w:val="InternetLink"/>
                  <w:rFonts w:ascii="Times New Roman;serif" w:hAnsi="Times New Roman;serif"/>
                  <w:b w:val="false"/>
                  <w:color w:val="0000FF"/>
                  <w:sz w:val="20"/>
                  <w:u w:val="single"/>
                </w:rPr>
                <w:t>Condensed Consolidated Balance Sheets as of August 1, 2026 and May 2, 2026</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6">
              <w:r>
                <w:rPr>
                  <w:rStyle w:val="InternetLink"/>
                  <w:rFonts w:ascii="Times New Roman;serif" w:hAnsi="Times New Roman;serif"/>
                  <w:b w:val="false"/>
                  <w:color w:val="0000FF"/>
                  <w:sz w:val="20"/>
                  <w:u w:val="single"/>
                </w:rPr>
                <w:t>1</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0500b9806a64d30836472e08573014d_19">
              <w:r>
                <w:rPr>
                  <w:rStyle w:val="InternetLink"/>
                  <w:rFonts w:ascii="Times New Roman;serif" w:hAnsi="Times New Roman;serif"/>
                  <w:b w:val="false"/>
                  <w:color w:val="0000FF"/>
                  <w:sz w:val="20"/>
                  <w:u w:val="single"/>
                </w:rPr>
                <w:t>Condensed Consolidated Statements of Operations for the Three Months Ended August 1, 2026 and August 2,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9">
              <w:r>
                <w:rPr>
                  <w:rStyle w:val="InternetLink"/>
                  <w:rFonts w:ascii="Times New Roman;serif" w:hAnsi="Times New Roman;serif"/>
                  <w:b w:val="false"/>
                  <w:color w:val="0000FF"/>
                  <w:sz w:val="20"/>
                  <w:u w:val="single"/>
                </w:rPr>
                <w:t>3</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0500b9806a64d30836472e08573014d_22">
              <w:r>
                <w:rPr>
                  <w:rStyle w:val="InternetLink"/>
                  <w:rFonts w:ascii="Times New Roman;serif" w:hAnsi="Times New Roman;serif"/>
                  <w:b w:val="false"/>
                  <w:color w:val="0000FF"/>
                  <w:sz w:val="20"/>
                  <w:u w:val="single"/>
                </w:rPr>
                <w:t>Condensed Consolidated Statements of Comprehensive Income for the Three Months Ended August 1, 2026 and August 2,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22">
              <w:r>
                <w:rPr>
                  <w:rStyle w:val="InternetLink"/>
                  <w:rFonts w:ascii="Times New Roman;serif" w:hAnsi="Times New Roman;serif"/>
                  <w:b w:val="false"/>
                  <w:color w:val="0000FF"/>
                  <w:sz w:val="20"/>
                  <w:u w:val="single"/>
                </w:rPr>
                <w:t>4</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0500b9806a64d30836472e08573014d_25">
              <w:r>
                <w:rPr>
                  <w:rStyle w:val="InternetLink"/>
                  <w:rFonts w:ascii="Times New Roman;serif" w:hAnsi="Times New Roman;serif"/>
                  <w:b w:val="false"/>
                  <w:color w:val="0000FF"/>
                  <w:sz w:val="20"/>
                  <w:u w:val="single"/>
                </w:rPr>
                <w:t>Condensed Consolidated Statements of Stockholders' Equity for the Three Months Ended August 1, 2026 and August 2,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25">
              <w:r>
                <w:rPr>
                  <w:rStyle w:val="InternetLink"/>
                  <w:rFonts w:ascii="Times New Roman;serif" w:hAnsi="Times New Roman;serif"/>
                  <w:b w:val="false"/>
                  <w:color w:val="0000FF"/>
                  <w:sz w:val="20"/>
                  <w:u w:val="single"/>
                </w:rPr>
                <w:t>5</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0500b9806a64d30836472e08573014d_28">
              <w:r>
                <w:rPr>
                  <w:rStyle w:val="InternetLink"/>
                  <w:rFonts w:ascii="Times New Roman;serif" w:hAnsi="Times New Roman;serif"/>
                  <w:b w:val="false"/>
                  <w:color w:val="0000FF"/>
                  <w:sz w:val="20"/>
                  <w:u w:val="single"/>
                </w:rPr>
                <w:t>Condensed Consolidated Statements of Cash Flows for the Three Months Ended August 1, 2026 and August 2,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28">
              <w:r>
                <w:rPr>
                  <w:rStyle w:val="InternetLink"/>
                  <w:rFonts w:ascii="Times New Roman;serif" w:hAnsi="Times New Roman;serif"/>
                  <w:b w:val="false"/>
                  <w:color w:val="0000FF"/>
                  <w:sz w:val="20"/>
                  <w:u w:val="single"/>
                </w:rPr>
                <w:t>7</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0500b9806a64d30836472e08573014d_31">
              <w:r>
                <w:rPr>
                  <w:rStyle w:val="InternetLink"/>
                  <w:rFonts w:ascii="Times New Roman;serif" w:hAnsi="Times New Roman;serif"/>
                  <w:b w:val="false"/>
                  <w:color w:val="0000FF"/>
                  <w:sz w:val="20"/>
                  <w:u w:val="single"/>
                </w:rPr>
                <w:t>Notes to the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31">
              <w:r>
                <w:rPr>
                  <w:rStyle w:val="InternetLink"/>
                  <w:rFonts w:ascii="Times New Roman;serif" w:hAnsi="Times New Roman;serif"/>
                  <w:b w:val="false"/>
                  <w:color w:val="0000FF"/>
                  <w:sz w:val="20"/>
                  <w:u w:val="single"/>
                </w:rPr>
                <w:t>8</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76">
              <w:r>
                <w:rPr>
                  <w:rStyle w:val="InternetLink"/>
                  <w:rFonts w:ascii="Times New Roman;serif" w:hAnsi="Times New Roman;serif"/>
                  <w:b w:val="false"/>
                  <w:color w:val="0000FF"/>
                  <w:sz w:val="20"/>
                  <w:u w:val="single"/>
                </w:rPr>
                <w:t>Item 2.</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76">
              <w:r>
                <w:rPr>
                  <w:rStyle w:val="InternetLink"/>
                  <w:rFonts w:ascii="Times New Roman;serif" w:hAnsi="Times New Roman;serif"/>
                  <w:b w:val="false"/>
                  <w:color w:val="0000FF"/>
                  <w:sz w:val="20"/>
                  <w:u w:val="single"/>
                </w:rPr>
                <w:t>21</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94">
              <w:r>
                <w:rPr>
                  <w:rStyle w:val="InternetLink"/>
                  <w:rFonts w:ascii="Times New Roman;serif" w:hAnsi="Times New Roman;serif"/>
                  <w:b w:val="false"/>
                  <w:color w:val="0000FF"/>
                  <w:sz w:val="20"/>
                  <w:u w:val="single"/>
                </w:rPr>
                <w:t>Item 3.</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94">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94">
              <w:r>
                <w:rPr>
                  <w:rStyle w:val="InternetLink"/>
                  <w:rFonts w:ascii="Times New Roman;serif" w:hAnsi="Times New Roman;serif"/>
                  <w:b w:val="false"/>
                  <w:color w:val="0000FF"/>
                  <w:sz w:val="20"/>
                  <w:u w:val="single"/>
                </w:rPr>
                <w:t>30</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97">
              <w:r>
                <w:rPr>
                  <w:rStyle w:val="InternetLink"/>
                  <w:rFonts w:ascii="Times New Roman;serif" w:hAnsi="Times New Roman;serif"/>
                  <w:b w:val="false"/>
                  <w:color w:val="0000FF"/>
                  <w:sz w:val="20"/>
                  <w:u w:val="single"/>
                </w:rPr>
                <w:t>Item 4.</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97">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97">
              <w:r>
                <w:rPr>
                  <w:rStyle w:val="InternetLink"/>
                  <w:rFonts w:ascii="Times New Roman;serif" w:hAnsi="Times New Roman;serif"/>
                  <w:b w:val="false"/>
                  <w:color w:val="0000FF"/>
                  <w:sz w:val="20"/>
                  <w:u w:val="single"/>
                </w:rPr>
                <w:t>30</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00">
              <w:r>
                <w:rPr>
                  <w:rStyle w:val="InternetLink"/>
                  <w:rFonts w:ascii="Times New Roman;serif" w:hAnsi="Times New Roman;serif"/>
                  <w:b/>
                  <w:color w:val="0000FF"/>
                  <w:sz w:val="20"/>
                  <w:u w:val="single"/>
                </w:rPr>
                <w:t>Part II.</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00">
              <w:r>
                <w:rPr>
                  <w:rStyle w:val="InternetLink"/>
                  <w:rFonts w:ascii="Times New Roman;serif" w:hAnsi="Times New Roman;serif"/>
                  <w:b/>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00">
              <w:r>
                <w:rPr>
                  <w:rStyle w:val="InternetLink"/>
                  <w:rFonts w:ascii="Times New Roman;serif" w:hAnsi="Times New Roman;serif"/>
                  <w:b w:val="false"/>
                  <w:color w:val="0000FF"/>
                  <w:sz w:val="20"/>
                  <w:u w:val="single"/>
                </w:rPr>
                <w:t>31</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03">
              <w:r>
                <w:rPr>
                  <w:rStyle w:val="InternetLink"/>
                  <w:rFonts w:ascii="Times New Roman;serif" w:hAnsi="Times New Roman;serif"/>
                  <w:b w:val="false"/>
                  <w:color w:val="0000FF"/>
                  <w:sz w:val="20"/>
                  <w:u w:val="single"/>
                </w:rPr>
                <w:t>Item 1.</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03">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03">
              <w:r>
                <w:rPr>
                  <w:rStyle w:val="InternetLink"/>
                  <w:rFonts w:ascii="Times New Roman;serif" w:hAnsi="Times New Roman;serif"/>
                  <w:b w:val="false"/>
                  <w:color w:val="0000FF"/>
                  <w:sz w:val="20"/>
                  <w:u w:val="single"/>
                </w:rPr>
                <w:t>31</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06">
              <w:r>
                <w:rPr>
                  <w:rStyle w:val="InternetLink"/>
                  <w:rFonts w:ascii="Times New Roman;serif" w:hAnsi="Times New Roman;serif"/>
                  <w:b w:val="false"/>
                  <w:color w:val="0000FF"/>
                  <w:sz w:val="20"/>
                  <w:u w:val="single"/>
                </w:rPr>
                <w:t>Item 1A.</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06">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06">
              <w:r>
                <w:rPr>
                  <w:rStyle w:val="InternetLink"/>
                  <w:rFonts w:ascii="Times New Roman;serif" w:hAnsi="Times New Roman;serif"/>
                  <w:b w:val="false"/>
                  <w:color w:val="0000FF"/>
                  <w:sz w:val="20"/>
                  <w:u w:val="single"/>
                </w:rPr>
                <w:t>31</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09">
              <w:r>
                <w:rPr>
                  <w:rStyle w:val="InternetLink"/>
                  <w:rFonts w:ascii="Times New Roman;serif" w:hAnsi="Times New Roman;serif"/>
                  <w:b w:val="false"/>
                  <w:color w:val="0000FF"/>
                  <w:sz w:val="20"/>
                  <w:u w:val="single"/>
                </w:rPr>
                <w:t>Item 2.</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09">
              <w:r>
                <w:rPr>
                  <w:rStyle w:val="InternetLink"/>
                  <w:rFonts w:ascii="Times New Roman;serif" w:hAnsi="Times New Roman;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09">
              <w:r>
                <w:rPr>
                  <w:rStyle w:val="InternetLink"/>
                  <w:rFonts w:ascii="Times New Roman;serif" w:hAnsi="Times New Roman;serif"/>
                  <w:b w:val="false"/>
                  <w:color w:val="0000FF"/>
                  <w:sz w:val="20"/>
                  <w:u w:val="single"/>
                </w:rPr>
                <w:t>31</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12">
              <w:r>
                <w:rPr>
                  <w:rStyle w:val="InternetLink"/>
                  <w:rFonts w:ascii="Times New Roman;serif" w:hAnsi="Times New Roman;serif"/>
                  <w:b w:val="false"/>
                  <w:color w:val="0000FF"/>
                  <w:sz w:val="20"/>
                  <w:u w:val="single"/>
                </w:rPr>
                <w:t>Item 3.</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12">
              <w:r>
                <w:rPr>
                  <w:rStyle w:val="InternetLink"/>
                  <w:rFonts w:ascii="Times New Roman;serif" w:hAnsi="Times New Roman;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12">
              <w:r>
                <w:rPr>
                  <w:rStyle w:val="InternetLink"/>
                  <w:rFonts w:ascii="Times New Roman;serif" w:hAnsi="Times New Roman;serif"/>
                  <w:b w:val="false"/>
                  <w:color w:val="0000FF"/>
                  <w:sz w:val="20"/>
                  <w:u w:val="single"/>
                </w:rPr>
                <w:t>32</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15">
              <w:r>
                <w:rPr>
                  <w:rStyle w:val="InternetLink"/>
                  <w:rFonts w:ascii="Times New Roman;serif" w:hAnsi="Times New Roman;serif"/>
                  <w:b w:val="false"/>
                  <w:color w:val="0000FF"/>
                  <w:sz w:val="20"/>
                  <w:u w:val="single"/>
                </w:rPr>
                <w:t>Item 4.</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15">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15">
              <w:r>
                <w:rPr>
                  <w:rStyle w:val="InternetLink"/>
                  <w:rFonts w:ascii="Times New Roman;serif" w:hAnsi="Times New Roman;serif"/>
                  <w:b w:val="false"/>
                  <w:color w:val="0000FF"/>
                  <w:sz w:val="20"/>
                  <w:u w:val="single"/>
                </w:rPr>
                <w:t>32</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18">
              <w:r>
                <w:rPr>
                  <w:rStyle w:val="InternetLink"/>
                  <w:rFonts w:ascii="Times New Roman;serif" w:hAnsi="Times New Roman;serif"/>
                  <w:b w:val="false"/>
                  <w:color w:val="0000FF"/>
                  <w:sz w:val="20"/>
                  <w:u w:val="single"/>
                </w:rPr>
                <w:t>Item 5.</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18">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18">
              <w:r>
                <w:rPr>
                  <w:rStyle w:val="InternetLink"/>
                  <w:rFonts w:ascii="Times New Roman;serif" w:hAnsi="Times New Roman;serif"/>
                  <w:b w:val="false"/>
                  <w:color w:val="0000FF"/>
                  <w:sz w:val="20"/>
                  <w:u w:val="single"/>
                </w:rPr>
                <w:t>32</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21">
              <w:r>
                <w:rPr>
                  <w:rStyle w:val="InternetLink"/>
                  <w:rFonts w:ascii="Times New Roman;serif" w:hAnsi="Times New Roman;serif"/>
                  <w:b w:val="false"/>
                  <w:color w:val="0000FF"/>
                  <w:sz w:val="20"/>
                  <w:u w:val="single"/>
                </w:rPr>
                <w:t>Item 6.</w:t>
              </w:r>
            </w:hyperlink>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500b9806a64d30836472e08573014d_121">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21">
              <w:r>
                <w:rPr>
                  <w:rStyle w:val="InternetLink"/>
                  <w:rFonts w:ascii="Times New Roman;serif" w:hAnsi="Times New Roman;serif"/>
                  <w:b w:val="false"/>
                  <w:color w:val="0000FF"/>
                  <w:sz w:val="20"/>
                  <w:u w:val="single"/>
                </w:rPr>
                <w:t>32</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24">
              <w:r>
                <w:rPr>
                  <w:rStyle w:val="InternetLink"/>
                  <w:rFonts w:ascii="Times New Roman;serif" w:hAnsi="Times New Roman;serif"/>
                  <w:b/>
                  <w:color w:val="0000FF"/>
                  <w:sz w:val="20"/>
                  <w:u w:val="single"/>
                </w:rPr>
                <w:t>Index to 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24">
              <w:r>
                <w:rPr>
                  <w:rStyle w:val="InternetLink"/>
                  <w:rFonts w:ascii="Times New Roman;serif" w:hAnsi="Times New Roman;serif"/>
                  <w:b w:val="false"/>
                  <w:color w:val="0000FF"/>
                  <w:sz w:val="20"/>
                  <w:u w:val="single"/>
                </w:rPr>
                <w:t>33</w:t>
              </w:r>
            </w:hyperlink>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500b9806a64d30836472e08573014d_127">
              <w:r>
                <w:rPr>
                  <w:rStyle w:val="InternetLink"/>
                  <w:rFonts w:ascii="Times New Roman;serif" w:hAnsi="Times New Roman;serif"/>
                  <w:b/>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500b9806a64d30836472e08573014d_127">
              <w:r>
                <w:rPr>
                  <w:rStyle w:val="InternetLink"/>
                  <w:rFonts w:ascii="Times New Roman;serif" w:hAnsi="Times New Roman;serif"/>
                  <w:b w:val="false"/>
                  <w:color w:val="0000FF"/>
                  <w:sz w:val="20"/>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before="0" w:after="0"/>
        <w:jc w:val="center"/>
        <w:rPr/>
      </w:pPr>
      <w:r>
        <w:rPr/>
      </w:r>
    </w:p>
    <w:tbl>
      <w:tblPr>
        <w:tblW w:w="7089" w:type="dxa"/>
        <w:jc w:val="left"/>
        <w:tblInd w:w="0" w:type="dxa"/>
        <w:tblLayout w:type="fixed"/>
        <w:tblCellMar>
          <w:top w:w="28" w:type="dxa"/>
          <w:left w:w="28" w:type="dxa"/>
          <w:bottom w:w="28" w:type="dxa"/>
          <w:right w:w="28" w:type="dxa"/>
        </w:tblCellMar>
      </w:tblPr>
      <w:tblGrid>
        <w:gridCol w:w="1596"/>
        <w:gridCol w:w="1410"/>
        <w:gridCol w:w="1419"/>
        <w:gridCol w:w="211"/>
        <w:gridCol w:w="826"/>
        <w:gridCol w:w="109"/>
        <w:gridCol w:w="109"/>
        <w:gridCol w:w="109"/>
        <w:gridCol w:w="109"/>
        <w:gridCol w:w="211"/>
        <w:gridCol w:w="82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w:t>
              <w:br/>
              <w:t>2026</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 less 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Right of use, investment in affiliates,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673"/>
        <w:gridCol w:w="2353"/>
        <w:gridCol w:w="2357"/>
        <w:gridCol w:w="211"/>
        <w:gridCol w:w="826"/>
        <w:gridCol w:w="109"/>
        <w:gridCol w:w="109"/>
        <w:gridCol w:w="109"/>
        <w:gridCol w:w="109"/>
        <w:gridCol w:w="211"/>
        <w:gridCol w:w="826"/>
        <w:gridCol w:w="312"/>
      </w:tblGrid>
      <w:tr>
        <w:trPr/>
        <w:tc>
          <w:tcPr>
            <w:tcW w:w="267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w:t>
              <w:br/>
              <w:t>2026</w:t>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193,708 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warranty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24,362 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20,655 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59,957 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$0.00001 par value, authorized 5,000 shares; no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authorized 115,000 shares; 53,715 and 53,650 shares issued as of August 1, 2026 and May 2, 2026,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5,631 and 5,406 shares as of August 1, 2026 and May 2, 2026,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(65,324)</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300,747 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554,412 </w:t>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309" w:type="dxa"/>
        <w:jc w:val="left"/>
        <w:tblInd w:w="0" w:type="dxa"/>
        <w:tblLayout w:type="fixed"/>
        <w:tblCellMar>
          <w:top w:w="28" w:type="dxa"/>
          <w:left w:w="28" w:type="dxa"/>
          <w:bottom w:w="28" w:type="dxa"/>
          <w:right w:w="28" w:type="dxa"/>
        </w:tblCellMar>
      </w:tblPr>
      <w:tblGrid>
        <w:gridCol w:w="1164"/>
        <w:gridCol w:w="1017"/>
        <w:gridCol w:w="1028"/>
        <w:gridCol w:w="211"/>
        <w:gridCol w:w="826"/>
        <w:gridCol w:w="109"/>
        <w:gridCol w:w="109"/>
        <w:gridCol w:w="109"/>
        <w:gridCol w:w="109"/>
        <w:gridCol w:w="211"/>
        <w:gridCol w:w="826"/>
        <w:gridCol w:w="109"/>
        <w:gridCol w:w="109"/>
        <w:gridCol w:w="109"/>
        <w:gridCol w:w="109"/>
        <w:gridCol w:w="154"/>
      </w:tblGrid>
      <w:tr>
        <w:trPr/>
        <w:tc>
          <w:tcPr>
            <w:tcW w:w="116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design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165" w:type="dxa"/>
        <w:jc w:val="left"/>
        <w:tblInd w:w="0" w:type="dxa"/>
        <w:tblLayout w:type="fixed"/>
        <w:tblCellMar>
          <w:top w:w="28" w:type="dxa"/>
          <w:left w:w="28" w:type="dxa"/>
          <w:bottom w:w="28" w:type="dxa"/>
          <w:right w:w="28" w:type="dxa"/>
        </w:tblCellMar>
      </w:tblPr>
      <w:tblGrid>
        <w:gridCol w:w="1548"/>
        <w:gridCol w:w="1357"/>
        <w:gridCol w:w="1370"/>
        <w:gridCol w:w="211"/>
        <w:gridCol w:w="721"/>
        <w:gridCol w:w="109"/>
        <w:gridCol w:w="109"/>
        <w:gridCol w:w="109"/>
        <w:gridCol w:w="109"/>
        <w:gridCol w:w="211"/>
        <w:gridCol w:w="721"/>
        <w:gridCol w:w="109"/>
        <w:gridCol w:w="109"/>
        <w:gridCol w:w="109"/>
        <w:gridCol w:w="109"/>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999" w:type="dxa"/>
        <w:jc w:val="left"/>
        <w:tblInd w:w="0" w:type="dxa"/>
        <w:tblLayout w:type="fixed"/>
        <w:tblCellMar>
          <w:top w:w="28" w:type="dxa"/>
          <w:left w:w="28" w:type="dxa"/>
          <w:bottom w:w="28" w:type="dxa"/>
          <w:right w:w="28" w:type="dxa"/>
        </w:tblCellMar>
      </w:tblPr>
      <w:tblGrid>
        <w:gridCol w:w="640"/>
        <w:gridCol w:w="220"/>
        <w:gridCol w:w="221"/>
        <w:gridCol w:w="323"/>
        <w:gridCol w:w="323"/>
        <w:gridCol w:w="231"/>
        <w:gridCol w:w="109"/>
        <w:gridCol w:w="109"/>
        <w:gridCol w:w="109"/>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230"/>
        <w:gridCol w:w="230"/>
        <w:gridCol w:w="231"/>
        <w:gridCol w:w="109"/>
        <w:gridCol w:w="109"/>
        <w:gridCol w:w="109"/>
        <w:gridCol w:w="196"/>
        <w:gridCol w:w="661"/>
        <w:gridCol w:w="109"/>
        <w:gridCol w:w="109"/>
        <w:gridCol w:w="109"/>
        <w:gridCol w:w="109"/>
        <w:gridCol w:w="272"/>
        <w:gridCol w:w="792"/>
        <w:gridCol w:w="152"/>
        <w:gridCol w:w="109"/>
        <w:gridCol w:w="109"/>
        <w:gridCol w:w="109"/>
        <w:gridCol w:w="196"/>
        <w:gridCol w:w="73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May 2, 2026</w:t>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300,747 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savings plan activity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1, 2026</w:t>
            </w:r>
          </w:p>
        </w:tc>
        <w:tc>
          <w:tcPr>
            <w:tcW w:w="64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53,715 </w:t>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198,895 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192,716 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(69,734)</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(4,249)</w:t>
            </w:r>
          </w:p>
        </w:tc>
        <w:tc>
          <w:tcPr>
            <w:tcW w:w="1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317,628 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1110" w:type="dxa"/>
        <w:jc w:val="left"/>
        <w:tblInd w:w="0" w:type="dxa"/>
        <w:tblLayout w:type="fixed"/>
        <w:tblCellMar>
          <w:top w:w="28" w:type="dxa"/>
          <w:left w:w="28" w:type="dxa"/>
          <w:bottom w:w="28" w:type="dxa"/>
          <w:right w:w="28" w:type="dxa"/>
        </w:tblCellMar>
      </w:tblPr>
      <w:tblGrid>
        <w:gridCol w:w="640"/>
        <w:gridCol w:w="220"/>
        <w:gridCol w:w="221"/>
        <w:gridCol w:w="323"/>
        <w:gridCol w:w="323"/>
        <w:gridCol w:w="231"/>
        <w:gridCol w:w="109"/>
        <w:gridCol w:w="109"/>
        <w:gridCol w:w="109"/>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285"/>
        <w:gridCol w:w="286"/>
        <w:gridCol w:w="231"/>
        <w:gridCol w:w="109"/>
        <w:gridCol w:w="109"/>
        <w:gridCol w:w="109"/>
        <w:gridCol w:w="196"/>
        <w:gridCol w:w="661"/>
        <w:gridCol w:w="109"/>
        <w:gridCol w:w="109"/>
        <w:gridCol w:w="109"/>
        <w:gridCol w:w="109"/>
        <w:gridCol w:w="272"/>
        <w:gridCol w:w="792"/>
        <w:gridCol w:w="152"/>
        <w:gridCol w:w="109"/>
        <w:gridCol w:w="109"/>
        <w:gridCol w:w="109"/>
        <w:gridCol w:w="196"/>
        <w:gridCol w:w="73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April 26, 2025</w:t>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(6,160)</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271,931 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savings plan activity</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purchased</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2, 2025</w:t>
            </w:r>
          </w:p>
        </w:tc>
        <w:tc>
          <w:tcPr>
            <w:tcW w:w="64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53,108 </w:t>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191,663 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144,380 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(4,627)</w:t>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(50,411)</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(5,881)</w:t>
            </w:r>
          </w:p>
        </w:tc>
        <w:tc>
          <w:tcPr>
            <w:tcW w:w="1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279,751 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DAKTRONICS,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169" w:type="dxa"/>
        <w:jc w:val="left"/>
        <w:tblInd w:w="0" w:type="dxa"/>
        <w:tblLayout w:type="fixed"/>
        <w:tblCellMar>
          <w:top w:w="28" w:type="dxa"/>
          <w:left w:w="28" w:type="dxa"/>
          <w:bottom w:w="28" w:type="dxa"/>
          <w:right w:w="28" w:type="dxa"/>
        </w:tblCellMar>
      </w:tblPr>
      <w:tblGrid>
        <w:gridCol w:w="2070"/>
        <w:gridCol w:w="1818"/>
        <w:gridCol w:w="1827"/>
        <w:gridCol w:w="196"/>
        <w:gridCol w:w="736"/>
        <w:gridCol w:w="109"/>
        <w:gridCol w:w="109"/>
        <w:gridCol w:w="109"/>
        <w:gridCol w:w="109"/>
        <w:gridCol w:w="196"/>
        <w:gridCol w:w="736"/>
        <w:gridCol w:w="154"/>
      </w:tblGrid>
      <w:tr>
        <w:trPr/>
        <w:tc>
          <w:tcPr>
            <w:tcW w:w="207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sale of property,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affiliate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Provision for doubtful accounts,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property, equipment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to equity investees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notes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common shares repurchased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CASH EQUIVALENTS AND RESTRICTED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net of refunds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schedule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of common stock under the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 and share amounts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Daktronics, Inc. and its subsidiaries (collectively, the “Company”, “Daktronics”, “we”, “our”, or “us”) is engaged principally in the design, marketing, and manufacturing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(“GAAP”) and the applicable rules and regulations of the Securities and Exchange Commission (“SEC”) for interim financial reporting. In the opinion of management, these financial statements reflect all adjustments necessary for a fair presentation of the Company’s financial position, results of operations, and cash flows for the periods presented. All such adjustments are of a normal recurring nature.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these financial statements requires us to make estimates and judgments affecting the reported amounts of assets, liabilities, revenues, and expenses and related disclosure of contingent assets and liabilities. Significant estimates include, but are not limited to, revenue recognition, warranty obligations, the fair value of long-term debt and investments in affiliates, income tax provisions, and stock-based compensation. Due to the inherent uncertainty involved in making estimates, actual results in future periods may differ from those estimates.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annual financial statements prepared in accordance with GAAP have been condensed or omitted pursuant to SEC rules and regulations. The balance sheet as of May 2, 2026, has been derived from the audited financial statements as of that date but does not include all disclosures required for annual financial statements. These interim financial statements should be read in conjunction with the Company’s audited financial statements and notes thereto included in its Annual Report on Form 10-K for the fiscal year ended May 2, 2026 (the “Form 10-K”).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Daktronics operates on a 52- or 53-week fiscal year, with our fiscal year ending on the Saturday closest to April 30 of each year. When April 30 falls on a Wednesday, the fiscal year ends on the preceding Saturday. Within each fiscal year, each quarter is comprised of a 13-week period following the beginning of each fiscal year. In each 53-week year, an additional week is added to the first quarter, and each of the last three quarters is comprised of a 13-week period. The three months ended August 1, 2026, and August 2, 2025, contained operating results for 13 and 14 weeks,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and estimates as disclosed in the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Cash and cash equivalents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are presented in the Condensed Consolidated Balance Sheets with the corresponding totals reported in the Condensed Consolidated Statements of Cash Flows.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currency cash accounts to operate our global business. These accounts are impacted by changes in foreign currency rates.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1, 2026, of our $154,585 in cash and cash equivalents, $144,294 was denominated in United States dollars, of which $10,675 was held by our foreign subsidiaries, and $10,291 was denominated in foreign currencies, of which $8,501 was maintained in accounts of our foreign subsidiaries.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Adopted</w:t>
      </w:r>
    </w:p>
    <w:p>
      <w:pPr>
        <w:pStyle w:val="TextBody"/>
        <w:bidi w:val="0"/>
        <w:spacing w:lineRule="auto" w:line="288" w:before="240" w:after="283"/>
        <w:jc w:val="both"/>
        <w:rPr/>
      </w:pPr>
      <w:r>
        <w:rPr>
          <w:rFonts w:ascii="Times New Roman;serif" w:hAnsi="Times New Roman;serif"/>
          <w:b w:val="false"/>
          <w:color w:val="000000"/>
          <w:sz w:val="20"/>
        </w:rPr>
        <w:t xml:space="preserve">In July 2025, the Financial Accounting Standards Board (the “FASB”) issued Accounting Standards Update (“ASU”) 2025-05, </w:t>
      </w:r>
      <w:r>
        <w:rPr>
          <w:rFonts w:ascii="Times New Roman;serif" w:hAnsi="Times New Roman;serif"/>
          <w:b w:val="false"/>
          <w:i/>
          <w:color w:val="000000"/>
          <w:sz w:val="20"/>
        </w:rPr>
        <w:t xml:space="preserve">Financial Instruments – Credit Losses (Topic 326): Measurement of Credit Losses for Accounts Receivable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 xml:space="preserve">Contract Assets </w:t>
      </w:r>
      <w:r>
        <w:rPr>
          <w:rFonts w:ascii="Times New Roman;serif" w:hAnsi="Times New Roman;serif"/>
          <w:b w:val="false"/>
          <w:color w:val="000000"/>
          <w:sz w:val="20"/>
        </w:rPr>
        <w:t xml:space="preserve">("ASU 2025-05"). ASU 2025-05 provides a practical expedient that all entities can use when estimating expected credit losses for current accounts receivable and current contract assets arising from transactions accounted for under Accounting Standards Codification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The Company adopted the guidance prospectively in this fiscal year beginning May 3, 2026. The adoption of this standard did not have a material impact on our unaudited condensed consolidated financial statements and related disclosures.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0"/>
        </w:rPr>
        <w:t>(“ASU 2024-03”), requiring disclosure in the notes to the financial statements for specified information about certain costs and expenses. ASU 2024-03 is effective for annual periods beginning after December 15, 2026 and for interim periods beginning after December 15, 2027; however, early adoption is permitted and can be applied either prospectively or retrospectively. We are currently evaluating the impact of ASU 2024-03 on our expense disaggregation disclosures.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w:t>
      </w:r>
      <w:r>
        <w:rPr>
          <w:color w:val="000000"/>
        </w:rPr>
        <w:t xml:space="preserve"> </w:t>
      </w:r>
      <w:r>
        <w:rPr>
          <w:rFonts w:ascii="Times New Roman;serif" w:hAnsi="Times New Roman;serif"/>
          <w:b w:val="false"/>
          <w:color w:val="000000"/>
          <w:sz w:val="20"/>
        </w:rPr>
        <w:t>(“ASU 2025-06”), which modernizes the accounting for internal-use software costs to reflect current development practices. The update eliminates the previous three-stage model (preliminary, application development, and post-implementation) and instead introduces a principles-based approach. Under the new guidance, capitalization begins when (1) management authorizes and commits to funding the project, and (2) it is probable the project will be completed and the software will be used for its intended purpose. ASU 2025-06 is effective for annual periods beginning after December 15, 2027, with early adoption permitted and transition options including prospective, retrospective, or modified retrospective application. We are currently evaluating the impact of ASU 2025-06 on our accounting policies and disclosures.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(“ASU 2025-11”).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2025-11 is effective for annual periods beginning after December 15, 2027, including interim periods within that annual period. We are currently evaluating the impact of ASU 2025-11 on our accounting policies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Investments in Affiliates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use the equity method to account for investments in companies if our investment provides us with the ability to exercise significant influence over operating and financial policies of the investee. Our judgment regarding the level of influence over each equity method investee includes considering key factors such as our ownership interest, representation on the board of directors, participation in policy-making decisions, other commercial arrangements, and material intercompany transactions.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Miortech</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evaluated the nature of our investment in an affiliate of Miortech (dba Etulipa) (“Miortech”), which is focused on developing low power outdoor electrowetting technology. Our ownership in Miortech was 55.9 percent as of August 1, 2026. The aggregate amount of our investments accounted for under the equity method was zero as of both August 1, 2026 and May 2, 2026. We had no Miortech-related activity during the three months ended August 1, 2026. Miortech filed for bankruptcy with the Dutch courts in May 2026, and the ultimate outcome of the bankruptcy proceedings remains uncertain.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proportional share of the affiliate earnings or losses is included in the “Other expense, net” line item in our Condensed Consolidated Statements of Operations. For the three months ended August 1, 2026 and August 2, 2025, our share of the losses of our affiliate in Miortech was zero and $224,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advanced loans to Miortech under convertible and promissory notes (collectively, the “Miortech Affiliate Notes”). We had no advances during the three months ended August 1, 2026 and had advanced $1,283 in fiscal 2026 under the Miortech Affiliate Notes. We had no accrued interest related to the Miortech Affiliate Notes as of August 1, 2026 and had accrued interest of $228 as of May 2, 2026. The total face value of the outstanding amount of the Miortech Affiliate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Notes was $5,429 as of both August 1, 2026 and May 2, 2026. The balances of Miortech Affiliate Notes are included in the “Right of use, investment in affiliates, and other assets” line item in our Consolidated Balance Sheets. We evaluate the Miortech Affiliate Notes for impairment and credit losses. During the fourth quarter of fiscal 2026, we recorded a provision of $3,750 related to the Miortech Affiliate Notes which were deemed to be uncollectible.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balance of our Miortech Affiliate Note totaled zero as of both August 1, 2026 and May 2,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XDC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22, 2025, the Company acquired a display business (the “Display Business”) consisting of intellectual property, equipment assets, technical expertise, contract rights, other personal property, and related assets (collectively, the “Display Business Assets”) from X Display Company Technology Limited (“XDC,” and such acquisition, the “XDC Acquisition”). Prior to the XDC Acquisition, the Company held an equity interest in XDC that was accounted for under the equity method and engaged in various related party transactions with XDC. As a result of the XDC Acquisition, XDC is no longer accounted for as an equity method investee and the Company no longer has related party transactions with XDC. Accordingly, there were no equity method earnings or losses, affiliate note activity, or related party transactions with XDC during the three months ended August 1, 2026. The disclosures below are presented solely for comparability to the prior-year period, which was before the XDC Acquisition.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proportional share of the affiliate earnings or losses is included in the “Other expense, net” in our Condensed Consolidated Statements of Operations. For the three months ended August 2, 2025, our share of affiliate losses recognized was $581.</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had provided funding to XDC through promissory notes, some of which were convertible (collectively, the “XDC Affiliate Notes”). During fiscal year 2026, we advanced $4,100 to XDC under the XDC Affiliate Notes. Accrued interest on the XDC Affiliate Notes was $449 as of May 2,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prior to the XDC Acquisition, we engaged in related party transactions with XDC, primarily for research and development services. For the three months ended August 2, 2025, we recorded expenses of $32 in “Product design and development.” Unpaid amounts related to these services were $109 as of August 2, 2025 and are included in “Accounts payable.”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compute earnings per share (“EPS”) in accordance with the provisions of Accounting Standards Codification Topic 260, Earnings Per Share. Basic EPS is calculated by dividing net income attributable to holders of our common stock, par value $0.00001 per share (“Common Stock”), by the weighted average number of common shares outstanding during the reporting period. Diluted EPS reflects the potential dilution that could occur if securities or other contracts to issue common stock were exercised, converted, or otherwise resulted in the issuance of common shares that participate in our earnings.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net income and shares of Common Stock amounts used in the calculation of basic and diluted EPS for the three months ended August 1, 2026, and August 2,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tbl>
      <w:tblPr>
        <w:tblW w:w="8349" w:type="dxa"/>
        <w:jc w:val="left"/>
        <w:tblInd w:w="0" w:type="dxa"/>
        <w:tblLayout w:type="fixed"/>
        <w:tblCellMar>
          <w:top w:w="28" w:type="dxa"/>
          <w:left w:w="28" w:type="dxa"/>
          <w:bottom w:w="28" w:type="dxa"/>
          <w:right w:w="28" w:type="dxa"/>
        </w:tblCellMar>
      </w:tblPr>
      <w:tblGrid>
        <w:gridCol w:w="1975"/>
        <w:gridCol w:w="1739"/>
        <w:gridCol w:w="1745"/>
        <w:gridCol w:w="211"/>
        <w:gridCol w:w="721"/>
        <w:gridCol w:w="109"/>
        <w:gridCol w:w="109"/>
        <w:gridCol w:w="109"/>
        <w:gridCol w:w="109"/>
        <w:gridCol w:w="211"/>
        <w:gridCol w:w="721"/>
        <w:gridCol w:w="109"/>
        <w:gridCol w:w="109"/>
        <w:gridCol w:w="109"/>
        <w:gridCol w:w="109"/>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 basic</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 diluted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 associated with stock compensation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assuming dilution</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August 2, 2025, 29 shares of potential common stock related to stock-based compensation plans were excluded from the computation of diluted EPS because their inclusion would have been anti-dilutive. The excluded shares included options outstanding to purchase 24 shares of common stock with a weighted average exercise price of $11.87.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Revenue Recognition</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Disaggregation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606-10-50, we disaggregate revenue from contracts with customers by the type of performance obligation and the timing of revenue recognition. We determined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disaggregated revenue by segment:</w:t>
      </w:r>
    </w:p>
    <w:tbl>
      <w:tblPr>
        <w:tblW w:w="10205" w:type="dxa"/>
        <w:jc w:val="left"/>
        <w:tblInd w:w="0" w:type="dxa"/>
        <w:tblLayout w:type="fixed"/>
        <w:tblCellMar>
          <w:top w:w="28" w:type="dxa"/>
          <w:left w:w="28" w:type="dxa"/>
          <w:bottom w:w="28" w:type="dxa"/>
          <w:right w:w="28" w:type="dxa"/>
        </w:tblCellMar>
      </w:tblPr>
      <w:tblGrid>
        <w:gridCol w:w="521"/>
        <w:gridCol w:w="446"/>
        <w:gridCol w:w="448"/>
        <w:gridCol w:w="237"/>
        <w:gridCol w:w="811"/>
        <w:gridCol w:w="123"/>
        <w:gridCol w:w="109"/>
        <w:gridCol w:w="109"/>
        <w:gridCol w:w="109"/>
        <w:gridCol w:w="212"/>
        <w:gridCol w:w="724"/>
        <w:gridCol w:w="109"/>
        <w:gridCol w:w="109"/>
        <w:gridCol w:w="109"/>
        <w:gridCol w:w="109"/>
        <w:gridCol w:w="223"/>
        <w:gridCol w:w="764"/>
        <w:gridCol w:w="115"/>
        <w:gridCol w:w="109"/>
        <w:gridCol w:w="109"/>
        <w:gridCol w:w="109"/>
        <w:gridCol w:w="285"/>
        <w:gridCol w:w="977"/>
        <w:gridCol w:w="149"/>
        <w:gridCol w:w="109"/>
        <w:gridCol w:w="109"/>
        <w:gridCol w:w="109"/>
        <w:gridCol w:w="249"/>
        <w:gridCol w:w="852"/>
        <w:gridCol w:w="130"/>
        <w:gridCol w:w="109"/>
        <w:gridCol w:w="109"/>
        <w:gridCol w:w="109"/>
        <w:gridCol w:w="211"/>
        <w:gridCol w:w="826"/>
        <w:gridCol w:w="158"/>
      </w:tblGrid>
      <w:tr>
        <w:trPr/>
        <w:tc>
          <w:tcPr>
            <w:tcW w:w="5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August 1, 2026</w:t>
            </w:r>
          </w:p>
        </w:tc>
      </w:tr>
      <w:tr>
        <w:trPr/>
        <w:tc>
          <w:tcPr>
            <w:tcW w:w="1415"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High School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Type of performance obligation</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Unique configuration</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configuration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234,565 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Goods/services transferred at a point in time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Goods/services transferred over time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234,565 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21"/>
        <w:gridCol w:w="446"/>
        <w:gridCol w:w="448"/>
        <w:gridCol w:w="237"/>
        <w:gridCol w:w="811"/>
        <w:gridCol w:w="123"/>
        <w:gridCol w:w="109"/>
        <w:gridCol w:w="109"/>
        <w:gridCol w:w="109"/>
        <w:gridCol w:w="212"/>
        <w:gridCol w:w="724"/>
        <w:gridCol w:w="109"/>
        <w:gridCol w:w="109"/>
        <w:gridCol w:w="109"/>
        <w:gridCol w:w="109"/>
        <w:gridCol w:w="223"/>
        <w:gridCol w:w="764"/>
        <w:gridCol w:w="115"/>
        <w:gridCol w:w="109"/>
        <w:gridCol w:w="109"/>
        <w:gridCol w:w="109"/>
        <w:gridCol w:w="285"/>
        <w:gridCol w:w="977"/>
        <w:gridCol w:w="149"/>
        <w:gridCol w:w="109"/>
        <w:gridCol w:w="109"/>
        <w:gridCol w:w="109"/>
        <w:gridCol w:w="249"/>
        <w:gridCol w:w="852"/>
        <w:gridCol w:w="130"/>
        <w:gridCol w:w="109"/>
        <w:gridCol w:w="109"/>
        <w:gridCol w:w="109"/>
        <w:gridCol w:w="211"/>
        <w:gridCol w:w="826"/>
        <w:gridCol w:w="158"/>
      </w:tblGrid>
      <w:tr>
        <w:trPr/>
        <w:tc>
          <w:tcPr>
            <w:tcW w:w="5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August 2, 2025</w:t>
            </w:r>
          </w:p>
        </w:tc>
      </w:tr>
      <w:tr>
        <w:trPr/>
        <w:tc>
          <w:tcPr>
            <w:tcW w:w="1415"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High School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Type of performance obligation</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Unique configuration</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configuration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Goods/services transferred at a point in time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Goods/services transferred over time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5. Segment Reporting" for a disaggregation of revenue by geography.</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 balances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clients in excess of revenue recognized to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changes in our contract assets and liabilities:</w:t>
      </w:r>
    </w:p>
    <w:tbl>
      <w:tblPr>
        <w:tblW w:w="7921" w:type="dxa"/>
        <w:jc w:val="left"/>
        <w:tblInd w:w="0" w:type="dxa"/>
        <w:tblLayout w:type="fixed"/>
        <w:tblCellMar>
          <w:top w:w="28" w:type="dxa"/>
          <w:left w:w="28" w:type="dxa"/>
          <w:bottom w:w="28" w:type="dxa"/>
          <w:right w:w="28" w:type="dxa"/>
        </w:tblCellMar>
      </w:tblPr>
      <w:tblGrid>
        <w:gridCol w:w="971"/>
        <w:gridCol w:w="854"/>
        <w:gridCol w:w="859"/>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93"/>
        <w:gridCol w:w="293"/>
        <w:gridCol w:w="472"/>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br/>
              <w:t>Change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our contract assets and contract liabilities from May 2, 2026 to August 1, 2026 were due to the timing of billing schedules and revenue recognition, which can vary significantly depending on the contractual payment terms and the seasonality of the sports markets. We had no significant impairments of contract assets for the three months ended August 1,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service-type warranty contracts, we allocate revenue to the performance obligation, recognize the revenue over time, and recognize costs as incurred. Earned and unearned revenues for these contracts are included in the “Contract assets” and “Contract liabilities” line items of our Consolidated Balance Sheets. Changes in unearned service-type warranty contracts, net were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tbl>
      <w:tblPr>
        <w:tblW w:w="4431" w:type="dxa"/>
        <w:jc w:val="left"/>
        <w:tblInd w:w="0" w:type="dxa"/>
        <w:tblLayout w:type="fixed"/>
        <w:tblCellMar>
          <w:top w:w="28" w:type="dxa"/>
          <w:left w:w="28" w:type="dxa"/>
          <w:bottom w:w="28" w:type="dxa"/>
          <w:right w:w="28" w:type="dxa"/>
        </w:tblCellMar>
      </w:tblPr>
      <w:tblGrid>
        <w:gridCol w:w="1212"/>
        <w:gridCol w:w="1062"/>
        <w:gridCol w:w="1071"/>
        <w:gridCol w:w="211"/>
        <w:gridCol w:w="72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2,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contracts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reductions for 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1,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loss provision on contracts in process identified as loss contracts as of August 1, 2026 and May 2, 2026 were immaterial. Loss provisions are recorded in the “Accrued expenses” line item in our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August 1, 2026, we recognized $45,347 related to our contract liabilities as of May 2, 2026.</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Remaining performance obligations and revenue recognized from past performance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1, 2026, the aggregate amount of the transaction price allocated to the remaining performance obligations was $380,403. Remaining performance obligations related to product and service agreements as of August 1, 2026 were $311,280 and $69,123, respectively. We expect approximately $328,354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periods during the three months ended August 1, 2026 and August 2,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Segment Reporting</w:t>
      </w:r>
    </w:p>
    <w:p>
      <w:pPr>
        <w:pStyle w:val="TextBody"/>
        <w:bidi w:val="0"/>
        <w:spacing w:lineRule="auto" w:line="288" w:before="240" w:after="283"/>
        <w:jc w:val="both"/>
        <w:rPr/>
      </w:pPr>
      <w:r>
        <w:rPr>
          <w:rFonts w:ascii="Times New Roman;serif" w:hAnsi="Times New Roman;serif"/>
          <w:b w:val="false"/>
          <w:color w:val="000000"/>
          <w:sz w:val="20"/>
        </w:rPr>
        <w:t xml:space="preserve">We organize and manage our business by the following five segments which meet the definition of reportable segments under ASC 280-10,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Commercial, Live Events, High School Park and Recreation, Transportation,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International. These segments are based on the customer type or geography and are the same as our operating segments/business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financial information for each of our five reporting segments for the periods indicated:</w:t>
      </w:r>
    </w:p>
    <w:tbl>
      <w:tblPr>
        <w:tblW w:w="5710" w:type="dxa"/>
        <w:jc w:val="left"/>
        <w:tblInd w:w="0" w:type="dxa"/>
        <w:tblLayout w:type="fixed"/>
        <w:tblCellMar>
          <w:top w:w="28" w:type="dxa"/>
          <w:left w:w="28" w:type="dxa"/>
          <w:bottom w:w="28" w:type="dxa"/>
          <w:right w:w="28" w:type="dxa"/>
        </w:tblCellMar>
      </w:tblPr>
      <w:tblGrid>
        <w:gridCol w:w="1018"/>
        <w:gridCol w:w="893"/>
        <w:gridCol w:w="909"/>
        <w:gridCol w:w="211"/>
        <w:gridCol w:w="721"/>
        <w:gridCol w:w="109"/>
        <w:gridCol w:w="109"/>
        <w:gridCol w:w="109"/>
        <w:gridCol w:w="109"/>
        <w:gridCol w:w="211"/>
        <w:gridCol w:w="721"/>
        <w:gridCol w:w="109"/>
        <w:gridCol w:w="109"/>
        <w:gridCol w:w="109"/>
        <w:gridCol w:w="109"/>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20"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consolidated net sales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consolidated gross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design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and amortization by reportable segment, which are included within operating expenses 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tbl>
      <w:tblPr>
        <w:tblW w:w="7945" w:type="dxa"/>
        <w:jc w:val="left"/>
        <w:tblInd w:w="0" w:type="dxa"/>
        <w:tblLayout w:type="fixed"/>
        <w:tblCellMar>
          <w:top w:w="28" w:type="dxa"/>
          <w:left w:w="28" w:type="dxa"/>
          <w:bottom w:w="28" w:type="dxa"/>
          <w:right w:w="28" w:type="dxa"/>
        </w:tblCellMar>
      </w:tblPr>
      <w:tblGrid>
        <w:gridCol w:w="1909"/>
        <w:gridCol w:w="1675"/>
        <w:gridCol w:w="1681"/>
        <w:gridCol w:w="211"/>
        <w:gridCol w:w="616"/>
        <w:gridCol w:w="109"/>
        <w:gridCol w:w="109"/>
        <w:gridCol w:w="109"/>
        <w:gridCol w:w="109"/>
        <w:gridCol w:w="211"/>
        <w:gridCol w:w="616"/>
        <w:gridCol w:w="109"/>
        <w:gridCol w:w="109"/>
        <w:gridCol w:w="109"/>
        <w:gridCol w:w="109"/>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5"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depreciation and amortization for reportable segments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depreciation and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single country comprises a material amount of our net sales or property and equipment, net of accumulated depreciation, other than the United States. The following table presents information about net sales, which are based on where the end user is located, and property and equipment, net of accumulated depreciation, in the United States and elsewhere:</w:t>
      </w:r>
    </w:p>
    <w:tbl>
      <w:tblPr>
        <w:tblW w:w="4974" w:type="dxa"/>
        <w:jc w:val="left"/>
        <w:tblInd w:w="0" w:type="dxa"/>
        <w:tblLayout w:type="fixed"/>
        <w:tblCellMar>
          <w:top w:w="28" w:type="dxa"/>
          <w:left w:w="28" w:type="dxa"/>
          <w:bottom w:w="28" w:type="dxa"/>
          <w:right w:w="28" w:type="dxa"/>
        </w:tblCellMar>
      </w:tblPr>
      <w:tblGrid>
        <w:gridCol w:w="676"/>
        <w:gridCol w:w="595"/>
        <w:gridCol w:w="603"/>
        <w:gridCol w:w="211"/>
        <w:gridCol w:w="826"/>
        <w:gridCol w:w="109"/>
        <w:gridCol w:w="109"/>
        <w:gridCol w:w="109"/>
        <w:gridCol w:w="109"/>
        <w:gridCol w:w="211"/>
        <w:gridCol w:w="826"/>
        <w:gridCol w:w="109"/>
        <w:gridCol w:w="109"/>
        <w:gridCol w:w="109"/>
        <w:gridCol w:w="109"/>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United States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478" w:type="dxa"/>
        <w:jc w:val="left"/>
        <w:tblInd w:w="0" w:type="dxa"/>
        <w:tblLayout w:type="fixed"/>
        <w:tblCellMar>
          <w:top w:w="28" w:type="dxa"/>
          <w:left w:w="28" w:type="dxa"/>
          <w:bottom w:w="28" w:type="dxa"/>
          <w:right w:w="28" w:type="dxa"/>
        </w:tblCellMar>
      </w:tblPr>
      <w:tblGrid>
        <w:gridCol w:w="1820"/>
        <w:gridCol w:w="1598"/>
        <w:gridCol w:w="1606"/>
        <w:gridCol w:w="211"/>
        <w:gridCol w:w="721"/>
        <w:gridCol w:w="109"/>
        <w:gridCol w:w="109"/>
        <w:gridCol w:w="109"/>
        <w:gridCol w:w="109"/>
        <w:gridCol w:w="211"/>
        <w:gridCol w:w="721"/>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w:t>
              <w:br/>
              <w:t>2026</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 of accumulated depreciation:</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United States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6. Goodwill</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related to each reportable segment for the three months ended August 1, 2026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tbl>
      <w:tblPr>
        <w:tblW w:w="8406" w:type="dxa"/>
        <w:jc w:val="left"/>
        <w:tblInd w:w="0" w:type="dxa"/>
        <w:tblLayout w:type="fixed"/>
        <w:tblCellMar>
          <w:top w:w="28" w:type="dxa"/>
          <w:left w:w="28" w:type="dxa"/>
          <w:bottom w:w="28" w:type="dxa"/>
          <w:right w:w="28" w:type="dxa"/>
        </w:tblCellMar>
      </w:tblPr>
      <w:tblGrid>
        <w:gridCol w:w="919"/>
        <w:gridCol w:w="806"/>
        <w:gridCol w:w="809"/>
        <w:gridCol w:w="298"/>
        <w:gridCol w:w="658"/>
        <w:gridCol w:w="154"/>
        <w:gridCol w:w="109"/>
        <w:gridCol w:w="109"/>
        <w:gridCol w:w="109"/>
        <w:gridCol w:w="263"/>
        <w:gridCol w:w="770"/>
        <w:gridCol w:w="138"/>
        <w:gridCol w:w="109"/>
        <w:gridCol w:w="109"/>
        <w:gridCol w:w="109"/>
        <w:gridCol w:w="378"/>
        <w:gridCol w:w="836"/>
        <w:gridCol w:w="197"/>
        <w:gridCol w:w="109"/>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Events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May 2, 2026</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August 1, 2026</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perform an analysis of goodwill on an annual basis, and it is tested for impairment more frequently if events or changes in circumstances indicate that an asset might be impaired. Our annual analysis is performed during the third quarter of each fiscal year based on the goodwill amount as of the first business day of our third fiscal quarter. As of August 1, 2026, no indicators of goodwill impairment has been identified since our most recently completed annual impairment test.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amount of accumulated impairments to goodwill as of August 1, 2026 and May 2, 2026 was $4,576.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Financing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p>
      <w:pPr>
        <w:pStyle w:val="TextBody"/>
        <w:bidi w:val="0"/>
        <w:spacing w:before="0" w:after="0"/>
        <w:jc w:val="left"/>
        <w:rPr/>
      </w:pPr>
      <w:r>
        <w:rPr/>
      </w:r>
    </w:p>
    <w:tbl>
      <w:tblPr>
        <w:tblW w:w="4494" w:type="dxa"/>
        <w:jc w:val="left"/>
        <w:tblInd w:w="0" w:type="dxa"/>
        <w:tblLayout w:type="fixed"/>
        <w:tblCellMar>
          <w:top w:w="28" w:type="dxa"/>
          <w:left w:w="28" w:type="dxa"/>
          <w:bottom w:w="28" w:type="dxa"/>
          <w:right w:w="28" w:type="dxa"/>
        </w:tblCellMar>
      </w:tblPr>
      <w:tblGrid>
        <w:gridCol w:w="739"/>
        <w:gridCol w:w="648"/>
        <w:gridCol w:w="653"/>
        <w:gridCol w:w="211"/>
        <w:gridCol w:w="721"/>
        <w:gridCol w:w="109"/>
        <w:gridCol w:w="109"/>
        <w:gridCol w:w="109"/>
        <w:gridCol w:w="109"/>
        <w:gridCol w:w="211"/>
        <w:gridCol w:w="721"/>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w:t>
              <w:br/>
              <w:t>2026</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Debt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gross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Credit Agreements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2025, the Company entered into a $71,500 senior secured credit facility (the “Credit Facility”) pursuant to a Credit Agreement (the “Credit Agreement”), between and among the Company, JPMorgan Chase Bank, N.A., as administrative agent (the “Administrative Agent”), the Lenders, and the other Loan Parties. The following capitalized terms have specific meanings as defined in the Credit Agreement: Lenders; Loan Parties; Adjusted Term SOFR Rate; Adjusted Daily Simple SOFR; CB Floating Rate; Total Leverage Ratio; and Fixed Charge Coverage Ratio.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Facility created pursuant to the Credit Agreement is comprised of: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xml:space="preserve">• </w:t>
      </w:r>
      <w:r>
        <w:rPr>
          <w:rFonts w:ascii="Times New Roman;serif" w:hAnsi="Times New Roman;serif"/>
          <w:b w:val="false"/>
          <w:color w:val="000000"/>
          <w:sz w:val="20"/>
        </w:rPr>
        <w:t>a $60,000 revolving credit facility (the “Revolver”), maturing on November 26, 2028 (the “Maturity Date”);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 $11,500 term loan (the “Term Loan”), amortizing in equal quarterly installments of $288, with the remaining principal due on the Maturity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and the Term Loan are guaranteed by the Loan Parties and are secured by perfected, first</w:t>
        <w:noBreakHyphen/>
        <w:t xml:space="preserve">priority liens on substantially all personal property and assets of the Company and the other Loan Parties, including intellectual property, pursuant to a pledge and security agreement and related collateral documents (collectively, the “Security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Facility bear interest, at one of the following rates to be selected by the Company, in its discretion: (i) the Adjusted Term SOFR Rate plus a 0.10% margin; (ii) the Adjusted Daily Simple SOFR plus a 0.10% margin; or (iii) the CB Floating Rate with a 0.00% margin. Amounts repaid under the Term Loan may not be reborrowed. Undrawn commitments under the Revolver accrue a commitment fee of 0.20% per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Letters of credit issued under the Revolver accrue customary fees and generally must expire no later than five business days prior to the Maturity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covenants under the Credit Agreement require the Company to maintain (i) a maximum quarterly Total Leverage Ratio of 3.00 to 1.00 and (ii) a minimum Fixed Charge Coverage Ratio of 1.25 to 1.00. There is a limited ability to exclude certain unfinanced capital expenditures from these calculations when specified liquidity thresholds are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covenants apply to borrowings under both the Revolver and the Term Loan. The Credit Agreement includes customary representations, covenants, and events of default, including limitations on incurring additional debt, liens, investments, asset sales, restricted payments, dividends, share repurchases, and affiliate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Proceeds from the Credit Facility may be used to refinance existing indebtedness and for working capital and other general corporate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 2026, the Company was in compliance with all covenants under the Credit Agreement and other agreements related to the Credit Facility. There were no advances under the Revolver portion of our line of credit, and the balance of letters of credit issued and outstanding under the Revolver was approximately $1,858. As of August 1, 2026, $58,142 of the Credit Facility remains in place and available for borrowing.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1, 2026, the Company entered into an amendment to the Credit Agreement (“Amendment No. 1”). For additional information, see “Note 13. Subsequent Events” of the Notes to our Consolidated Financial Statements included in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entering into the Credit Agreement, the Company terminated its prior senior credit facility dated May 11, 2023 (as amended, the “Prior Credit Agreement”), which consisted of an asset</w:t>
        <w:noBreakHyphen/>
        <w:t xml:space="preserve">based revolving credit facility and a delayed draw term loan. All outstanding obligations under the Prior Credit Agreement were repaid in full, and all related liens, including the mortgage on the Company’s Brookings, South Dakota real property, were released. No material early termination penalties were incurred in connection with the termination of the Prior Credit Agreement. Certain customary obligations, including indemnification and confidentiality provisions, survive the termination of the Prior Credit Agreement. </w:t>
      </w:r>
    </w:p>
    <w:p>
      <w:pPr>
        <w:pStyle w:val="TextBody"/>
        <w:bidi w:val="0"/>
        <w:spacing w:lineRule="auto" w:line="288" w:before="240" w:after="283"/>
        <w:jc w:val="both"/>
        <w:rPr/>
      </w:pPr>
      <w:r>
        <w:rPr>
          <w:rFonts w:ascii="Times New Roman;serif" w:hAnsi="Times New Roman;serif"/>
          <w:b/>
          <w:color w:val="000000"/>
          <w:sz w:val="20"/>
        </w:rPr>
        <w:t>Debt Issuance Costs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Debt issuance costs incurred in connection with our financing agreements are capitalized and amortized on a straight</w:t>
        <w:noBreakHyphen/>
        <w:t>line basis over the term of the related debt agreement. In the event of early principal repayments or the termination of a debt agreement, any remaining unamortized debt issuance costs associated with such agreement are expensed.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Amortization of debt issuance costs </w:t>
      </w:r>
      <w:r>
        <w:rPr>
          <w:rFonts w:ascii="Times New Roman;serif" w:hAnsi="Times New Roman;serif"/>
          <w:b w:val="false"/>
          <w:color w:val="000000"/>
          <w:sz w:val="20"/>
        </w:rPr>
        <w:t>totaled $14 and $403 for t</w:t>
      </w:r>
      <w:r>
        <w:rPr>
          <w:rFonts w:ascii="Times New Roman;serif" w:hAnsi="Times New Roman;serif"/>
          <w:b w:val="false"/>
          <w:color w:val="000000"/>
          <w:sz w:val="20"/>
          <w:shd w:fill="FFFFFF" w:val="clear"/>
        </w:rPr>
        <w:t xml:space="preserve">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August 1, 2026 and August 2, 2025, respectively</w:t>
      </w:r>
      <w:r>
        <w:rPr>
          <w:rFonts w:ascii="Times New Roman;serif" w:hAnsi="Times New Roman;serif"/>
          <w:b w:val="false"/>
          <w:color w:val="000000"/>
          <w:sz w:val="20"/>
          <w:shd w:fill="FFFFFF" w:val="clear"/>
        </w:rPr>
        <w:t xml:space="preserve">. The amortization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August 1, 2026</w:t>
      </w:r>
      <w:r>
        <w:rPr>
          <w:color w:val="000000"/>
          <w:shd w:fill="FFFFFF" w:val="clear"/>
        </w:rPr>
        <w:t xml:space="preserve"> </w:t>
      </w:r>
      <w:r>
        <w:rPr>
          <w:rFonts w:ascii="Times New Roman;serif" w:hAnsi="Times New Roman;serif"/>
          <w:b w:val="false"/>
          <w:color w:val="000000"/>
          <w:sz w:val="20"/>
          <w:shd w:fill="FFFFFF" w:val="clear"/>
        </w:rPr>
        <w:t xml:space="preserve">includes amortization related to the Credit Facility, whereas the amortization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August 2, 2025 includes amortization related to the Prior Credit Agreement</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August 1, 2026</w:t>
      </w:r>
      <w:r>
        <w:rPr>
          <w:rFonts w:ascii="Times New Roman;serif" w:hAnsi="Times New Roman;serif"/>
          <w:b w:val="false"/>
          <w:color w:val="000000"/>
          <w:sz w:val="20"/>
          <w:shd w:fill="FFFFFF" w:val="clear"/>
        </w:rPr>
        <w:t xml:space="preserve">, the remaining unamortized debt issuance costs of </w:t>
      </w:r>
      <w:r>
        <w:rPr>
          <w:rFonts w:ascii="Times New Roman;serif" w:hAnsi="Times New Roman;serif"/>
          <w:b w:val="false"/>
          <w:color w:val="000000"/>
          <w:sz w:val="20"/>
        </w:rPr>
        <w:t>$132</w:t>
      </w:r>
      <w:r>
        <w:rPr>
          <w:color w:val="000000"/>
          <w:shd w:fill="FFFFFF" w:val="clear"/>
        </w:rPr>
        <w:t xml:space="preserve"> </w:t>
      </w:r>
      <w:r>
        <w:rPr>
          <w:rFonts w:ascii="Times New Roman;serif" w:hAnsi="Times New Roman;serif"/>
          <w:b w:val="false"/>
          <w:color w:val="000000"/>
          <w:sz w:val="20"/>
          <w:shd w:fill="FFFFFF" w:val="clear"/>
        </w:rPr>
        <w:t>were being amortized over the remaining term of the Credit Facility.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Future Maturities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Aggregate contractual maturities of debt in future fiscal years are as follows:</w:t>
      </w:r>
    </w:p>
    <w:p>
      <w:pPr>
        <w:pStyle w:val="TextBody"/>
        <w:bidi w:val="0"/>
        <w:spacing w:before="0" w:after="0"/>
        <w:jc w:val="left"/>
        <w:rPr/>
      </w:pPr>
      <w:r>
        <w:rPr/>
      </w:r>
    </w:p>
    <w:tbl>
      <w:tblPr>
        <w:tblW w:w="2766" w:type="dxa"/>
        <w:jc w:val="left"/>
        <w:tblInd w:w="0" w:type="dxa"/>
        <w:tblLayout w:type="fixed"/>
        <w:tblCellMar>
          <w:top w:w="28" w:type="dxa"/>
          <w:left w:w="28" w:type="dxa"/>
          <w:bottom w:w="28" w:type="dxa"/>
          <w:right w:w="28" w:type="dxa"/>
        </w:tblCellMar>
      </w:tblPr>
      <w:tblGrid>
        <w:gridCol w:w="607"/>
        <w:gridCol w:w="535"/>
        <w:gridCol w:w="538"/>
        <w:gridCol w:w="211"/>
        <w:gridCol w:w="7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Fiscal years</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Amount</w:t>
            </w:r>
          </w:p>
        </w:tc>
      </w:tr>
      <w:tr>
        <w:trPr/>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2027</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Commitments and Contingencies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Litigation: </w:t>
      </w:r>
      <w:r>
        <w:rPr>
          <w:rFonts w:ascii="Times New Roman;serif" w:hAnsi="Times New Roman;serif"/>
          <w:b w:val="false"/>
          <w:color w:val="000000"/>
          <w:sz w:val="20"/>
        </w:rPr>
        <w:t xml:space="preserve">We are a party to legal proceedings and claims which arise during the ordinary course of business. We review our legal proceedings and claims, regulatory reviews and inspections, and other legal matters on an ongoing basis and follow appropriate accounting guidance when making accrual and disclosure decisions. We establish accruals for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68" w:before="0" w:after="0"/>
        <w:jc w:val="both"/>
        <w:rPr/>
      </w:pPr>
      <w:r>
        <w:rPr>
          <w:rFonts w:ascii="Times New Roman;serif" w:hAnsi="Times New Roman;serif"/>
          <w:b w:val="false"/>
          <w:color w:val="000000"/>
          <w:sz w:val="20"/>
        </w:rPr>
        <w:t xml:space="preserve">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serif" w:hAnsi="Times New Roman;serif"/>
          <w:b w:val="false"/>
          <w:i/>
          <w:color w:val="000000"/>
          <w:sz w:val="20"/>
        </w:rPr>
        <w:t>Contingencies - Loss Contingencies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assessment of whether a loss is reasonably possible or probable is based on management’s assessment and consultation with legal counsel regarding the ultimate outcome of each matter following all appeals.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other unresolved legal proceedings or claims, we do not believe there is a reasonable probability that any material loss would be incurred. Accordingly, no material accrual or disclosure of potential loss range has been made related to these matters. We do not expect the ultimate liability of these unresolved legal proceedings or claims to have a material effect on our financial position, liquidity, or capital resources.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 xml:space="preserve">Warranties: </w:t>
      </w:r>
      <w:r>
        <w:rPr>
          <w:rFonts w:ascii="Times New Roman;serif" w:hAnsi="Times New Roman;serif"/>
          <w:b w:val="false"/>
          <w:color w:val="000000"/>
          <w:sz w:val="20"/>
        </w:rPr>
        <w:t>Changes in our warranty obligation for the three months ended August 1, 2026 consisted of the following:</w:t>
      </w:r>
    </w:p>
    <w:tbl>
      <w:tblPr>
        <w:tblW w:w="9981" w:type="dxa"/>
        <w:jc w:val="left"/>
        <w:tblInd w:w="0" w:type="dxa"/>
        <w:tblLayout w:type="fixed"/>
        <w:tblCellMar>
          <w:top w:w="28" w:type="dxa"/>
          <w:left w:w="28" w:type="dxa"/>
          <w:bottom w:w="28" w:type="dxa"/>
          <w:right w:w="28" w:type="dxa"/>
        </w:tblCellMar>
      </w:tblPr>
      <w:tblGrid>
        <w:gridCol w:w="3225"/>
        <w:gridCol w:w="2826"/>
        <w:gridCol w:w="2844"/>
        <w:gridCol w:w="211"/>
        <w:gridCol w:w="721"/>
        <w:gridCol w:w="154"/>
      </w:tblGrid>
      <w:tr>
        <w:trPr/>
        <w:tc>
          <w:tcPr>
            <w:tcW w:w="3225"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r>
      <w:tr>
        <w:trPr/>
        <w:tc>
          <w:tcPr>
            <w:tcW w:w="8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accrued warranty obligations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warranty obligations for pre-existing warranties during the period, including expirations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accrued warranty obligations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 xml:space="preserve">Performance guarantees: </w:t>
      </w:r>
      <w:r>
        <w:rPr>
          <w:rFonts w:ascii="Times New Roman;serif" w:hAnsi="Times New Roman;serif"/>
          <w:b w:val="false"/>
          <w:color w:val="000000"/>
          <w:sz w:val="20"/>
        </w:rPr>
        <w:t>We have entered into standby letters of credit, bank guarantees, and surety bonds with financial institutions to support our contractual obligations, primarily related to construction-type contracts. These instruments serve as guarantees of our future performance, including the operation and installation of equipment and the completion of contractual deliverables.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 2026, we had $36,745 of bonded work outstanding and $1,858 in letters of credit outstanding.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August 1, 2026, we were not aware of any indemnification claim from a customer.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August 1, 2026 was 24.3 percent. The tax rate was primarily attributable to nontaxable and nondeductible items, State and Local income taxes, and tax credits in proportion to estimated pre-tax earnings for fiscal 2027. The effective tax rate for the three months ended August 2, 2025 of 25.9 percent was driven by nontaxable and nondeductible items and valuation allowances in proportion to estimated pre-tax earnings for fiscal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1, 2026, we had $579 of unrecognized tax benefits which would reduce our effective tax rate if recognized.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One Big Beautiful Bill Act (“OBBBA”) was enacted in the U.S. The OBBBA includes significant tax related provisions, such as the permanent extension of certain expiring provisions of the Tax Cuts and Jobs Act, modifications to the international tax framework, and the restoration of favorable tax treatment for certain business provisions. The OBBBA has multiple effective dates with the earliest provisions taking effect in fiscal 2026 and others beginning in fiscal 2027 and beyond. ASC 740, “Income Taxes,” requires the effects of changes in tax rates and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affecting current taxes to be reflected in the estimated annual effective tax rate going forward, and adjustments to existing deferred taxes to be recognized on deferred tax balances to be recognized in the period in which the legislation is enacted. We note that as of August 1, 2026, there were no material impacts to the Company’s financial statements. We will continue to evaluate the future tax and other provisions of the OBBBA and the potential effects on our financial position, results of operations, and cash flows.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2021, the Organization for Economic Co-Operation and Development (“OECD”) introduced a 15% global minimum tax under the Pillar Two GloBE model rules for multinational enterprises with annual global revenue exceeding €750 million. In January 2026, the OECD announced a “side-by-side” system under which U.S.-parented groups would be able to elect to be exempt from certain Pillar Two provisions. Additional guidance on the “side-by-side” system and implementation of such system remain subject to further discussions and clarifications from the OECD and local implementation by each OECD member country. We will be subject to Pillar Two compliance and reporting in fiscal 2027, but Pillar Two has not had a material impact on our provision for income taxes; however, we will continue to monitor as additional guidance is released by the OECD, OECD member countries based on their enacted law changes, and other standard-setting bodies.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Fair Value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our financial assets and liabilities that were accounted for at fair value on a recurring basis as of August 1, 2026 and May 2, 2026 according to the valuation techniques we used to determine their fair values. There have been no transfers of assets or liabilities among the fair value hierarchies presented.</w:t>
      </w:r>
    </w:p>
    <w:tbl>
      <w:tblPr>
        <w:tblW w:w="7320" w:type="dxa"/>
        <w:jc w:val="left"/>
        <w:tblInd w:w="0" w:type="dxa"/>
        <w:tblLayout w:type="fixed"/>
        <w:tblCellMar>
          <w:top w:w="28" w:type="dxa"/>
          <w:left w:w="28" w:type="dxa"/>
          <w:bottom w:w="28" w:type="dxa"/>
          <w:right w:w="28" w:type="dxa"/>
        </w:tblCellMar>
      </w:tblPr>
      <w:tblGrid>
        <w:gridCol w:w="919"/>
        <w:gridCol w:w="806"/>
        <w:gridCol w:w="809"/>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August 1, 2026</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May 2, 2026</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Share Repurchase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2016, our Board of Directors of the Company (the “Board” or “Board of Directors”) authorized a share repurchase program (the “FY17 Repurchase Program”) under which the Company may repurchase up to $40,000 of the Company’s outstanding shares of Common Stock. The Board approved increases to the limit under the FY17 Repurchase Program of $10,000 on March 4, 2025, $10,000 on June 23, 2025, $20,000 on December 9, 2025, and $25,897 on June 22, 2026. Following these increases, the maximum authorized value under the FY17 Repurchase Program was $105,897 as of August 1,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Repurchases under the FY17 Repurchase Program may be made from time to time in open market transactions or privately negotiated transactions, subject to business and market conditions, applicable legal requirements, and other relevant factors. The FY17 Repurchase Program does not obligate the Company to repurchase any specific number of shares, may be suspended or terminated at any time at the discretion of the Board and has no fixed expiration date.</w:t>
      </w:r>
    </w:p>
    <w:p>
      <w:pPr>
        <w:pStyle w:val="TextBody"/>
        <w:bidi w:val="0"/>
        <w:spacing w:lineRule="auto" w:line="288" w:before="240" w:after="283"/>
        <w:jc w:val="both"/>
        <w:rPr/>
      </w:pPr>
      <w:r>
        <w:rPr>
          <w:rFonts w:ascii="Times New Roman;serif" w:hAnsi="Times New Roman;serif"/>
          <w:b w:val="false"/>
          <w:color w:val="000000"/>
          <w:sz w:val="20"/>
        </w:rPr>
        <w:t>During the three months ended August 1, 2026, the Company repurchased 225 shares of Common Stock at a total cost of $4,410. As of August 1, 2026, $35,957 of the $105,897</w:t>
      </w:r>
      <w:r>
        <w:rPr>
          <w:color w:val="000000"/>
        </w:rPr>
        <w:t xml:space="preserve"> </w:t>
      </w:r>
      <w:r>
        <w:rPr>
          <w:rFonts w:ascii="Times New Roman;serif" w:hAnsi="Times New Roman;serif"/>
          <w:b w:val="false"/>
          <w:color w:val="000000"/>
          <w:sz w:val="20"/>
        </w:rPr>
        <w:t>authorized amount remained available for repurchase under the FY17 Repurchase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information on restrictions on the Company’s ability to repurchase shares under the Credit Agreement, please refer to “Note 7. Financing Agreements” of the Notes to the Condensed Consolidated Financial Statements included in this Quarterly Report on Form 10-Q and “Item 2. Unregistered Sales of Equity Securities and Use of Proceeds” of Part II of this Quarterly Report on Form 10-Q. For additional information, see “Note 13. Subsequent Events” of the Notes to the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 Related Party Transactions</w:t>
      </w:r>
    </w:p>
    <w:p>
      <w:pPr>
        <w:pStyle w:val="TextBody"/>
        <w:bidi w:val="0"/>
        <w:spacing w:lineRule="auto" w:line="288" w:before="240" w:after="283"/>
        <w:jc w:val="both"/>
        <w:rPr/>
      </w:pPr>
      <w:r>
        <w:rPr>
          <w:rFonts w:ascii="Times New Roman;serif" w:hAnsi="Times New Roman;serif"/>
          <w:b w:val="false"/>
          <w:i/>
          <w:color w:val="000000"/>
          <w:sz w:val="20"/>
        </w:rPr>
        <w:t xml:space="preserve">Daktronics Related Person Transaction Policy: </w:t>
      </w:r>
      <w:r>
        <w:rPr>
          <w:rFonts w:ascii="Times New Roman;serif" w:hAnsi="Times New Roman;serif"/>
          <w:b w:val="false"/>
          <w:color w:val="000000"/>
          <w:sz w:val="20"/>
        </w:rPr>
        <w:t xml:space="preserve">The Board of Directors has adopted the Daktronics Related Person Transaction Policy, a written policy and procedures with respect to related party transactions (the “RPT Policy”), which the Audit Committee of the Board (the "Audit Committee") oversees. Under the RPT Policy, a “Related Person Transaction” is generally defined as a transaction, arrangement, or relationship (or any series of similar transactions, arrangements, or relationships) in which: (i) the Company was, is, or will be a participant; (ii) the amount involved exceeds $120; and (iii) any “Related Person” had, has, or will have a direct or indirect material interest. The RPT Policy generally defines a "Related Person" as: (a) a director, director nominee, or executive officer of the Company at any time during the last fiscal year; (b) a beneficial owner of more than five percent of any class of our voting securities; (c) any immediate family member of any of the foregoing persons; or (d) an entity that employs any of the foregoing persons or in which any of the foregoing persons is a general partner or principal or owns a five percent or greater ownership interest. Our Chief Financial Officer is responsible for overseeing the monitoring and identification of Related Person Transactions and the appropriate reporting of any potential Related Person Transactions to the Audit Committee. The Audit Committee reviews and, if appropriate, approves Related Person Transactions, including certain transactions which are deemed to be pre-approved under the RPT Policy. On an annual basis, the Audit Committee reviews any previously approved Related Person Transactions that are ongoing. </w:t>
      </w:r>
    </w:p>
    <w:p>
      <w:pPr>
        <w:pStyle w:val="TextBody"/>
        <w:bidi w:val="0"/>
        <w:spacing w:lineRule="auto" w:line="288" w:before="240" w:after="283"/>
        <w:jc w:val="both"/>
        <w:rPr/>
      </w:pPr>
      <w:r>
        <w:rPr>
          <w:rFonts w:ascii="Times New Roman;serif" w:hAnsi="Times New Roman;serif"/>
          <w:b w:val="false"/>
          <w:i/>
          <w:color w:val="000000"/>
          <w:sz w:val="20"/>
        </w:rPr>
        <w:t>Transactions with Milwaukee Bucks Inc.:</w:t>
      </w:r>
      <w:r>
        <w:rPr>
          <w:color w:val="000000"/>
        </w:rPr>
        <w:t xml:space="preserve"> </w:t>
      </w:r>
      <w:r>
        <w:rPr>
          <w:rFonts w:ascii="Times New Roman;serif" w:hAnsi="Times New Roman;serif"/>
          <w:b w:val="false"/>
          <w:color w:val="000000"/>
          <w:sz w:val="20"/>
        </w:rPr>
        <w:t xml:space="preserve">On April 29, 2025, the Company entered into a contract with Milwaukee Bucks Inc. The total value of the contract was $683. The terms of the above-referenced arrangement between the Company and Milwaukee Bucks Inc. were arm’s-length transactions made in the ordinary course of the Company’s business. Peter Feigin, a member of the Board, was the President of Milwaukee Bucks Inc. at the time of the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Subsequent Events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1, 2026, the Board voted to terminate the FY17 Repurchase Program and to implement a new program authorizing repurchases of outstanding shares of Common Stock (the “FY27 Repurchase Program”), in each case effective immediately. The total amount authorized for repurchases under the FY27 Repurchase Program is $34,500.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Share repurchases under the FY27 Repurchase Program may occur from time to time in open market purchases, private transactions, or other transactions. The timing, volume, and nature of share repurchases will be at the sole discretion of the Company’s management and will be dependent on market conditions, applicable securities laws and other legal requirements, business considerations, and other factors. The FY27 Repurchase Program does not require the Company to repurchase a certain amount of shares and does not have a fixed expiration date and may be suspended, discontinued, or terminated at any time. Under the FY27 Repurchase Program, the Company may conduct share repurchases in accordance with all applicable securities laws and regulations, including Rule 10b5-1 and Rule 10b-18 under the Exchange Act. No assurance can be given that any particular number of shares of Common Stock will be repurchased.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First Amendment to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1, 2026, the Company entered into Amendment No. 1. Amendment No. 1 allows the Company to transfer certain non-material patents acquired in connection with the XDC Acquisition for consideration below the threshold otherwise required under the Credit Agreement. Amendment No. 1 did not otherwise materially modify the terms of the Credit Agreement. For additional information on the Credit Agreement, see “Note 7. Financing Agreements” of the Notes to our Consolidated Financial Statements included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(i) financial condition of Daktronics, Inc. and its subsidiaries (the “Company”, “Daktronics”, “we”, “our”, or “us”) during the period from the most recent fiscal year-end, May 2, 2026, to and including August 1, 2026; and (ii) results of operations of the Company during the current fiscal period(s) as compared to the corresponding period(s) of the preceding fiscal year.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including the MD&amp;A, contains "forward-looking statements" within the meaning of the Private Securities Litigation Reform Act of 1995. These statements reflect our current views with respect to future events and financial performance. The words “may,” “might,” “would,” “could,” “should,” “will,” “expect,” “estimate,” “anticipate,” “believe,” “intend,” “plan,” “forecast,” “project,” “continue,” “outlook,” “focus,” “goal,” “target,” “transform,” “expand,” “execute,” “ongoing,” “improve,” “grow,”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Quarterly Report on Form 10-Q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changes in economic and market conditions, management of growth, timing and magnitude of future contracts, orders, and capital investment projects, fluctuations in margins, interest rate risk, the introduction of new products and technology, the impact of adverse weather conditions, increased regulation, the imposition of tariffs, trade wars, the availability and costs of raw materials, components, and shipping services, geopolitical and governmental actions, including the U.S. federal government shutdown, expansion into new geographical markets, the Company’s recent leadership transition, transformation initiatives, future strategy, and the other risks, trends, and uncertainties described more fully in the Company’s Annual Report on Form 10-K for the fiscal year ended May 2, 2026 (the "Form 10-K") filed with the Securities and Exchange Commission ("SEC"), this Quarterly Report on Form 10-Q, and other reports filed with or furnished to the SEC by the Company.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undertake no obligation to update publicly or revise any forward-looking statements, whether as a result of new information, future events, or otherwise, except as may be required by applicable law.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MD&amp;A should be read in conjunction with the Condensed Consolidated Financial Statements and related Notes included in Item 1 of Part 1 of this Quarterly Report on Form 10-Q, the Form 10-K (including the information presented therein under “Item 1A. Risk Factors” of Part I), and other reports filed with or furnished to the SEC by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quarter-over-quarter comparisons in this MD&amp;A are as of and for the fiscal quarters ended August 1, 2026 and August 2, 2025 unless otherwise stated.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both"/>
        <w:rPr/>
      </w:pPr>
      <w:r>
        <w:rPr>
          <w:rFonts w:ascii="Times New Roman;serif" w:hAnsi="Times New Roman;serif"/>
          <w:b w:val="false"/>
          <w:i/>
          <w:color w:val="000000"/>
          <w:sz w:val="20"/>
        </w:rPr>
        <w:t>Contribution margin</w:t>
      </w:r>
      <w:r>
        <w:rPr>
          <w:rFonts w:ascii="Times New Roman;serif" w:hAnsi="Times New Roman;serif"/>
          <w:b w:val="false"/>
          <w:color w:val="000000"/>
          <w:sz w:val="20"/>
        </w:rPr>
        <w:t xml:space="preserve">, which is a financial measure that is not defined under accounting principles generally accepted in the United States (“GAAP”), is utilized by management to evaluate segment profitability and guide resource allocation decisions. It is defined as gross profit less selling expenses. Selling expenses primarily include personnel-related costs, travel and entertainment, marketing expenditures (such as showroom operations, product demonstrations, depreciation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maintenance, conventions, and trade shows), costs associated with customer relationship management and marketing systems, bad debt expense, third-party commissions, and other related expenses.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gross profit, management considers contribution margin a meaningful metric for assessing the financial performance of individual segments. We believe this measure provides investors with a useful view of our segment-level performance consistent with the approach used by management. By presenting contribution margin, we aim to enhance transparency and allow investors to better understand how we evaluate and manage our business operations. See the section of this Item 2 entitled “Reportable Segment Performance Summary” for a reconciliation of contribution margin to operating income, the most directly comparable GAAP measure.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Daktronics designs, manufactures, and sells electronic display systems and related solutions used in sports, commercial, and transportation applications. Our offerings include standard display products as well as custom-designed and integrated systems that incorporate display hardware, control systems, and software.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 portfolio ranges from small scoreboards and electronic displays to large-scale video display systems deployed in stadiums, arenas, commercial facilities, and other public venues. These systems are often integrated with related technologies, including control, timing, and audio systems, and are used to present real-time data, graphics, animation, and video.</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a vertically integrated business model that includes marketing and sales, engineering and product design and development, manufacturing, installation, and ongoing customer support. This lifecycle approach allows us to support customers from initial system design and installation through long-term maintenance, upgrades, and replacement cycles. In addition to equipment sales and installation, we provide services that include technical support, professional services, and software-based solutions that enable customers to operate and manage their display systems.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on a 52- or 53-week fiscal year ending on the Saturday closest to April 30. When April 30 falls on a Wednesday, the fiscal year ends on the preceding Saturday. Each fiscal quarter consists of 13 weeks, except in a 53-week fiscal year, where the first quarter includes 14 weeks. The three months ended August 1, 2026, and August 2, 2025, included 13 and 14 weeks of operations,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Known Trends and Uncertainties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2027, we continued to focus on initiatives intended to support sustainable growth, improve operating performance, and enhance returns on invested capital. These efforts include operational execution, capacity optimization, digital capabilities, and initiatives designed to support long-term scalability and profitability. Demand for digital display systems continues to be supported by the ongoing adoption of LED-based technologies across sports, commercial, and transportation applications; however, customer demand levels and project timing can vary based on economic conditions, funding availability, and other external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business environment remains dynamic, with changes in trade policy and tariffs continuing to affect supply chains, customer purchasing decisions, and operating costs. Tariffs on electronic components, aluminum, steel, copper, and other imported materials have increased product costs and created uncertainty regarding future project economics. In response, the Company has taken pricing actions, sourcing strategies, and operational initiatives intended to mitigate these impacts; however, the ultimate effect on demand, margins, and profitability remains uncertain.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developments related to tariffs and available refund programs associated with certain previously paid tariffs. Daktronics has submitted, and may continue to submit, claims for additional recoveries where appropriate. The Company recognizes tariff refunds when received. Due to uncertainties regarding eligibility, administrative review processes, and the ultimate resolution of outstanding claims, the Company has not recognized assets related to potential recoveries that do not meet the applicable accounting recognition criteria. The timing and amount of any future recoveries remain uncertain.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market for digital display systems continues to evolve through advancements in display technologies, control systems, software, and related services. Customers increasingly seek integrated solutions that improve content management, user experience, system monitoring, reliability, and operational efficiency. The adoption of narrow pixel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pitch and other advanced display technologies continues to influence customer purchasing decisions across many of the markets we serve.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Daktronics participates in large end markets that continue to benefit from customer investments intended to enhance audience engagement, communication, and operational effectiveness. To address evolving market conditions and competitive dynamics, we continue to focus on operational execution, manufacturing efficiency, product innovation, and market expansion. While these initiatives are expected to support long-term growth opportunities and operating performance, the timing and magnitude of associated benefits depend on execution, customer demand, and broader economic conditions.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continues to expand its global manufacturing footprint, including the ongoing ramp-up of manufacturing operations in Mexico. We expect these expanded manufacturing facilities to provide additional manufacturing flexibility and support long-term cost structure optimization. However, the timing and extent of associated operational and financial benefits depend on production volumes, staffing, execution, and market conditions.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may be periods in which revenue trends and operating expenses are not fully aligned as the Company continues to invest in operational capabilities, systems, manufacturing flexibility, and corporate governance. While these investments may affect near-term profitability, they are intended to support long-term operational effectiveness, scalability, and value creation.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Despite ongoing uncertainties related to tariffs, trade policy, geopolitical developments, and broader economic conditions, the Company believes the long-term demand drivers supporting the audiovisual industry remain favorable. Continued adoption of digital display technologies, together with the Company's portfolio of products, software, services, and integrated solutions, may support future growth opportunities. Actual demand levels, however, will continue to depend on customer spending priorities, funding availability, competitive conditions, and overall economic activity.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unique leadership position in our target markets, which are large, growing, and supported by resilient demand from customers seeking to enhance audience experiences in sports, commercial, and transportation environments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THE THREE MONTHS ENDED AUGUST 1, 2026 AND AUGUST 2,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Product Order Backlog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metrics defined by GAAP, and our methodology for determining orders and backlog may vary from the methodology used by other companies in determining their orders and backlog amounts.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Order and backlog levels provide management and investors additional details surrounding the results of our business activities in the marketplace and highlight fluctuations caused by seasonality and multimillion-dollar projects. Management uses orders to evaluate market share and performance in the competitive environment. Management uses backlog information for capacity and resource planning. Order fulfillment timing is dependent on customer schedules, supply chain conditions, and our capacity availability. We believe order information is useful to investors because it provides an indication of our market share and future revenues.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1, 2026, our product order backlog was $311.3 million, compared to $360.3 million as of August 2, 2025, and $356.2 million as of May 2, 2026. The decrease in backlog year-over-year reflects the conversion of existing backlog into revenue at a pace that exceeded order intake during the quarter.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to fulfill the backlog as of August 1, 2026 within the next 24 months. The timing of backlog fulfillment may be impacted by project delays resulting from factors outside of our control, including customer site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Performance Summary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an analysis of changes in key items included in the statements of operations for the three months ended August 1, 2026 and August 2, 2025 (in thousands):</w:t>
      </w:r>
    </w:p>
    <w:tbl>
      <w:tblPr>
        <w:tblW w:w="10205" w:type="dxa"/>
        <w:jc w:val="left"/>
        <w:tblInd w:w="0" w:type="dxa"/>
        <w:tblLayout w:type="fixed"/>
        <w:tblCellMar>
          <w:top w:w="28" w:type="dxa"/>
          <w:left w:w="28" w:type="dxa"/>
          <w:bottom w:w="28" w:type="dxa"/>
          <w:right w:w="28" w:type="dxa"/>
        </w:tblCellMar>
      </w:tblPr>
      <w:tblGrid>
        <w:gridCol w:w="795"/>
        <w:gridCol w:w="643"/>
        <w:gridCol w:w="492"/>
        <w:gridCol w:w="211"/>
        <w:gridCol w:w="794"/>
        <w:gridCol w:w="117"/>
        <w:gridCol w:w="109"/>
        <w:gridCol w:w="109"/>
        <w:gridCol w:w="109"/>
        <w:gridCol w:w="322"/>
        <w:gridCol w:w="267"/>
        <w:gridCol w:w="451"/>
        <w:gridCol w:w="109"/>
        <w:gridCol w:w="109"/>
        <w:gridCol w:w="109"/>
        <w:gridCol w:w="211"/>
        <w:gridCol w:w="794"/>
        <w:gridCol w:w="117"/>
        <w:gridCol w:w="109"/>
        <w:gridCol w:w="109"/>
        <w:gridCol w:w="109"/>
        <w:gridCol w:w="322"/>
        <w:gridCol w:w="267"/>
        <w:gridCol w:w="451"/>
        <w:gridCol w:w="109"/>
        <w:gridCol w:w="109"/>
        <w:gridCol w:w="109"/>
        <w:gridCol w:w="225"/>
        <w:gridCol w:w="793"/>
        <w:gridCol w:w="125"/>
        <w:gridCol w:w="109"/>
        <w:gridCol w:w="109"/>
        <w:gridCol w:w="109"/>
        <w:gridCol w:w="325"/>
        <w:gridCol w:w="221"/>
        <w:gridCol w:w="627"/>
      </w:tblGrid>
      <w:tr>
        <w:trPr/>
        <w:tc>
          <w:tcPr>
            <w:tcW w:w="79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of Net sales</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of Net sales</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Dollar Change</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Percent Change</w:t>
            </w:r>
            <w:r>
              <w:rPr>
                <w:color w:val="000000"/>
              </w:rPr>
              <w:t xml:space="preserve"> </w:t>
            </w:r>
            <w:r>
              <w:rPr>
                <w:rFonts w:ascii="Times New Roman;serif" w:hAnsi="Times New Roman;serif"/>
                <w:b/>
                <w:color w:val="000000"/>
                <w:sz w:val="12"/>
              </w:rPr>
              <w:t>(1)</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234,565 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218,972 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71,599 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design and development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19,430 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 outstanding</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(1) Amounts are calculated based on unrounded numbers and therefore may not recalculate using the rounded numbers provided. In addition, percentages may not add in total due to rounding.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orders, gross profit, and operating expenses were impacted as a result of the first quarter of fiscal 2027 including 13 weeks. The first quarter of fiscal 2026 contained 14 weeks.</w:t>
      </w:r>
    </w:p>
    <w:p>
      <w:pPr>
        <w:pStyle w:val="TextBody"/>
        <w:bidi w:val="0"/>
        <w:spacing w:lineRule="auto" w:line="288" w:before="240" w:after="283"/>
        <w:jc w:val="both"/>
        <w:rPr/>
      </w:pP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rPr>
        <w:t>The net sales increase in the first quarter of fiscal 2027 compared to the same period in fiscal 2026 was the result of higher sales volumes in the Live Events, Transportation, and International business units, partially offset by decreased sales in the Commercial and High School Park and Recreation business units.</w:t>
      </w:r>
      <w:r>
        <w:rPr>
          <w:color w:val="EE2724"/>
        </w:rPr>
        <w:t xml:space="preserve"> </w:t>
      </w:r>
      <w:r>
        <w:rPr>
          <w:rFonts w:ascii="Times New Roman;serif" w:hAnsi="Times New Roman;serif"/>
          <w:b w:val="false"/>
          <w:color w:val="000000"/>
          <w:sz w:val="20"/>
        </w:rPr>
        <w:t xml:space="preserve">The amount of recognized revenue associated with performance obligations satisfied in prior years during the three months ended August 1, 2026 and August 2, 2025 was immaterial. </w:t>
      </w:r>
    </w:p>
    <w:p>
      <w:pPr>
        <w:pStyle w:val="TextBody"/>
        <w:bidi w:val="0"/>
        <w:spacing w:lineRule="auto" w:line="288" w:before="240" w:after="283"/>
        <w:jc w:val="both"/>
        <w:rPr/>
      </w:pPr>
      <w:r>
        <w:rPr>
          <w:rFonts w:ascii="Times New Roman;serif" w:hAnsi="Times New Roman;serif"/>
          <w:b w:val="false"/>
          <w:i/>
          <w:color w:val="000000"/>
          <w:sz w:val="20"/>
        </w:rPr>
        <w:t xml:space="preserve">Orders: </w:t>
      </w:r>
      <w:r>
        <w:rPr>
          <w:rFonts w:ascii="Times New Roman;serif" w:hAnsi="Times New Roman;serif"/>
          <w:b w:val="false"/>
          <w:color w:val="000000"/>
          <w:sz w:val="20"/>
        </w:rPr>
        <w:t>Order volume decreased in the first quarter of fiscal 2027 compared to the same period in fiscal 2026, reflecting the timing of customer project awards and a strong prior-year comparison period that included an additional week of operations. Variability in orders is typical in the Company's project-based business, with order volume fluctuating from period to period based on the timing and size of customer awards and project bookings.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68" w:before="240" w:after="283"/>
        <w:jc w:val="both"/>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Gross profit increased in the first quarter of fiscal 2027 compared to the same period in fiscal 2026 as a result of higher sales volume. Gross profit as a percentage of net sales increased slightly to 30.5 percent for the first quarter of fiscal 2027 as compared to 29.7 percent for the same period a year ago. The increase in gross profit margin included the receipt of tariff refunds, partially offset by higher price-sensitive input costs. Total warranty expense as a percentage of sales increased to 1.7 percent for the first quarter of fiscal 2027 as compared to 1.2 percent for the same period a year ago.</w:t>
      </w:r>
    </w:p>
    <w:p>
      <w:pPr>
        <w:pStyle w:val="TextBody"/>
        <w:bidi w:val="0"/>
        <w:spacing w:lineRule="auto" w:line="288" w:before="240" w:after="283"/>
        <w:jc w:val="both"/>
        <w:rPr/>
      </w:pPr>
      <w:r>
        <w:rPr>
          <w:rFonts w:ascii="Times New Roman;serif" w:hAnsi="Times New Roman;serif"/>
          <w:b w:val="false"/>
          <w:i/>
          <w:color w:val="000000"/>
          <w:sz w:val="20"/>
        </w:rPr>
        <w:t xml:space="preserve">Selling: </w:t>
      </w:r>
      <w:r>
        <w:rPr>
          <w:rFonts w:ascii="Times New Roman;serif" w:hAnsi="Times New Roman;serif"/>
          <w:b w:val="false"/>
          <w:color w:val="000000"/>
          <w:sz w:val="20"/>
        </w:rPr>
        <w:t>Selling expenses increased in</w:t>
      </w:r>
      <w:r>
        <w:rPr>
          <w:color w:val="000000"/>
        </w:rPr>
        <w:t xml:space="preserve"> </w:t>
      </w:r>
      <w:r>
        <w:rPr>
          <w:rFonts w:ascii="Times New Roman;serif" w:hAnsi="Times New Roman;serif"/>
          <w:b w:val="false"/>
          <w:color w:val="000000"/>
          <w:sz w:val="20"/>
        </w:rPr>
        <w:t>the first quarter of fiscal 2027 compared to the same period in fiscal 2026 primarily due to increases in personnel-related wages and benefits and a commission on a large International project completed during the quarter.</w:t>
      </w:r>
    </w:p>
    <w:p>
      <w:pPr>
        <w:pStyle w:val="TextBody"/>
        <w:bidi w:val="0"/>
        <w:spacing w:lineRule="auto" w:line="288" w:before="240" w:after="283"/>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expenses increased in the first quarter of fiscal 2027 compared to the same period in fiscal 2026 primarily due to continued investments in operational capabilities, technology initiatives, and corporate support functions.</w:t>
      </w:r>
    </w:p>
    <w:p>
      <w:pPr>
        <w:pStyle w:val="TextBody"/>
        <w:bidi w:val="0"/>
        <w:spacing w:lineRule="auto" w:line="288" w:before="240" w:after="283"/>
        <w:jc w:val="both"/>
        <w:rPr/>
      </w:pPr>
      <w:r>
        <w:rPr>
          <w:rFonts w:ascii="Times New Roman;serif" w:hAnsi="Times New Roman;serif"/>
          <w:b w:val="false"/>
          <w:i/>
          <w:color w:val="000000"/>
          <w:sz w:val="20"/>
        </w:rPr>
        <w:t xml:space="preserve">Product Design and Development: </w:t>
      </w:r>
      <w:r>
        <w:rPr>
          <w:rFonts w:ascii="Times New Roman;serif" w:hAnsi="Times New Roman;serif"/>
          <w:b w:val="false"/>
          <w:color w:val="000000"/>
          <w:sz w:val="20"/>
        </w:rPr>
        <w:t>Product design and development expenses increased in</w:t>
      </w:r>
      <w:r>
        <w:rPr>
          <w:color w:val="000000"/>
        </w:rPr>
        <w:t xml:space="preserve"> </w:t>
      </w:r>
      <w:r>
        <w:rPr>
          <w:rFonts w:ascii="Times New Roman;serif" w:hAnsi="Times New Roman;serif"/>
          <w:b w:val="false"/>
          <w:color w:val="000000"/>
          <w:sz w:val="20"/>
        </w:rPr>
        <w:t>the first quarter of fiscal 2027 compared to the same period in fiscal 2026 primarily due to continued investment in product development, engineering resources, and technology initiatives intended to support future growth opportunities.</w:t>
      </w:r>
    </w:p>
    <w:p>
      <w:pPr>
        <w:pStyle w:val="TextBody"/>
        <w:bidi w:val="0"/>
        <w:spacing w:lineRule="auto" w:line="288" w:before="240" w:after="283"/>
        <w:jc w:val="both"/>
        <w:rPr/>
      </w:pPr>
      <w:r>
        <w:rPr>
          <w:rFonts w:ascii="Times New Roman;serif" w:hAnsi="Times New Roman;serif"/>
          <w:b w:val="false"/>
          <w:i/>
          <w:color w:val="000000"/>
          <w:sz w:val="20"/>
        </w:rPr>
        <w:t xml:space="preserve">Interest Income (Expense), net: </w:t>
      </w:r>
      <w:r>
        <w:rPr>
          <w:rFonts w:ascii="Times New Roman;serif" w:hAnsi="Times New Roman;serif"/>
          <w:b w:val="false"/>
          <w:color w:val="000000"/>
          <w:sz w:val="20"/>
        </w:rPr>
        <w:t>Interest income increased in</w:t>
      </w:r>
      <w:r>
        <w:rPr>
          <w:color w:val="000000"/>
        </w:rPr>
        <w:t xml:space="preserve"> </w:t>
      </w:r>
      <w:r>
        <w:rPr>
          <w:rFonts w:ascii="Times New Roman;serif" w:hAnsi="Times New Roman;serif"/>
          <w:b w:val="false"/>
          <w:color w:val="000000"/>
          <w:sz w:val="20"/>
        </w:rPr>
        <w:t>the first quarter of fiscal 2027 compared to the same period a year ago, reflecting higher interest income on invested cash balances and lower interest expense and interest on tariff refunds.</w:t>
      </w:r>
    </w:p>
    <w:p>
      <w:pPr>
        <w:pStyle w:val="TextBody"/>
        <w:bidi w:val="0"/>
        <w:spacing w:lineRule="auto" w:line="288" w:before="240" w:after="283"/>
        <w:jc w:val="both"/>
        <w:rPr/>
      </w:pPr>
      <w:r>
        <w:rPr>
          <w:rFonts w:ascii="Times New Roman;serif" w:hAnsi="Times New Roman;serif"/>
          <w:b w:val="false"/>
          <w:i/>
          <w:color w:val="000000"/>
          <w:sz w:val="20"/>
        </w:rPr>
        <w:t xml:space="preserve">Other Expense, net: </w:t>
      </w:r>
      <w:r>
        <w:rPr>
          <w:rFonts w:ascii="Times New Roman;serif" w:hAnsi="Times New Roman;serif"/>
          <w:b w:val="false"/>
          <w:color w:val="000000"/>
          <w:sz w:val="20"/>
        </w:rPr>
        <w:t>Other expense decreased in the first quarter of fiscal 2027 compared to the same period in fiscal 2026 due to lower non-operating expenses recognized during the most recent period. Foreign currency fluctuations continued to impact results in both periods.</w:t>
      </w:r>
    </w:p>
    <w:p>
      <w:pPr>
        <w:pStyle w:val="TextBody"/>
        <w:bidi w:val="0"/>
        <w:spacing w:lineRule="auto" w:line="288" w:before="240" w:after="283"/>
        <w:jc w:val="both"/>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the three months ended August 1, 2026, our effective tax rate was 24.3 percent compared to 25.9 percent for the three months ended August 2, 2025. The decrease in the effective tax rate was primarily attributable to valuation allowances recorded in fiscal 2026 which did not recur in fiscal 2027.</w:t>
      </w:r>
    </w:p>
    <w:p>
      <w:pPr>
        <w:pStyle w:val="TextBody"/>
        <w:bidi w:val="0"/>
        <w:spacing w:lineRule="auto" w:line="268" w:before="240" w:after="283"/>
        <w:jc w:val="both"/>
        <w:rPr/>
      </w:pPr>
      <w:r>
        <w:rPr>
          <w:rFonts w:ascii="Times New Roman;serif" w:hAnsi="Times New Roman;serif"/>
          <w:b w:val="false"/>
          <w:i/>
          <w:color w:val="000000"/>
          <w:sz w:val="20"/>
        </w:rPr>
        <w:t>Net Income:</w:t>
      </w:r>
      <w:r>
        <w:rPr>
          <w:color w:val="000000"/>
        </w:rPr>
        <w:t xml:space="preserve"> </w:t>
      </w:r>
      <w:r>
        <w:rPr>
          <w:rFonts w:ascii="Times New Roman;serif" w:hAnsi="Times New Roman;serif"/>
          <w:b w:val="false"/>
          <w:color w:val="000000"/>
          <w:sz w:val="20"/>
        </w:rPr>
        <w:t xml:space="preserve">The increase in net income reflects higher gross profit and operating income compared to the same period a year ago. For the three months ended August 1, 2026, our earnings per diluted share was $0.40 compared to $0.33 in the same period last year.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Reportable Segment Performance Summary</w:t>
      </w:r>
    </w:p>
    <w:p>
      <w:pPr>
        <w:pStyle w:val="TextBody"/>
        <w:bidi w:val="0"/>
        <w:spacing w:lineRule="auto" w:line="288" w:before="240" w:after="283"/>
        <w:jc w:val="both"/>
        <w:rPr/>
      </w:pPr>
      <w:r>
        <w:rPr>
          <w:rFonts w:ascii="Times New Roman;serif" w:hAnsi="Times New Roman;serif"/>
          <w:b w:val="false"/>
          <w:i/>
          <w:color w:val="000000"/>
          <w:sz w:val="20"/>
        </w:rPr>
        <w:t>Non-GAAP Reconciliation:</w:t>
      </w:r>
      <w:r>
        <w:rPr>
          <w:color w:val="000000"/>
        </w:rPr>
        <w:t xml:space="preserve"> </w:t>
      </w:r>
      <w:r>
        <w:rPr>
          <w:rFonts w:ascii="Times New Roman;serif" w:hAnsi="Times New Roman;serif"/>
          <w:b w:val="false"/>
          <w:color w:val="000000"/>
          <w:sz w:val="20"/>
        </w:rPr>
        <w:t>The following table shows information regarding our reportable segment financial performance of contribution margin reconciled to operating income, the most comparable GAAP metric, for the three months ended August 1, 2026 and August 2, 2025 (in thousands):</w:t>
      </w:r>
    </w:p>
    <w:tbl>
      <w:tblPr>
        <w:tblW w:w="13684" w:type="dxa"/>
        <w:jc w:val="left"/>
        <w:tblInd w:w="0" w:type="dxa"/>
        <w:tblLayout w:type="fixed"/>
        <w:tblCellMar>
          <w:top w:w="28" w:type="dxa"/>
          <w:left w:w="28" w:type="dxa"/>
          <w:bottom w:w="28" w:type="dxa"/>
          <w:right w:w="28" w:type="dxa"/>
        </w:tblCellMar>
      </w:tblPr>
      <w:tblGrid>
        <w:gridCol w:w="355"/>
        <w:gridCol w:w="234"/>
        <w:gridCol w:w="222"/>
        <w:gridCol w:w="109"/>
        <w:gridCol w:w="109"/>
        <w:gridCol w:w="109"/>
        <w:gridCol w:w="171"/>
        <w:gridCol w:w="481"/>
        <w:gridCol w:w="114"/>
        <w:gridCol w:w="109"/>
        <w:gridCol w:w="109"/>
        <w:gridCol w:w="109"/>
        <w:gridCol w:w="273"/>
        <w:gridCol w:w="133"/>
        <w:gridCol w:w="260"/>
        <w:gridCol w:w="109"/>
        <w:gridCol w:w="109"/>
        <w:gridCol w:w="109"/>
        <w:gridCol w:w="166"/>
        <w:gridCol w:w="481"/>
        <w:gridCol w:w="109"/>
        <w:gridCol w:w="109"/>
        <w:gridCol w:w="109"/>
        <w:gridCol w:w="109"/>
        <w:gridCol w:w="273"/>
        <w:gridCol w:w="133"/>
        <w:gridCol w:w="260"/>
        <w:gridCol w:w="109"/>
        <w:gridCol w:w="109"/>
        <w:gridCol w:w="109"/>
        <w:gridCol w:w="166"/>
        <w:gridCol w:w="466"/>
        <w:gridCol w:w="109"/>
        <w:gridCol w:w="109"/>
        <w:gridCol w:w="109"/>
        <w:gridCol w:w="109"/>
        <w:gridCol w:w="273"/>
        <w:gridCol w:w="133"/>
        <w:gridCol w:w="260"/>
        <w:gridCol w:w="109"/>
        <w:gridCol w:w="109"/>
        <w:gridCol w:w="109"/>
        <w:gridCol w:w="198"/>
        <w:gridCol w:w="557"/>
        <w:gridCol w:w="131"/>
        <w:gridCol w:w="109"/>
        <w:gridCol w:w="109"/>
        <w:gridCol w:w="109"/>
        <w:gridCol w:w="273"/>
        <w:gridCol w:w="133"/>
        <w:gridCol w:w="260"/>
        <w:gridCol w:w="109"/>
        <w:gridCol w:w="109"/>
        <w:gridCol w:w="109"/>
        <w:gridCol w:w="174"/>
        <w:gridCol w:w="491"/>
        <w:gridCol w:w="116"/>
        <w:gridCol w:w="109"/>
        <w:gridCol w:w="109"/>
        <w:gridCol w:w="109"/>
        <w:gridCol w:w="273"/>
        <w:gridCol w:w="133"/>
        <w:gridCol w:w="260"/>
        <w:gridCol w:w="327"/>
        <w:gridCol w:w="109"/>
        <w:gridCol w:w="109"/>
        <w:gridCol w:w="166"/>
        <w:gridCol w:w="526"/>
        <w:gridCol w:w="109"/>
        <w:gridCol w:w="327"/>
        <w:gridCol w:w="361"/>
        <w:gridCol w:w="309"/>
      </w:tblGrid>
      <w:tr>
        <w:trPr/>
        <w:tc>
          <w:tcPr>
            <w:tcW w:w="3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9"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August 1, 2026</w:t>
            </w:r>
          </w:p>
        </w:tc>
        <w:tc>
          <w:tcPr>
            <w:tcW w:w="997"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High School 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43,703 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21,378 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28,375 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234,565 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30,353 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69.5 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76.4 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63.9 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66.6 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17,390 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61.3 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13,350 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36.1 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7,136 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33.4 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10,985 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38.7 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30.5 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8,890 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27.8 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5,564 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5,828 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Product design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8,890 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27.8 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5,564 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26.0 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5,828 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20.5 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24,936 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10.6 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22,703 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19,039 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7" w:type="dxa"/>
            <w:gridSpan w:val="7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9"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August 2, 2025</w:t>
            </w:r>
          </w:p>
        </w:tc>
        <w:tc>
          <w:tcPr>
            <w:tcW w:w="997"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High School 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of net sales</w:t>
            </w:r>
            <w:r>
              <w:rPr>
                <w:color w:val="000000"/>
              </w:rPr>
              <w:t xml:space="preserve"> </w:t>
            </w:r>
            <w:r>
              <w:rPr>
                <w:rFonts w:ascii="Times New Roman;serif" w:hAnsi="Times New Roman;serif"/>
                <w:b/>
                <w:color w:val="000000"/>
                <w:sz w:val="8"/>
              </w:rPr>
              <w:t>(1)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46,167 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16,575 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17,083 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70.4 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74.7 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63.0 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11,419 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68.9 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75.8 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13,650 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29.6 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25.3 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5,156 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31.1 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4,139 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29.7 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8,912 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19.3 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Product design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8,912 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19.3 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10.6 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44,223 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7" w:type="dxa"/>
            <w:gridSpan w:val="7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9"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Net Dollar and % Change</w:t>
            </w:r>
          </w:p>
        </w:tc>
        <w:tc>
          <w:tcPr>
            <w:tcW w:w="997"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Live Events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High School Park and Recreation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Transportation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Percent Change</w:t>
            </w:r>
            <w:r>
              <w:rPr>
                <w:color w:val="000000"/>
              </w:rPr>
              <w:t xml:space="preserve"> </w:t>
            </w:r>
            <w:r>
              <w:rPr>
                <w:rFonts w:ascii="Times New Roman;serif" w:hAnsi="Times New Roman;serif"/>
                <w:b/>
                <w:color w:val="000000"/>
                <w:sz w:val="8"/>
              </w:rPr>
              <w:t>(1)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(2,464)</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8.3 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(7.8)</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4,803 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11,292 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66.1 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0.9 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38.4 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6,846 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165.4 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0.7 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2,001 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4,355 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295.7 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Product design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(0.2)</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0.7 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2,001 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56.2 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4,355 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295.7 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7.2 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(48.8)</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(11.0)</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12.4 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(19.6)</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Amounts are calculated on unrounded numbers and therefore may not recalculate using the rounded numbers provided. In addition, percentages may not add in total due to rounding.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orders, gross profit, and operating expenses were impacted as a result of the first quarter of fiscal 2027 including 13 weeks. The first quarter of fiscal 2026 contained 14 weeks.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2027, total net sales increased and gross profit as a percentage of net sales increased, reflecting the cumulative impact of the following factors:</w:t>
      </w:r>
    </w:p>
    <w:p>
      <w:pPr>
        <w:pStyle w:val="TextBody"/>
        <w:bidi w:val="0"/>
        <w:spacing w:lineRule="auto" w:line="288" w:before="240" w:after="283"/>
        <w:jc w:val="both"/>
        <w:rPr/>
      </w:pPr>
      <w:r>
        <w:rPr>
          <w:rFonts w:ascii="Times New Roman;serif" w:hAnsi="Times New Roman;serif"/>
          <w:b w:val="false"/>
          <w:i/>
          <w:color w:val="000000"/>
          <w:sz w:val="20"/>
        </w:rPr>
        <w:t xml:space="preserve">Commercial: </w:t>
      </w:r>
      <w:r>
        <w:rPr>
          <w:rFonts w:ascii="Times New Roman;serif" w:hAnsi="Times New Roman;serif"/>
          <w:b w:val="false"/>
          <w:color w:val="000000"/>
          <w:sz w:val="20"/>
        </w:rPr>
        <w:t>The decrease in net sales in the first quarter of fiscal 2027 compared to the same period one year ago was primarily due to lower backlog entering the quarter, which reduced the volume of projects available for revenue recognition during the period. Gross profit as a percentage of sales increased due to delivering more profitable projects in the Spectaculars and On-Premise niches and higher sales volume over a relatively fixed cost structure. Selling expenses decreased year-over-year, primarily reflecting lower personnel costs. The increase in order bookings reflects continued market adoption of digital display technology.</w:t>
      </w:r>
    </w:p>
    <w:p>
      <w:pPr>
        <w:pStyle w:val="TextBody"/>
        <w:bidi w:val="0"/>
        <w:spacing w:lineRule="auto" w:line="288" w:before="240" w:after="283"/>
        <w:jc w:val="both"/>
        <w:rPr/>
      </w:pPr>
      <w:r>
        <w:rPr>
          <w:rFonts w:ascii="Times New Roman;serif" w:hAnsi="Times New Roman;serif"/>
          <w:b w:val="false"/>
          <w:i/>
          <w:color w:val="000000"/>
          <w:sz w:val="20"/>
        </w:rPr>
        <w:t xml:space="preserve">Live Events: </w:t>
      </w:r>
      <w:r>
        <w:rPr>
          <w:rFonts w:ascii="Times New Roman;serif" w:hAnsi="Times New Roman;serif"/>
          <w:b w:val="false"/>
          <w:color w:val="000000"/>
          <w:sz w:val="20"/>
        </w:rPr>
        <w:t>The increase in net sales in the first quarter of fiscal 2027 compared to the same period one year ago was primarily due to the timing and execution of project deliveries and revenue recognition on large customer projects. Gross profit as a percentage of sales in the quarter decreased slightly due to normal variability in project and customer mix. Selling expenses remained relatively flat. Order volume decreased in the first quarter of fiscal 2027 compared to the same period in fiscal 2026 primarily due to the timing of customer project awards and a strong prior-year comparison period. Variability in orders is common within the Live Events business unit, as a relatively small number of large projects can significantly affect order volume in any given period.</w:t>
      </w:r>
    </w:p>
    <w:p>
      <w:pPr>
        <w:pStyle w:val="TextBody"/>
        <w:bidi w:val="0"/>
        <w:spacing w:lineRule="auto" w:line="288" w:before="240" w:after="283"/>
        <w:jc w:val="both"/>
        <w:rPr/>
      </w:pPr>
      <w:r>
        <w:rPr>
          <w:rFonts w:ascii="Times New Roman;serif" w:hAnsi="Times New Roman;serif"/>
          <w:b w:val="false"/>
          <w:i/>
          <w:color w:val="000000"/>
          <w:sz w:val="20"/>
        </w:rPr>
        <w:t xml:space="preserve">High School Park and Recreation: </w:t>
      </w:r>
      <w:r>
        <w:rPr>
          <w:rFonts w:ascii="Times New Roman;serif" w:hAnsi="Times New Roman;serif"/>
          <w:b w:val="false"/>
          <w:color w:val="000000"/>
          <w:sz w:val="20"/>
        </w:rPr>
        <w:t>Sales decreased during the first quarter of fiscal 2027 compared to the same period one year ago primarily due to lower project delivery activity during the quarter. Gross profit as a percentage of sales decreased slightly due to normal variability in project and customer mix. Selling expenses decreased primarily due to lower sales activity during the period. Order bookings decreased due to the timing of customer project awards. Order activity can fluctuate from period to period based on customer funding cycles and project timing.</w:t>
      </w:r>
    </w:p>
    <w:p>
      <w:pPr>
        <w:pStyle w:val="TextBody"/>
        <w:bidi w:val="0"/>
        <w:spacing w:lineRule="auto" w:line="268" w:before="240" w:after="283"/>
        <w:jc w:val="both"/>
        <w:rPr/>
      </w:pPr>
      <w:r>
        <w:rPr>
          <w:rFonts w:ascii="Times New Roman;serif" w:hAnsi="Times New Roman;serif"/>
          <w:b w:val="false"/>
          <w:i/>
          <w:color w:val="000000"/>
          <w:sz w:val="20"/>
        </w:rPr>
        <w:t xml:space="preserve">Transportation: </w:t>
      </w:r>
      <w:r>
        <w:rPr>
          <w:rFonts w:ascii="Times New Roman;serif" w:hAnsi="Times New Roman;serif"/>
          <w:b w:val="false"/>
          <w:color w:val="000000"/>
          <w:sz w:val="20"/>
        </w:rPr>
        <w:t xml:space="preserve">Sales increased during the first quarter of fiscal 2027 compared to the same period one year ago due to increased project delivery activity and revenue recognition during the quarter. Gross profit as a percentage of sales increased primarily due to favorable project mix and execution on projects recognized during the quarter. Selling expenses and order bookings remained relatively flat year-over-year. </w:t>
      </w:r>
    </w:p>
    <w:p>
      <w:pPr>
        <w:pStyle w:val="TextBody"/>
        <w:bidi w:val="0"/>
        <w:spacing w:lineRule="auto" w:line="288" w:before="240" w:after="283"/>
        <w:jc w:val="both"/>
        <w:rPr/>
      </w:pPr>
      <w:r>
        <w:rPr>
          <w:rFonts w:ascii="Times New Roman;serif" w:hAnsi="Times New Roman;serif"/>
          <w:b w:val="false"/>
          <w:i/>
          <w:color w:val="000000"/>
          <w:sz w:val="20"/>
        </w:rPr>
        <w:t xml:space="preserve">International: </w:t>
      </w:r>
      <w:r>
        <w:rPr>
          <w:rFonts w:ascii="Times New Roman;serif" w:hAnsi="Times New Roman;serif"/>
          <w:b w:val="false"/>
          <w:color w:val="000000"/>
          <w:sz w:val="20"/>
        </w:rPr>
        <w:t xml:space="preserve">The increase in net sales in the first quarter of fiscal 2027 was due to the timing of project execution and customer deliveries. Gross profit as a percentage of sales increased primarily due to favorable project mix and improved execution on projects recognized during the quarter. Selling expenses increased primarily due to a commission on a large project completed during the quarter and investments to support growth within the International business unit. Order bookings increased compared to the same period a year ago, reflecting favorable customer demand and project award timing.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tbl>
      <w:tblPr>
        <w:tblW w:w="8840" w:type="dxa"/>
        <w:jc w:val="left"/>
        <w:tblInd w:w="0" w:type="dxa"/>
        <w:tblLayout w:type="fixed"/>
        <w:tblCellMar>
          <w:top w:w="28" w:type="dxa"/>
          <w:left w:w="28" w:type="dxa"/>
          <w:bottom w:w="28" w:type="dxa"/>
          <w:right w:w="28" w:type="dxa"/>
        </w:tblCellMar>
      </w:tblPr>
      <w:tblGrid>
        <w:gridCol w:w="1705"/>
        <w:gridCol w:w="1501"/>
        <w:gridCol w:w="1504"/>
        <w:gridCol w:w="211"/>
        <w:gridCol w:w="721"/>
        <w:gridCol w:w="109"/>
        <w:gridCol w:w="109"/>
        <w:gridCol w:w="109"/>
        <w:gridCol w:w="109"/>
        <w:gridCol w:w="211"/>
        <w:gridCol w:w="721"/>
        <w:gridCol w:w="109"/>
        <w:gridCol w:w="109"/>
        <w:gridCol w:w="109"/>
        <w:gridCol w:w="109"/>
        <w:gridCol w:w="271"/>
        <w:gridCol w:w="926"/>
        <w:gridCol w:w="197"/>
      </w:tblGrid>
      <w:tr>
        <w:trPr/>
        <w:tc>
          <w:tcPr>
            <w:tcW w:w="170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Dollar Change</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Net cash provided by operating activities:</w:t>
      </w:r>
      <w:r>
        <w:rPr>
          <w:color w:val="000000"/>
        </w:rPr>
        <w:t xml:space="preserve"> </w:t>
      </w:r>
      <w:r>
        <w:rPr>
          <w:rFonts w:ascii="Times New Roman;serif" w:hAnsi="Times New Roman;serif"/>
          <w:b w:val="false"/>
          <w:color w:val="000000"/>
          <w:sz w:val="20"/>
        </w:rPr>
        <w:t>The $31.4 million of cash provided by operating activities during the first three months of fiscal 2027 increased from the $26.1 million in the same period of fiscal 2026. The increase was primarily driven by higher net income and a greater source of cash from changes in operating assets and liabilities. Changes in operating assets and liabilities provided $5.9 million of cash in fiscal 2027 compared to $1.7 million in fiscal 2026, primarily reflecting favorable changes in contract assets, customer deposits, income taxes receivable, and accrued liabilities. These benefits were partially offset by a larger use of cash for accounts receivable and inventory and a lower source of cash from accounts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net operating assets and liabilities for the three months ended August 1, 2026 and August 2, 2025 consisted of the following:</w:t>
      </w:r>
    </w:p>
    <w:tbl>
      <w:tblPr>
        <w:tblW w:w="6999" w:type="dxa"/>
        <w:jc w:val="left"/>
        <w:tblInd w:w="0" w:type="dxa"/>
        <w:tblLayout w:type="fixed"/>
        <w:tblCellMar>
          <w:top w:w="28" w:type="dxa"/>
          <w:left w:w="28" w:type="dxa"/>
          <w:bottom w:w="28" w:type="dxa"/>
          <w:right w:w="28" w:type="dxa"/>
        </w:tblCellMar>
      </w:tblPr>
      <w:tblGrid>
        <w:gridCol w:w="1591"/>
        <w:gridCol w:w="1400"/>
        <w:gridCol w:w="1404"/>
        <w:gridCol w:w="211"/>
        <w:gridCol w:w="796"/>
        <w:gridCol w:w="109"/>
        <w:gridCol w:w="109"/>
        <w:gridCol w:w="109"/>
        <w:gridCol w:w="109"/>
        <w:gridCol w:w="211"/>
        <w:gridCol w:w="796"/>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(Increase) decrease: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affiliates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Increase (decrease):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warranty obligations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marketing obligations and other payables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 xml:space="preserve">Net cash used in investing activities: </w:t>
      </w:r>
      <w:r>
        <w:rPr>
          <w:rFonts w:ascii="Times New Roman;serif" w:hAnsi="Times New Roman;serif"/>
          <w:b w:val="false"/>
          <w:color w:val="000000"/>
          <w:sz w:val="20"/>
        </w:rPr>
        <w:t>During the first three months of fiscal 2027, net cash used in investing activities totaled $3.9 million, primarily driven by $4.1 million in purchases of property and equipment offset by $0.2 million in proceeds from sales of property and equipment. In comparison, the same period in fiscal 2026 had total cash used in investing activities of $5.6 million, driven by $4.3 million in property and equipment purchases and $1.5 million in affiliate investments and offset by $0.2 million in proceeds from sales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 xml:space="preserve">Net cash used in financing activities: </w:t>
      </w:r>
      <w:r>
        <w:rPr>
          <w:rFonts w:ascii="Times New Roman;serif" w:hAnsi="Times New Roman;serif"/>
          <w:b w:val="false"/>
          <w:color w:val="000000"/>
          <w:sz w:val="20"/>
        </w:rPr>
        <w:t>In the first three months of fiscal 2027, financing activities resulted in a net cash outflow of $4.5 million, which included $4.4 million for repurchased shares, $0.3 million in payments on notes payable, offset by $0.2 million in proceeds from exercise of stock options. In comparison, the first quarter of fiscal 2026 reflected a net outflow of $11.1 million, primarily driven by $10.7 million for repurchased shares and $0.5 million in payments on notes payable. These outflows were partially offset by $0.1 million in proceeds from the exercise of stock options.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Debt and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26, 2025, we entered into a $71.5 million senior credit facility (the “Credit Facility”) pursuant to a Credit Agreement (the “Credit Agreement”). The Credit Facility consists of a cash flow</w:t>
        <w:noBreakHyphen/>
        <w:t>backed revolving line of credit (the “Revolver”) and a term loan that is not collateralized by real estate (the “Term Loan”). We believe the Credit Facility enhances financial flexibility in managing our operations and capital structure by extending maturities and providing committed liquidity. As of August 1, 2026, there were no advances under the Revolver, and the balance of letters of credit outstanding under the Revolver was approximately $1.9 million. For additional information on financing agreements, see “Note 7. Financing Agreements” of the Notes to our Condensed Consolidated Financial Statements included in this Quarterly Report on Form 10-Q.</w:t>
      </w:r>
    </w:p>
    <w:p>
      <w:pPr>
        <w:pStyle w:val="TextBody"/>
        <w:bidi w:val="0"/>
        <w:spacing w:lineRule="auto" w:line="288" w:before="240" w:after="283"/>
        <w:jc w:val="both"/>
        <w:rPr/>
      </w:pPr>
      <w:r>
        <w:rPr>
          <w:rFonts w:ascii="Times New Roman;serif" w:hAnsi="Times New Roman;serif"/>
          <w:b w:val="false"/>
          <w:color w:val="000000"/>
          <w:sz w:val="20"/>
        </w:rPr>
        <w:t>As of August 1, 2026, we had $154.6 million</w:t>
      </w:r>
      <w:r>
        <w:rPr>
          <w:color w:val="000000"/>
          <w:shd w:fill="FFFFFF" w:val="clear"/>
        </w:rPr>
        <w:t xml:space="preserve"> </w:t>
      </w:r>
      <w:r>
        <w:rPr>
          <w:rFonts w:ascii="Times New Roman;serif" w:hAnsi="Times New Roman;serif"/>
          <w:b w:val="false"/>
          <w:color w:val="000000"/>
          <w:sz w:val="20"/>
          <w:shd w:fill="FFFFFF" w:val="clear"/>
        </w:rPr>
        <w:t>in cash and cash equivalents. W</w:t>
      </w:r>
      <w:r>
        <w:rPr>
          <w:rFonts w:ascii="Times New Roman;serif" w:hAnsi="Times New Roman;serif"/>
          <w:b w:val="false"/>
          <w:color w:val="000000"/>
          <w:sz w:val="20"/>
        </w:rPr>
        <w:t>e believe that our cash flow from operating activities, together with existing cash and cash equivalents and availability under the Credit Facility, will be sufficient to fund our working capital, capital expenditures, debt service, stock repurchases, and other financial requirements for at least the next 12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cash equivalent balances consist of high-quality, short-term money market instruments.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primary sources of cash and sources of funds for our operations are cash flows from operations, current cash and cash equivalents, investments in our affiliates, and borrowings under the Credit Facility. We were in compliance with all debt covenants under the Credit Agreement as of August 1, 2026, and we expect to remain in compliance with those covenants for at least the next 12 months.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Working capital was $270.0 million as of August 1, 2026, and $254.3 million as of May 2, 2026, reflecting a $15.7 million increase. This change was primarily impacted by fluctuations in key components such as an increase in cash and cash equivalents by $22.9 million, accounts receivable by $36.1 million, inventory by $7.0 million, and accounts payable by $11.7 million. Contract assets decreased by $14.9 million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These shifts are influenced by the seasonality of the sports market and construction cycles, which affect the timing of cash flows. Specifically, payments for inventory and to subcontractors often precede customer receipts, especially on large-scale, customized orders. These projects can span over 12 months, depending on complexity and delivery schedules. To manage cash flow, the Company typically uses upfront cash for materials and services and offsets this with down payments or progress payments from customers.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 2026, the Company had $7.9 million in retainage on long-term contracts included in receivables and contract assets, which is expected to be collected within one year.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Liquidity and Capital Uses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long-term capital allocation strategy prioritizes funding operations and investments in areas that support strategy execution including growth and operational excellence, while maintaining reasonable liquidity and leverage ratios that reflect a prudent and compliant capital structure in light of the cyclicality of our business, and the reduction of debt. We may invest in value-accretive inorganic opportunities, and may also return excess cash over time to stockholders through dividends or share repurchases. During the first three months of fiscal 2027 and fiscal 2026, we repurchased shares of the Company’s common stock, par value $0.00001 per share (“Common Stock”), but did not issue dividends.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strategies for business growth and profitability improvement rely on capital expenditures and strategic investments. We project total capital expenditures of approximately $13.2 million for fiscal 2027. These expenditures will support the acquisition of manufacturing equipment for new or enhanced product lines, expanded production capacity, and increased process automation. Additional investments will target quality and reliability testing equipment, demonstration and showroom assets, and continued upgrades to our information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Beyond capital expenditures, we plan to invest in general and administrative functions to support our strategic initiatives. These investments primarily include continued enhancements to our enterprise performance management systems and related business processes. We also evaluate strategic investments in new technologies, affiliates, or potential acquisitions aligned with our business strategy. For fiscal 2027, future investments in our current affiliates are being reviewed on a quarterly basis by our Board of Directors (the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sometimes required to obtain performance bonds for display installations, and we have a $190.0 million bonding line available through surety companies. If we were unable to complete the installation work, and our customer would call upon the bond for payment, the surety company would subrogate its loss to Daktronics. As of August 1, 2026, we had $36.7 million of bonded work outstanding.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Contractual Obligations and Commercial 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three months of fiscal 2027, there were no material changes in our contractual obligations. See the Form 10-K for additional information regarding our contractual obligations and commercial commitments.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Significant Accounting Policies and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1. Nature of Business and Summary of Significant Accounting Policies" of the Notes to Consolidated Financial Statements included in the Form 10-K. We discuss our critical accounting estimates in "Part II, Item 7. Management’s Discussion and Analysis of Financial Condition and Results of Operations" in the Form 10-K. There have been no material changes to the significant accounting policies and critical accounting estimates identified in the Form 10-K during the first three months of fiscal 2027.</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summary of recently issued accounting pronouncements and the effects of those pronouncements on our financial results, refer to "Note 1. Basis of Presentation" of the Notes to the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certain interest rate, foreign currency, and commodity risks as disclosed in the Form 10-K.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exposure to the market risks identified in the Form 10-K during the first three months of fiscal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of our Company is responsible for establishing and maintaining effective disclosure controls and procedures as defined in Rules 13a-15(e) and 15d-15(e) under the Exchange Act. As of August 1, 2026, an evaluation was performed, under the supervision and with the participation of management, including our principal executive officer and principal financial officer, of the effectiveness of the design and operation of our disclosure controls and procedures. Based upon that evaluation, our principal executive officer and principal financial officer concluded that as of August 1, 2026, our disclosure controls and procedures were effective at the reasonable assurance level to ensure information required to be disclosed in this Form 10-Q was recorded, processed, summarized and reported within the time period required by the SEC’s rules and forms and accumulated and communicated to management, including the principal executive officer and principal financial officer, to allow timely decisions regarding required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officer and principal financial officer believe the Condensed Consolidated Financial Statements included in this Form 10-Q fairly represent, in all material respects, our financial condition, results of operations, and cash flows as of and for the periods presented in accordance with GAAP.</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Accordingly, even effective internal control over financial reporting can only provide reasonable assurance of achieving its control objectives.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confidence in our internal controls and procedures. Nevertheless, our management, including our principal executive officer and principal financial officer, does not expect that our disclosure procedures and controls or our internal controls will prevent all errors or intentional fraud. An internal control system, no matter how well-conceived and operated, can provide only reasonable, not absolute, assurance that the objectives of such internal controls are met. Further, the design of an internal control system must reflect the fact that there are resource constraints, and the benefits of controls must be considered relative to their costs. As a result of the inherent limitations in all internal control systems, no evaluation of controls can provide absolute assurance that all our control issues and instances of fraud, if any, have been detected.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August 1, 2026, there have been no changes in our internal control over financial reporting, as such term is defined in Rules 13a-15(f) and 15d-15(f)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8. Commitments and Contingencies” included in this Quarterly Report on Form 10-Q and “Note 17. Commitments and Contingencies” included in the Form 10-K for further information on any legal proceedings and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discussion of our business and operations included in this Quarterly Report on Form 10-Q should be read together with the risk factors described in Item 1A. of Part I of the Form 10-K. They describe various risks and uncertainties to which we are or may become subject. These risks and uncertainties, together with other factors described elsewhere in this Quarterly Report on Form 10-Q,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 We review and, where applicable, update our risk factors each quarter. There have been no material changes from the risk factors disclosed in Item 1A. of Part I of the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br/>
        <w:t>Share Repurchases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17, 2016, the Board authorized a share repurchase program (the “FY17 Repurchase Program”) under which the Company may repurchase up to $40.0 million of its outstanding Common Stock. The Board approved increases to the limit under the FY17 Repurchase Program of $10.0 million on March 4, 2025, $10.0 million on June 23, 2025, $20.0 million on December 9, 2025, and $25.9 million on June 22, 2026. Following these increases, the maximum authorized value under the FY17 Repurchase Program was $105.9 million as of August 1,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under the FY17 Repurchase Program may be made from time to time in open market transactions or privately negotiated transactions, subject to business and market conditions, applicable legal requirements, and other relevant factors. The FY17 Repurchase Program does not obligate the Company to repurchase any specific number of shares, may be suspended or terminated at any time at the discretion of the Board, and has no fixed expiration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August 1, 2026, the Company repurchased 0.2 million shares of Common Stock at a total cost of $4.4 million. As of August 1, 2026, $36.0 million of the $105.9 million authorized amount remained available for repurchase under the FY17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repurchases of Common Stock during the first quarter of fiscal 2027.</w:t>
      </w:r>
    </w:p>
    <w:tbl>
      <w:tblPr>
        <w:tblW w:w="10205" w:type="dxa"/>
        <w:jc w:val="left"/>
        <w:tblInd w:w="0" w:type="dxa"/>
        <w:tblLayout w:type="fixed"/>
        <w:tblCellMar>
          <w:top w:w="28" w:type="dxa"/>
          <w:left w:w="28" w:type="dxa"/>
          <w:bottom w:w="28" w:type="dxa"/>
          <w:right w:w="28" w:type="dxa"/>
        </w:tblCellMar>
      </w:tblPr>
      <w:tblGrid>
        <w:gridCol w:w="517"/>
        <w:gridCol w:w="376"/>
        <w:gridCol w:w="378"/>
        <w:gridCol w:w="545"/>
        <w:gridCol w:w="492"/>
        <w:gridCol w:w="494"/>
        <w:gridCol w:w="380"/>
        <w:gridCol w:w="1113"/>
        <w:gridCol w:w="198"/>
        <w:gridCol w:w="881"/>
        <w:gridCol w:w="850"/>
        <w:gridCol w:w="852"/>
        <w:gridCol w:w="455"/>
        <w:gridCol w:w="2333"/>
        <w:gridCol w:w="341"/>
      </w:tblGrid>
      <w:tr>
        <w:trPr/>
        <w:tc>
          <w:tcPr>
            <w:tcW w:w="51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(including fees)</w:t>
            </w:r>
          </w:p>
        </w:tc>
        <w:tc>
          <w:tcPr>
            <w:tcW w:w="2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 (1)</w:t>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 May 30,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40,058,993 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 June 27,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39,899,018 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28, 2026 - August 1, 2026</w:t>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200,836</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200,836</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35,957,332 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225,456</w:t>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225,456</w:t>
            </w:r>
          </w:p>
        </w:tc>
        <w:tc>
          <w:tcPr>
            <w:tcW w:w="3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The share repurchases described in the above table were made pursuant to the FY17 Repurchase Program authorized by the Board on June 17, 2016, as amended by the Board on March 4, 2025, June 23, 2025, December 9, 2025, and June 22,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Shares withheld to satisfy statutory tax withholding requirements related to the vesting of restricted stock units and performance stock units are not issued or considered repurchases of our Common Stock under our Repurchase Program and, therefore, are excluded from the table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“Note 7. Financing Agreements” of the Notes to our Condensed Consolidated Financial Statements included in this Quarterly Report on Form 10-Q for further information about the FY17 Repurchase Program, including, but not limited to, restrictions on our ability to repurchase shares of Common Stock under the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August 1, 2026, none of the Company’s directors or “officers,” as such term is defined in Rule 16a-1(f) of the Exchange Act, adopted or terminated a “Rule 10b5-1 trading arrangement” or “non-Rule 10b5-1 trading arrangement,” as such terms are defined in paragraphs (a) and (c), respectively, of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list of exhibits filed as part of this Quarterly Report on Form 10-Q is set forth in the following Index to Exhibits.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tbl>
      <w:tblPr>
        <w:tblW w:w="10205" w:type="dxa"/>
        <w:jc w:val="left"/>
        <w:tblInd w:w="0" w:type="dxa"/>
        <w:tblLayout w:type="fixed"/>
        <w:tblCellMar>
          <w:top w:w="28" w:type="dxa"/>
          <w:left w:w="28" w:type="dxa"/>
          <w:bottom w:w="28" w:type="dxa"/>
          <w:right w:w="28" w:type="dxa"/>
        </w:tblCellMar>
      </w:tblPr>
      <w:tblGrid>
        <w:gridCol w:w="250"/>
        <w:gridCol w:w="205"/>
        <w:gridCol w:w="211"/>
        <w:gridCol w:w="3115"/>
        <w:gridCol w:w="3021"/>
        <w:gridCol w:w="3028"/>
        <w:gridCol w:w="109"/>
        <w:gridCol w:w="109"/>
        <w:gridCol w:w="157"/>
      </w:tblGrid>
      <w:tr>
        <w:trPr/>
        <w:tc>
          <w:tcPr>
            <w:tcW w:w="25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5"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r:id="rId3">
              <w:r>
                <w:rPr>
                  <w:rStyle w:val="InternetLink"/>
                  <w:rFonts w:ascii="Times New Roman;serif" w:hAnsi="Times New Roman;serif"/>
                  <w:b w:val="false"/>
                  <w:color w:val="0000FF"/>
                  <w:sz w:val="20"/>
                  <w:u w:val="single"/>
                </w:rPr>
                <w:t>3.1</w:t>
              </w:r>
            </w:hyperlink>
          </w:p>
        </w:tc>
        <w:tc>
          <w:tcPr>
            <w:tcW w:w="9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Incorporation of Daktronics, Inc., dated as of April 17, 2025 (incorporated by reference to Exhibit 3.2 to our Current Report on Form 8-K filed with the SEC on April 18,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r:id="rId5">
              <w:r>
                <w:rPr>
                  <w:rStyle w:val="InternetLink"/>
                  <w:rFonts w:ascii="Times New Roman;serif" w:hAnsi="Times New Roman;serif"/>
                  <w:b w:val="false"/>
                  <w:color w:val="0000FF"/>
                  <w:sz w:val="20"/>
                  <w:u w:val="single"/>
                </w:rPr>
                <w:t>3.2</w:t>
              </w:r>
            </w:hyperlink>
          </w:p>
        </w:tc>
        <w:tc>
          <w:tcPr>
            <w:tcW w:w="9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Bylaws of Daktronics, Inc., a Delaware Business Corporation Incorporated Under Delaware Law, dated as of April 17, 2025 (incorporated by reference to Exhibit 3.3 to our Current Report on Form 8-K filed with the SEC on April 18,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rsugrantnoticeandagreement.htm">
              <w:r>
                <w:rPr>
                  <w:rStyle w:val="InternetLink"/>
                  <w:rFonts w:ascii="Times New Roman;serif" w:hAnsi="Times New Roman;serif"/>
                  <w:b w:val="false"/>
                  <w:color w:val="0000FF"/>
                  <w:sz w:val="20"/>
                  <w:u w:val="single"/>
                </w:rPr>
                <w:t>10.1</w:t>
              </w:r>
            </w:hyperlink>
          </w:p>
        </w:tc>
        <w:tc>
          <w:tcPr>
            <w:tcW w:w="91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rsugrantnoticeandagreement.htm">
              <w:r>
                <w:rPr>
                  <w:rStyle w:val="InternetLink"/>
                  <w:rFonts w:ascii="Times New Roman;serif" w:hAnsi="Times New Roman;serif"/>
                  <w:b w:val="false"/>
                  <w:color w:val="0000FF"/>
                  <w:sz w:val="20"/>
                  <w:u w:val="single"/>
                </w:rPr>
                <w:t>Form of Restricted Stock Unit Notice and Agreement under the 2025 Plan.</w:t>
              </w:r>
            </w:hyperlink>
            <w:hyperlink w:anchor="rsugrantnoticeandagreement.htm">
              <w:r>
                <w:rPr>
                  <w:rStyle w:val="InternetLink"/>
                  <w:rFonts w:ascii="Times New Roman;serif" w:hAnsi="Times New Roman;serif"/>
                  <w:b w:val="false"/>
                  <w:color w:val="0000FF"/>
                  <w:sz w:val="13"/>
                  <w:u w:val="single"/>
                </w:rPr>
                <w:t>(1)(3)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psugrantnoticeandagreement.htm">
              <w:r>
                <w:rPr>
                  <w:rStyle w:val="InternetLink"/>
                  <w:rFonts w:ascii="Times New Roman;serif" w:hAnsi="Times New Roman;serif"/>
                  <w:b w:val="false"/>
                  <w:color w:val="0000FF"/>
                  <w:sz w:val="20"/>
                  <w:u w:val="single"/>
                </w:rPr>
                <w:t>10.2</w:t>
              </w:r>
            </w:hyperlink>
          </w:p>
        </w:tc>
        <w:tc>
          <w:tcPr>
            <w:tcW w:w="91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psugrantnoticeandagreement.htm">
              <w:r>
                <w:rPr>
                  <w:rStyle w:val="InternetLink"/>
                  <w:rFonts w:ascii="Times New Roman;serif" w:hAnsi="Times New Roman;serif"/>
                  <w:b w:val="false"/>
                  <w:color w:val="0000FF"/>
                  <w:sz w:val="20"/>
                  <w:u w:val="single"/>
                </w:rPr>
                <w:t>Form of Performance Stock Unit Notice and Agreement under the 2025 Plan.</w:t>
              </w:r>
            </w:hyperlink>
            <w:hyperlink w:anchor="psugrantnoticeandagreement.htm">
              <w:r>
                <w:rPr>
                  <w:rStyle w:val="InternetLink"/>
                  <w:rFonts w:ascii="Times New Roman;serif" w:hAnsi="Times New Roman;serif"/>
                  <w:b w:val="false"/>
                  <w:color w:val="0000FF"/>
                  <w:sz w:val="13"/>
                  <w:u w:val="single"/>
                </w:rPr>
                <w:t>(1)(3)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dakt-20260801x10qex311.htm">
              <w:r>
                <w:rPr>
                  <w:rStyle w:val="InternetLink"/>
                  <w:rFonts w:ascii="Times New Roman;serif" w:hAnsi="Times New Roman;serif"/>
                  <w:b w:val="false"/>
                  <w:color w:val="0000FF"/>
                  <w:sz w:val="20"/>
                  <w:u w:val="single"/>
                </w:rPr>
                <w:t>31.1</w:t>
              </w:r>
            </w:hyperlink>
          </w:p>
        </w:tc>
        <w:tc>
          <w:tcPr>
            <w:tcW w:w="91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dakt-20260801x10qex311.htm">
              <w:r>
                <w:rPr>
                  <w:rStyle w:val="InternetLink"/>
                  <w:rFonts w:ascii="Times New Roman;serif" w:hAnsi="Times New Roman;serif"/>
                  <w:b w:val="false"/>
                  <w:color w:val="0000EE"/>
                  <w:sz w:val="20"/>
                  <w:u w:val="single"/>
                </w:rPr>
                <w:t>Certification of the Principal Executive Officer required by Rule 13a-14(a) or Rule 15d-14(a) under the Securities Exchange Act of 1934, as adopted pursuant to Section 302 of the Sarbanes-Oxley Act of 2002.</w:t>
              </w:r>
            </w:hyperlink>
            <w:hyperlink w:anchor="dakt-20260801x10qex311.htm">
              <w:r>
                <w:rPr>
                  <w:rStyle w:val="InternetLink"/>
                  <w:color w:val="0000EE"/>
                  <w:u w:val="single"/>
                </w:rPr>
                <w:t xml:space="preserve"> </w:t>
              </w:r>
            </w:hyperlink>
            <w:hyperlink w:anchor="dakt-20260801x10qex311.htm">
              <w:r>
                <w:rPr>
                  <w:rStyle w:val="InternetLink"/>
                  <w:rFonts w:ascii="Times New Roman;serif" w:hAnsi="Times New Roman;serif"/>
                  <w:b w:val="false"/>
                  <w:color w:val="0000EE"/>
                  <w:sz w:val="13"/>
                  <w:u w:val="single"/>
                </w:rPr>
                <w:t>(1)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dakt-20260801x10qex312.htm">
              <w:r>
                <w:rPr>
                  <w:rStyle w:val="InternetLink"/>
                  <w:rFonts w:ascii="Times New Roman;serif" w:hAnsi="Times New Roman;serif"/>
                  <w:b w:val="false"/>
                  <w:color w:val="0000FF"/>
                  <w:sz w:val="20"/>
                  <w:u w:val="single"/>
                </w:rPr>
                <w:t>31.2</w:t>
              </w:r>
            </w:hyperlink>
          </w:p>
        </w:tc>
        <w:tc>
          <w:tcPr>
            <w:tcW w:w="91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dakt-20260801x10qex312.htm">
              <w:r>
                <w:rPr>
                  <w:rStyle w:val="InternetLink"/>
                  <w:rFonts w:ascii="Times New Roman;serif" w:hAnsi="Times New Roman;serif"/>
                  <w:b w:val="false"/>
                  <w:color w:val="0000EE"/>
                  <w:sz w:val="20"/>
                  <w:u w:val="single"/>
                </w:rPr>
                <w:t>Certification of the Principal Financial Officer required by Rule 13a-14(a) or Rule 15d-14(a) under the Securities Exchange Act of 1934, as adopted pursuant to Section 302 of the Sarbanes-Oxley Act of 2002.</w:t>
              </w:r>
            </w:hyperlink>
            <w:hyperlink w:anchor="dakt-20260801x10qex312.htm">
              <w:r>
                <w:rPr>
                  <w:rStyle w:val="InternetLink"/>
                  <w:color w:val="0000EE"/>
                  <w:u w:val="single"/>
                </w:rPr>
                <w:t xml:space="preserve"> </w:t>
              </w:r>
            </w:hyperlink>
            <w:hyperlink w:anchor="dakt-20260801x10qex312.htm">
              <w:r>
                <w:rPr>
                  <w:rStyle w:val="InternetLink"/>
                  <w:rFonts w:ascii="Times New Roman;serif" w:hAnsi="Times New Roman;serif"/>
                  <w:b w:val="false"/>
                  <w:color w:val="0000EE"/>
                  <w:sz w:val="13"/>
                  <w:u w:val="single"/>
                </w:rPr>
                <w:t>(1)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dakt-20260801x10qex321.htm">
              <w:r>
                <w:rPr>
                  <w:rStyle w:val="InternetLink"/>
                  <w:rFonts w:ascii="Times New Roman;serif" w:hAnsi="Times New Roman;serif"/>
                  <w:b w:val="false"/>
                  <w:color w:val="0000FF"/>
                  <w:sz w:val="20"/>
                  <w:u w:val="single"/>
                </w:rPr>
                <w:t>32.1</w:t>
              </w:r>
            </w:hyperlink>
          </w:p>
        </w:tc>
        <w:tc>
          <w:tcPr>
            <w:tcW w:w="91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dakt-20260801x10qex321.htm">
              <w:r>
                <w:rPr>
                  <w:rStyle w:val="InternetLink"/>
                  <w:rFonts w:ascii="Times New Roman;serif" w:hAnsi="Times New Roman;serif"/>
                  <w:b w:val="false"/>
                  <w:color w:val="0000EE"/>
                  <w:sz w:val="20"/>
                  <w:u w:val="single"/>
                </w:rPr>
                <w:t>Certification of the Chief Executive Officer pursuant to Section 906 of the Sarbanes-Oxley Act of 2002 (18 U.S.C. Section 1350).</w:t>
              </w:r>
            </w:hyperlink>
            <w:hyperlink w:anchor="dakt-20260801x10qex321.htm">
              <w:r>
                <w:rPr>
                  <w:rStyle w:val="InternetLink"/>
                  <w:color w:val="0000EE"/>
                  <w:u w:val="single"/>
                </w:rPr>
                <w:t xml:space="preserve"> </w:t>
              </w:r>
            </w:hyperlink>
            <w:hyperlink w:anchor="dakt-20260801x10qex321.htm">
              <w:r>
                <w:rPr>
                  <w:rStyle w:val="InternetLink"/>
                  <w:rFonts w:ascii="Times New Roman;serif" w:hAnsi="Times New Roman;serif"/>
                  <w:b w:val="false"/>
                  <w:color w:val="0000EE"/>
                  <w:sz w:val="13"/>
                  <w:u w:val="single"/>
                </w:rPr>
                <w:t>(2)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dakt-20260801x10qex322.htm">
              <w:r>
                <w:rPr>
                  <w:rStyle w:val="InternetLink"/>
                  <w:rFonts w:ascii="Times New Roman;serif" w:hAnsi="Times New Roman;serif"/>
                  <w:b w:val="false"/>
                  <w:color w:val="0000FF"/>
                  <w:sz w:val="20"/>
                  <w:u w:val="single"/>
                </w:rPr>
                <w:t>32.2</w:t>
              </w:r>
            </w:hyperlink>
          </w:p>
        </w:tc>
        <w:tc>
          <w:tcPr>
            <w:tcW w:w="91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dakt-20260801x10qex322.htm">
              <w:r>
                <w:rPr>
                  <w:rStyle w:val="InternetLink"/>
                  <w:rFonts w:ascii="Times New Roman;serif" w:hAnsi="Times New Roman;serif"/>
                  <w:b w:val="false"/>
                  <w:color w:val="0000EE"/>
                  <w:sz w:val="20"/>
                  <w:u w:val="single"/>
                </w:rPr>
                <w:t>Certification of the Chief Financial Officer pursuant to Section 906 of the Sarbanes-Oxley Act of 2002 (18 U.S.C. Section 1350).</w:t>
              </w:r>
            </w:hyperlink>
            <w:hyperlink w:anchor="dakt-20260801x10qex322.htm">
              <w:r>
                <w:rPr>
                  <w:rStyle w:val="InternetLink"/>
                  <w:color w:val="0000EE"/>
                  <w:u w:val="single"/>
                </w:rPr>
                <w:t xml:space="preserve"> </w:t>
              </w:r>
            </w:hyperlink>
            <w:hyperlink w:anchor="dakt-20260801x10qex322.htm">
              <w:r>
                <w:rPr>
                  <w:rStyle w:val="InternetLink"/>
                  <w:rFonts w:ascii="Times New Roman;serif" w:hAnsi="Times New Roman;serif"/>
                  <w:b w:val="false"/>
                  <w:color w:val="0000EE"/>
                  <w:sz w:val="13"/>
                  <w:u w:val="single"/>
                </w:rPr>
                <w:t>(2)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shd w:fill="C6F4F9"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64" w:type="dxa"/>
            <w:gridSpan w:val="3"/>
            <w:tcBorders/>
            <w:shd w:fill="C6F4F9"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(1)Filed herewith electronically.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 Furnished herewith electronically.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 Management contract or compensatory plan or arrangement.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0500b9806a64d30836472e08573014d_7">
        <w:r>
          <w:rPr>
            <w:rStyle w:val="InternetLink"/>
            <w:rFonts w:ascii="Times New Roman;serif" w:hAnsi="Times New Roman;serif"/>
            <w:b w:val="false"/>
            <w:color w:val="0E32E1"/>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13" w:type="dxa"/>
        <w:jc w:val="left"/>
        <w:tblInd w:w="0" w:type="dxa"/>
        <w:tblLayout w:type="fixed"/>
        <w:tblCellMar>
          <w:top w:w="28" w:type="dxa"/>
          <w:left w:w="28" w:type="dxa"/>
          <w:bottom w:w="28" w:type="dxa"/>
          <w:right w:w="28" w:type="dxa"/>
        </w:tblCellMar>
      </w:tblPr>
      <w:tblGrid>
        <w:gridCol w:w="764"/>
        <w:gridCol w:w="673"/>
        <w:gridCol w:w="677"/>
        <w:gridCol w:w="788"/>
        <w:gridCol w:w="788"/>
        <w:gridCol w:w="112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Daktronics,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Howard I. Atkins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Howard I. Atkins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 and</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2, 2026</w:t>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DAKTRONICS,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2025 STOCK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STOCK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terms and conditions of the Daktronics, Inc. 2025 Stock Incentive Plan, as amended from time to time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Daktronics,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hereby grants to the individual listed below (“</w:t>
      </w:r>
      <w:r>
        <w:rPr>
          <w:rFonts w:ascii="Times New Roman;serif" w:hAnsi="Times New Roman;serif"/>
          <w:b/>
          <w:i/>
          <w:color w:val="000000"/>
          <w:sz w:val="24"/>
        </w:rPr>
        <w:t>you</w:t>
      </w:r>
      <w:r>
        <w:rPr>
          <w:color w:val="000000"/>
        </w:rPr>
        <w:t xml:space="preserve">” </w:t>
      </w:r>
      <w:r>
        <w:rPr>
          <w:rFonts w:ascii="Times New Roman;serif" w:hAnsi="Times New Roman;serif"/>
          <w:b w:val="false"/>
          <w:color w:val="000000"/>
          <w:sz w:val="24"/>
        </w:rPr>
        <w:t>or the “</w:t>
      </w:r>
      <w:r>
        <w:rPr>
          <w:rFonts w:ascii="Times New Roman;serif" w:hAnsi="Times New Roman;serif"/>
          <w:b/>
          <w:i/>
          <w:color w:val="000000"/>
          <w:sz w:val="24"/>
        </w:rPr>
        <w:t>Recipient</w:t>
      </w:r>
      <w:r>
        <w:rPr>
          <w:color w:val="000000"/>
        </w:rPr>
        <w:t>”</w:t>
      </w:r>
      <w:r>
        <w:rPr>
          <w:rFonts w:ascii="Times New Roman;serif" w:hAnsi="Times New Roman;serif"/>
          <w:b w:val="false"/>
          <w:color w:val="000000"/>
          <w:sz w:val="24"/>
        </w:rPr>
        <w:t>) the number of Restricted Stock Units (the “</w:t>
      </w:r>
      <w:r>
        <w:rPr>
          <w:rFonts w:ascii="Times New Roman;serif" w:hAnsi="Times New Roman;serif"/>
          <w:b/>
          <w:i/>
          <w:color w:val="000000"/>
          <w:sz w:val="24"/>
        </w:rPr>
        <w:t>RSUs</w:t>
      </w:r>
      <w:r>
        <w:rPr>
          <w:color w:val="000000"/>
        </w:rPr>
        <w:t>”</w:t>
      </w:r>
      <w:r>
        <w:rPr>
          <w:rFonts w:ascii="Times New Roman;serif" w:hAnsi="Times New Roman;serif"/>
          <w:b w:val="false"/>
          <w:color w:val="000000"/>
          <w:sz w:val="24"/>
        </w:rPr>
        <w:t>) set forth below. This award of RSUs (this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xml:space="preserve">) is subject to the terms and conditions set forth herein and in the Restricted Stock Unit Agreement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and the Plan, each of which is incorporated herein by reference. Capitalized terms used but not specifically defined herein shall have the meanings set forth in the Plan or the Agreement, as applicable.</w:t>
      </w:r>
    </w:p>
    <w:tbl>
      <w:tblPr>
        <w:tblW w:w="10205" w:type="dxa"/>
        <w:jc w:val="left"/>
        <w:tblInd w:w="0" w:type="dxa"/>
        <w:tblLayout w:type="fixed"/>
        <w:tblCellMar>
          <w:top w:w="28" w:type="dxa"/>
          <w:left w:w="28" w:type="dxa"/>
          <w:bottom w:w="28" w:type="dxa"/>
          <w:right w:w="28" w:type="dxa"/>
        </w:tblCellMar>
      </w:tblPr>
      <w:tblGrid>
        <w:gridCol w:w="491"/>
        <w:gridCol w:w="431"/>
        <w:gridCol w:w="434"/>
        <w:gridCol w:w="2801"/>
        <w:gridCol w:w="2580"/>
        <w:gridCol w:w="3468"/>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Recipient:</w:t>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Date of Grant:</w:t>
            </w:r>
          </w:p>
        </w:tc>
        <w:tc>
          <w:tcPr>
            <w:tcW w:w="884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color w:val="000000"/>
              </w:rPr>
              <w:t> </w:t>
            </w:r>
            <w:r>
              <w:rPr>
                <w:rFonts w:ascii="Times New Roman;serif" w:hAnsi="Times New Roman;serif"/>
                <w:b w:val="false"/>
                <w:color w:val="000000"/>
                <w:sz w:val="24"/>
              </w:rPr>
              <w:t>(the “</w:t>
            </w:r>
            <w:r>
              <w:rPr>
                <w:rFonts w:ascii="Times New Roman;serif" w:hAnsi="Times New Roman;serif"/>
                <w:b/>
                <w:i/>
                <w:color w:val="000000"/>
                <w:sz w:val="24"/>
              </w:rPr>
              <w:t>Date of Grant</w:t>
            </w:r>
            <w:r>
              <w:rPr>
                <w:color w:val="000000"/>
              </w:rPr>
              <w:t>”</w:t>
            </w:r>
            <w:r>
              <w:rPr>
                <w:rFonts w:ascii="Times New Roman;serif" w:hAnsi="Times New Roman;serif"/>
                <w:b w:val="false"/>
                <w:color w:val="000000"/>
                <w:sz w:val="24"/>
              </w:rPr>
              <w:t>)</w:t>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Total Number of RSUs:</w:t>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Vesting Schedule:</w:t>
            </w:r>
          </w:p>
        </w:tc>
        <w:tc>
          <w:tcPr>
            <w:tcW w:w="884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terms of the Plan and the Agreement, the RSUs shall vest according to the following schedule: one-fourth of the RSUs will vest on [●], 2027, one-fourth of the RSUs will vest on [●], 2028, one-fourth of the RSUs will vest on [●], 2029 and the remaining RSUs will vest on [●], 2030, so long as you remain continuously employed by the Company or a Subsidiary from the Date of Grant through each such vesting date. </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4"/>
        </w:rPr>
        <w:t>Unless you explicitly decline the Award within five (5) days of receipt of this Restricted Stock Unit Grant Notice (this “</w:t>
      </w:r>
      <w:r>
        <w:rPr>
          <w:rFonts w:ascii="Times New Roman;serif" w:hAnsi="Times New Roman;serif"/>
          <w:b/>
          <w:i/>
          <w:color w:val="000000"/>
          <w:sz w:val="24"/>
        </w:rPr>
        <w:t>Grant Notice</w:t>
      </w:r>
      <w:r>
        <w:rPr>
          <w:color w:val="000000"/>
        </w:rPr>
        <w:t>”</w:t>
      </w:r>
      <w:r>
        <w:rPr>
          <w:rFonts w:ascii="Times New Roman;serif" w:hAnsi="Times New Roman;serif"/>
          <w:b w:val="false"/>
          <w:color w:val="000000"/>
          <w:sz w:val="24"/>
        </w:rPr>
        <w:t xml:space="preserve">), your acceptance of the Award will be presumed, and you shall be deemed to have accepted the Award and agreed to be bound by all the terms and conditions set forth in the Plan, the Agreement, and this Grant Notice. You acknowledge that you have reviewed the Plan, the Agreement, and this Grant Notice in their entirety and fully understand all provisions of the Plan, the Agreement, and this Grant Notice. You hereby agree to accept as binding, conclusive, and final all decisions or interpretations of the Committee regarding any questions or determinations that arise under the Plan, the Agreement, or this Grant Notice.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Company has caused this Grant Notice to be executed by an officer thereunto duly authorized effective for all purposes as provided above.</w:t>
      </w:r>
    </w:p>
    <w:p>
      <w:pPr>
        <w:pStyle w:val="TextBody"/>
        <w:bidi w:val="0"/>
        <w:spacing w:lineRule="auto" w:line="288" w:before="0" w:after="0"/>
        <w:jc w:val="both"/>
        <w:rPr/>
      </w:pPr>
      <w:r>
        <w:rPr>
          <w:color w:val="000000"/>
        </w:rPr>
        <w:t>    </w:t>
      </w:r>
      <w:r>
        <w:rPr>
          <w:rFonts w:ascii="Times New Roman;serif" w:hAnsi="Times New Roman;serif"/>
          <w:b/>
          <w:color w:val="000000"/>
          <w:sz w:val="24"/>
        </w:rPr>
        <w:t>DAKTRONICS,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48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Restricted Stock Unit Grant Notice]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Restricted Stock Unit Grant Notice]</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Restricted Stock Unit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as of the Date of Grant by and between Daktronics,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and the </w:t>
      </w:r>
      <w:r>
        <w:rPr>
          <w:rFonts w:ascii="Times New Roman;serif" w:hAnsi="Times New Roman;serif"/>
          <w:b/>
          <w:color w:val="000000"/>
          <w:sz w:val="24"/>
        </w:rPr>
        <w:t xml:space="preserve">Recipient </w:t>
      </w:r>
      <w:r>
        <w:rPr>
          <w:rFonts w:ascii="Times New Roman;serif" w:hAnsi="Times New Roman;serif"/>
          <w:b w:val="false"/>
          <w:color w:val="000000"/>
          <w:sz w:val="24"/>
        </w:rPr>
        <w:t>identified in the Grant Notice. Capitalized terms used but not specifically defined herein shall have the meanings specified in the Plan or the Grant Notice,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Award</w:t>
      </w:r>
      <w:r>
        <w:rPr>
          <w:rFonts w:ascii="Times New Roman;serif" w:hAnsi="Times New Roman;serif"/>
          <w:b w:val="false"/>
          <w:color w:val="000000"/>
          <w:sz w:val="24"/>
        </w:rPr>
        <w:t>.  In consideration of the Recipient’s past and/or continued employment with the Company or a Subsidiary and for other good and valuable consideration, the receipt and sufficiency of which is hereby acknowledged, effective as of the Date of Grant, the Company hereby grants to the Recipient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of Stock. Vesting and settlement of the RSUs shall occur at the times and subject to the terms and conditions set forth in the Grant Notice, this Agreement, and the Plan. Unless and until the RSUs have become vested in the manner set forth in the Grant Notice, the Recipient will have no right to receive any Stock or other payments in respect of the RSUs. Prior to settlement of this Award, the RSUs and this Award represent an unsecured obligation of the Company, payable only from the general assets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Vesting and Forfeiture of RSUs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set forth in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or the Plan, the RSUs shall vest in accordance with the vesting schedule set forth in the Grant Notice.  Unless and until the RSUs have vested in accordance with such vesting schedule, the Recipient will have no right to receive any dividends or other distribution with respect to the RSUs. In the event of the termination of the Recipient’s employment with the Company prior to the vesting of all of the RSUs (but after giving effect to any accelerated vesting pursuant to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and the Plan), any unvested RSUs (and all rights arising from such RSUs and from being a holder thereof) will terminate automatically without any further action by the Company and will be forfeited without further notice and at no cost to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in the Grant Notice, this Agreement, Protection or Severance Agreements, or the Plan to the contrary, subject to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of this Agreement, the RSUs shall immediately become fully vested upon a Change in Control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Settlement of RSUs</w:t>
      </w:r>
      <w:r>
        <w:rPr>
          <w:rFonts w:ascii="Times New Roman;serif" w:hAnsi="Times New Roman;serif"/>
          <w:b w:val="false"/>
          <w:color w:val="000000"/>
          <w:sz w:val="24"/>
        </w:rPr>
        <w:t xml:space="preserve">. If the RSUs vest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of this Agreement, then as soon as administratively practicable following the vesting of the RSUs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of this Agreement, but not later than 60 days after the applicable vesting date, the Company shall deliver to the Recipient (or the Recipient’s permitted transferee, if applicable) the number of shares of Stock subject to the RSUs that vested and are being settled. Any fractional RSU that becomes vested hereunder shall be rounded down at the time shares of Stock are issued in settlement of such RSU. No fractional shares of Stock, nor the cash value of any fractional shares of Stock, will be issuable or payable to the Recipient pursuant to this Agreement. All shares of Stock issued hereunder, if any, shall be delivered either by delivering one or more certificates for such shares to the Recipient or by entering such shares in book-entry form, as determined by the Committee in its sole discretion. The value of shares of Stock shall not bear any interest owing to the passage of time. Neither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nor any action taken pursuant to or in accordance with this Agreement shall be construed to create a trust or a funded or secured obligation of any kind.</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Tax Withholding</w:t>
      </w:r>
      <w:r>
        <w:rPr>
          <w:rFonts w:ascii="Times New Roman;serif" w:hAnsi="Times New Roman;serif"/>
          <w:b w:val="false"/>
          <w:color w:val="000000"/>
          <w:sz w:val="24"/>
        </w:rPr>
        <w:t>. To the extent that the receipt, vesting or settlement of this Award results in compensation income or wages to the Recipient for federal, state, local, or foreign tax purposes, the Recipient shall make arrangements satisfactory to the Company for the satisfaction of obligations for the payment of withholding taxes and other tax obligations relating to this Award, which arrangements may include, at the Company’s election, the delivery of cash or cash equivalents, Stock (including previously owned Stock, net settlement, a broker-assisted sale, or other cashless withholding or reduction of the amount of cash or shares of Stock otherwise issuable or delivered pursuant to this Award), other property, or any other legal consideration the Committee deems appropriate. If such tax obligations are satisfied through the withholding of shares of Stock that are otherwise issuable to the Recipient pursuant to this Award (or through the surrender of previously owned shares of Stock by the Recipient to the Company),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 foreign tax purposes, including payroll taxes, that may be utilized without creating adverse accounting treatment for the Company with respect to this Award, as determined by the Committee. For the avoidance of doubt, to the extent any cash payments are made to the Recipient under this Agreement, taxes related thereto will be withheld from such payments. The Recipient acknowledges that there may be adverse tax consequences upon the receipt, vesting, or settlement of this Award or disposition of the underlying shares of Stock and the Recipient has been advised, and hereby is advised, to consult a tax advisor. The Recipient acknowledges and agrees that none of the Board, the Committee, the Company, or any Subsidiary have made any representation or warranty as to the tax consequences to the Recipient as a result of the receipt of the RSUs, the vesting of the RSUs, or the forfeiture of any of the RSUs. The Recipient represents that the Recipient is in no manner relying on the Board, the Committee, the Company, or a Subsidiary or any of their respective managers, directors, officers, employees or authorized representatives (including, without limitation, attorneys, accountants, consultants, bankers, lenders, prospective lenders, and financial representatives) for tax advice or an assessment of such tax consequences.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Non-Transferability</w:t>
      </w:r>
      <w:r>
        <w:rPr>
          <w:rFonts w:ascii="Times New Roman;serif" w:hAnsi="Times New Roman;serif"/>
          <w:b w:val="false"/>
          <w:color w:val="000000"/>
          <w:sz w:val="24"/>
        </w:rPr>
        <w:t>.  During the lifetime of the Recipient, the RSUs may not be sold, pledged, assigned, or transferred in any manner other than by will or the laws of descent and distribution, unless and until the shares of Stock underlying the RSUs have been issued, and all restrictions applicable to such shares have lapsed. Neither the RSUs nor any interest or right therein shall be liable for the debts, contracts, or engagements of the Recipient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Compliance with Securities Law</w:t>
      </w:r>
      <w:r>
        <w:rPr>
          <w:rFonts w:ascii="Times New Roman;serif" w:hAnsi="Times New Roman;serif"/>
          <w:b w:val="false"/>
          <w:color w:val="000000"/>
          <w:sz w:val="24"/>
        </w:rPr>
        <w:t>. Notwithstanding any provision of this Agreement to the contrary, the issuance of shares of Stock hereunder, if any, will be subject to compliance with all applicable requirements of applicable law with respect to such securities and with the requirements of any stock exchange or market system upon which the Stock may then be listed. No shares of Stock will be issued hereunder if such issuance would constitute a violation of any applicable law or regulation or the requirements of any stock exchange or market system upon which the Stock may then be listed. In addition, shares of Stock will not be issued hereunder unless (a) a registration statement under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xml:space="preserve">)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body having jurisdiction the authority, if any, deemed by the Company’s legal counsel to be necessary for the lawful issuance and sale of any shares of Stock hereunder will relieve the Company of any liability in respect of the failure to issue such shares as to which such requisite authority has not been obtained. As a condition to any issuance of Stock hereunder, the Company may require the Recipient to satisfy any requirements that may be necessary or appropriate to evidence compliance with any applicable law or regulation and to make any representation or warranty with respect to such compliance as may be requested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Legends</w:t>
      </w:r>
      <w:r>
        <w:rPr>
          <w:rFonts w:ascii="Times New Roman;serif" w:hAnsi="Times New Roman;serif"/>
          <w:b w:val="false"/>
          <w:color w:val="000000"/>
          <w:sz w:val="24"/>
        </w:rPr>
        <w:t>. If a stock certificate is issued with respect to any shares of Stock delivered hereunder, such certificate shall bear such legend or legends as the Committee deems appropriate in order to reflect the restrictions set forth in this Agreement and to ensure compliance with the terms and provisions of this Agreement, the rules, regulations and other requirements of the Securities and Exchange Commission (the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any applicable laws or the requirements of any stock exchange on which the Stock is then listed. If the shares of Stock issued hereunder are held in book-entry form, then such entry will reflect that the shares are subject to the restrictions set forth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Rights as a Stockholder</w:t>
      </w:r>
      <w:r>
        <w:rPr>
          <w:rFonts w:ascii="Times New Roman;serif" w:hAnsi="Times New Roman;serif"/>
          <w:b w:val="false"/>
          <w:color w:val="000000"/>
          <w:sz w:val="24"/>
        </w:rPr>
        <w:t>. Neither the Recipient nor any person claiming under or through the Recipient shall have rights as a stockholder of the Company with respect to any shares of Stock that may become deliverable hereunder unless and until the Stock issuable under the Award has been issued, and no adjustments shall be made for dividends in cash or other property, distributions or other rights in respect of any such shares of Stock, except as otherwise specifically provided for in the Plan or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Execution of Receipts and Releases</w:t>
      </w:r>
      <w:r>
        <w:rPr>
          <w:rFonts w:ascii="Times New Roman;serif" w:hAnsi="Times New Roman;serif"/>
          <w:b w:val="false"/>
          <w:color w:val="000000"/>
          <w:sz w:val="24"/>
        </w:rPr>
        <w:t>. Any payments of cash or any issuance or transfer of shares of Stock or other property to the Recipient or the Recipient’s legal representative, heir, legatee, or distributee, in accordance with this Agreement shall be in full satisfaction of all claims of such person hereunder. As a condition precedent to such payment or issuance, the Company may require the Recipient or the Recipient’s legal representative, heir, legatee, or distributee to execute (and not revoke within any time provided to do so) a release and receipt therefor in such form as it shall determine appropriate; provided, however, that any review period under such release will not modify the date of settlement with respect to vested RSUs.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No Right to Continued Employment or Awards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For purposes of this Agreement, the Recipient shall be considered to be employed by the Company as long as the Recipient remains an employee of the Company or a Subsidiary, or an employee of a corporation or other entity (or a parent or subsidiary of such corporation or other entity) assuming or substituting a new award for this Award. Nothing in the adoption of the Plan, nor the award of the RSUs thereunder pursuant to the Grant Notice and this Agreement, shall confer upon the Recipient the right to continued employment by the Company or any Subsidiary, or any other entity, or affect in any way the right of the Company or any such Subsidiary, or any other entity to terminate such employment at any time. Unless otherwise provided in a written employment agreement or by applicable law, the Recipient’s employment by the Company, or any such Subsidiary, or any other entity, shall be on an at-will basis, and the employment relationship may be terminated at any time by either the Recipient or the Company, or any such Subsidiary or any other entity for any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grant of the RSUs is a one-time benefit and does not create any contractual or other right to receive a grant of Awards or benefits in lieu of Awards in the future. Any future Awards will be granted at the sole discretion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u w:val="single"/>
        </w:rPr>
        <w:t>Legal and Equitable Remedies</w:t>
      </w:r>
      <w:r>
        <w:rPr>
          <w:rFonts w:ascii="Times New Roman;serif" w:hAnsi="Times New Roman;serif"/>
          <w:b w:val="false"/>
          <w:color w:val="000000"/>
          <w:sz w:val="24"/>
        </w:rPr>
        <w:t xml:space="preserve">. The Recipient acknowledges that a violation or attempted breach of any of the Recipient’s covenants and agreements in this Agreement will cause such damage as will be irreparable, the exact amount of which would be difficult to ascertain and for which there will be no adequate remedy at law, and accordingly, the parties hereto agree that the Company and its Subsidiaries shall be entitled as a matter of right to an injunction issued by any court of competent jurisdiction, restraining the Recipient or the affiliates, partners, or agents of the Recipient from such breach or attempted violation of such covenants and agreements, as well as to recover from the Recipient any and all costs and expenses sustained or incurred by the Company or any Subsidiary in obtaining such an injunction, including, without limitation, reasonable attorneys’ fees. The parties to this Agreement agree that no bond or other security shall be required in connection with such injunction. Any exercise by either of the parties to this Agreement of its rights pursuant to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shall be cumulative and in addition to any other remedies to which such party may be entitled.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u w:val="single"/>
        </w:rPr>
        <w:t>Notices</w:t>
      </w:r>
      <w:r>
        <w:rPr>
          <w:rFonts w:ascii="Times New Roman;serif" w:hAnsi="Times New Roman;serif"/>
          <w:b w:val="false"/>
          <w:color w:val="000000"/>
          <w:sz w:val="24"/>
        </w:rPr>
        <w:t>. All notices and other communications under this Agreement shall be in writing and shall be delivered to the parties at the following addresses (or at such other address for a party as shall be specified by like 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Company, unless otherwise designated by the Company in a written notice to the Recipient (or other holder):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Daktronics, Inc.</w:t>
        <w:br/>
        <w:t>Attn: Vice President, Human Resources</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201 Daktronics Drive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Brookings, SD 57006</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4"/>
        </w:rPr>
        <w:t xml:space="preserve">If to the Recipient, at the Recipient’s last known address on filed with the Company.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notice that is delivered personally or by overnight courier or telecopier in the manner provided herein shall be deemed to have been duly given to the Recipient when it is mailed by the Company or, if such notice is not mailed to the Recipient, upon receipt by the Recipient. Any notice that is addressed and mailed in the manner herein provided shall be conclusively presumed to have been given to the party to whom it is addressed at the close of business, local time of such party, on the fourth day after the day it is so placed in the mail.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u w:val="single"/>
        </w:rPr>
        <w:t>Consent to Electronic Delivery; Electronic Signature</w:t>
      </w:r>
      <w:r>
        <w:rPr>
          <w:rFonts w:ascii="Times New Roman;serif" w:hAnsi="Times New Roman;serif"/>
          <w:b w:val="false"/>
          <w:color w:val="000000"/>
          <w:sz w:val="24"/>
        </w:rPr>
        <w:t xml:space="preserve">. In lieu of receiving documents in paper format, the Recipient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Award and any other award made or offered by the Company. Electronic delivery may be via a Company electronic mail system or by reference to a location on a Company intranet to which the Recipient has access. The Recipient hereby consents to any and all procedures the Company has established or may establish for an electronic signature system for delivery and acceptance of any such documents that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may be required to deliver, and agrees that his or her electronic signature is the same as, and shall have the same force and effect as, his or her manual signature.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u w:val="single"/>
        </w:rPr>
        <w:t>Agreement to Furnish Information</w:t>
      </w:r>
      <w:r>
        <w:rPr>
          <w:rFonts w:ascii="Times New Roman;serif" w:hAnsi="Times New Roman;serif"/>
          <w:b w:val="false"/>
          <w:color w:val="000000"/>
          <w:sz w:val="24"/>
        </w:rPr>
        <w:t>. The Recipient agrees to furnish to the Company all information requested by the Company to enable it to comply with any reporting or other requirement imposed upon the Company by or under any applicable statute or regulation.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u w:val="single"/>
        </w:rPr>
        <w:t>Entire Agreement; Amendment</w:t>
      </w:r>
      <w:r>
        <w:rPr>
          <w:rFonts w:ascii="Times New Roman;serif" w:hAnsi="Times New Roman;serif"/>
          <w:b w:val="false"/>
          <w:color w:val="000000"/>
          <w:sz w:val="24"/>
        </w:rPr>
        <w:t>. This Agreement constitutes the entire agreement of the parties with regard to the subject matter hereof, and contains all the covenants, promises, representations, warranties and agreements between the parties with respect to the RSUs granted hereby; provided, however, that the terms of this Agreement shall not modify and shall be subject to the terms and conditions of any employment agreement between the Recipient and the Company (or a Subsidiary or other entity) or a severance or similar plan in which the Recipient participates, in each case,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provided, however, that except as otherwise provided in the Plan or this Agreement, any such amendment that materially reduces the rights of the Recipient shall be effective only if it is in writing and signed by both the Recipient and an authorized officer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u w:val="single"/>
        </w:rPr>
        <w:t>Severability and Waiver</w:t>
      </w:r>
      <w:r>
        <w:rPr>
          <w:rFonts w:ascii="Times New Roman;serif" w:hAnsi="Times New Roman;serif"/>
          <w:b w:val="false"/>
          <w:color w:val="000000"/>
          <w:sz w:val="24"/>
        </w:rPr>
        <w:t>. 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u w:val="single"/>
        </w:rPr>
        <w:t>Clawback</w:t>
      </w:r>
      <w:r>
        <w:rPr>
          <w:rFonts w:ascii="Times New Roman;serif" w:hAnsi="Times New Roman;serif"/>
          <w:b w:val="false"/>
          <w:color w:val="000000"/>
          <w:sz w:val="24"/>
        </w:rPr>
        <w:t>. Notwithstanding any provision in the Grant Notice, this Agreement, or the Plan to the contrary, to the extent required by (a) applicable law, including, without limitation, the requirements of the Dodd-Frank Wall Street Reform and Consumer Protection Act of 2010, any SEC rule, or any applicable securities exchange listing standards and/or (b) any policy that may be adopted or amended by the Board from time to time, including, without limitation, the Company’s Executive Incentive Compensation Clawback Policy, all cash or shares of Stock issued hereunder shall be subject to forfeiture, repurchase, recoupment, and/or cancellation to the extent necessary to comply with such law(s) and/or policy.</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AND THE RIGHTS OF THE RECIPIENT HEREUNDER SHALL BE CONSTRUED AND DETERMINED IN ACCORDANCE WITH THE LAWS OF THE STATE OF DELAWARE, WITHOUT REGARD TO THE CHOICE OR CONFLICTS OF LAW PROVISIONS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u w:val="single"/>
        </w:rPr>
        <w:t>Successors and Assigns</w:t>
      </w:r>
      <w:r>
        <w:rPr>
          <w:rFonts w:ascii="Times New Roman;serif" w:hAnsi="Times New Roman;serif"/>
          <w:b w:val="false"/>
          <w:color w:val="000000"/>
          <w:sz w:val="24"/>
        </w:rPr>
        <w:t>. The Company may assign any of its rights under this Agreement without the Recipient’s consent. This Agreement will be binding upon and inure to the benefit of the successors and assigns of the Company. Subject to the restrictions on transfer set forth herein and in the Plan, this Agreement will be binding upon the Recipient and the Recipient’s beneficiaries, executors, administrators, and the person(s) to whom the RSUs may be transferred by will or the laws of descent or distribution.</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color w:val="000000"/>
          <w:sz w:val="24"/>
          <w:u w:val="single"/>
        </w:rPr>
        <w:t>Headings</w:t>
      </w:r>
      <w:r>
        <w:rPr>
          <w:rFonts w:ascii="Times New Roman;serif" w:hAnsi="Times New Roman;serif"/>
          <w:b w:val="false"/>
          <w:color w:val="000000"/>
          <w:sz w:val="24"/>
        </w:rPr>
        <w:t>. Headings are for convenience only and are not deemed to be part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color w:val="000000"/>
          <w:sz w:val="24"/>
          <w:u w:val="single"/>
        </w:rPr>
        <w:t>Delivery</w:t>
      </w:r>
      <w:r>
        <w:rPr>
          <w:rFonts w:ascii="Times New Roman;serif" w:hAnsi="Times New Roman;serif"/>
          <w:b w:val="false"/>
          <w:color w:val="000000"/>
          <w:sz w:val="24"/>
        </w:rPr>
        <w:t>.  The Grant Notice may be executed by way of any electronic or digital signature, subject to applicable law. Delivery of an executed copy of the Grant Notice by facsimile or portable document format (.pdf) attachment to electronic mail shall be effective as delivery of a manually executed copy of the Grant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color w:val="000000"/>
          <w:sz w:val="24"/>
          <w:u w:val="single"/>
        </w:rPr>
        <w:t>Section 409A</w:t>
      </w:r>
      <w:r>
        <w:rPr>
          <w:rFonts w:ascii="Times New Roman;serif" w:hAnsi="Times New Roman;serif"/>
          <w:b w:val="false"/>
          <w:color w:val="000000"/>
          <w:sz w:val="24"/>
        </w:rPr>
        <w:t>. Notwithstanding anything herein or in the Plan to the contrary, the RSUs granted pursuant to this Agreement are intended to be exempt from the applicable requirements of Section 409A of the Code and the guidance and regulations promulgated thereunder (“</w:t>
      </w:r>
      <w:r>
        <w:rPr>
          <w:rFonts w:ascii="Times New Roman;serif" w:hAnsi="Times New Roman;serif"/>
          <w:b/>
          <w:i/>
          <w:color w:val="000000"/>
          <w:sz w:val="24"/>
        </w:rPr>
        <w:t>Section 409A</w:t>
      </w:r>
      <w:r>
        <w:rPr>
          <w:color w:val="000000"/>
        </w:rPr>
        <w:t>”</w:t>
      </w:r>
      <w:r>
        <w:rPr>
          <w:rFonts w:ascii="Times New Roman;serif" w:hAnsi="Times New Roman;serif"/>
          <w:b w:val="false"/>
          <w:color w:val="000000"/>
          <w:sz w:val="24"/>
        </w:rPr>
        <w:t>), and shall be limited, construed, and interpreted in accordance with such intent. Nevertheless, to the extent that the Committee determines that the RSUs may not be exempt from Section 409A, then, if the Recipient is deemed to be a “specified employee” within the meaning of Section 409A, as determined by the Committee, at a time when the Recipient becomes eligible for settlement of the RSUs upon his “separation from service” within the meaning of Section 409A, then to the extent necessary to prevent any accelerated or additional tax under Section 409A, such settlement will be delayed until the earlier of: (a) the date that is six months following the Recipient’s separation from service and (b) the Recipient’s death. Notwithstanding the foregoing, the Company and its Subsidiaries make no representations that the RSUs provided under this Agreement are exempt from or compliant with Section 409A and in no event shall the Company or any Subsidiary be liable for all or any portion of any taxes, penalties, interest, or other expenses that may be incurred by the Recipient on account of non-compliance with Section 409A.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uto" w:line="288" w:before="39" w:after="283"/>
        <w:jc w:val="center"/>
        <w:rPr>
          <w:rFonts w:ascii="Times New Roman;serif" w:hAnsi="Times New Roman;serif"/>
          <w:b/>
          <w:color w:val="000000"/>
          <w:sz w:val="24"/>
        </w:rPr>
      </w:pPr>
      <w:r>
        <w:rPr>
          <w:rFonts w:ascii="Times New Roman;serif" w:hAnsi="Times New Roman;serif"/>
          <w:b/>
          <w:color w:val="000000"/>
          <w:sz w:val="24"/>
        </w:rPr>
        <w:t>DAKTRONICS,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2025 STOCK INCENTIVE PLAN</w:t>
      </w:r>
    </w:p>
    <w:p>
      <w:pPr>
        <w:pStyle w:val="TextBody"/>
        <w:bidi w:val="0"/>
        <w:spacing w:before="10" w:after="283"/>
        <w:jc w:val="left"/>
        <w:rPr/>
      </w:pPr>
      <w:r>
        <w:rPr/>
      </w:r>
    </w:p>
    <w:p>
      <w:pPr>
        <w:pStyle w:val="TextBody"/>
        <w:bidi w:val="0"/>
        <w:spacing w:lineRule="auto" w:line="288" w:before="0" w:after="0"/>
        <w:jc w:val="center"/>
        <w:rPr/>
      </w:pPr>
      <w:r>
        <w:rPr>
          <w:rFonts w:ascii="Times New Roman;serif" w:hAnsi="Times New Roman;serif"/>
          <w:b/>
          <w:color w:val="000000"/>
          <w:sz w:val="24"/>
        </w:rPr>
        <w:t>PERFORMANCE STOCK</w:t>
      </w:r>
      <w:r>
        <w:rPr>
          <w:color w:val="000000"/>
        </w:rPr>
        <w:t xml:space="preserve"> </w:t>
      </w:r>
      <w:r>
        <w:rPr>
          <w:rFonts w:ascii="Times New Roman;serif" w:hAnsi="Times New Roman;serif"/>
          <w:b/>
          <w:color w:val="000000"/>
          <w:sz w:val="24"/>
        </w:rPr>
        <w:t>UNIT GRANT NOTICE</w:t>
      </w:r>
    </w:p>
    <w:p>
      <w:pPr>
        <w:pStyle w:val="TextBody"/>
        <w:bidi w:val="0"/>
        <w:spacing w:before="10" w:after="283"/>
        <w:jc w:val="left"/>
        <w:rPr/>
      </w:pPr>
      <w:r>
        <w:rPr/>
      </w:r>
    </w:p>
    <w:p>
      <w:pPr>
        <w:pStyle w:val="TextBody"/>
        <w:bidi w:val="0"/>
        <w:spacing w:lineRule="auto" w:line="288" w:before="69" w:after="283"/>
        <w:ind w:left="0" w:right="0" w:firstLine="720"/>
        <w:jc w:val="both"/>
        <w:rPr/>
      </w:pPr>
      <w:r>
        <w:rPr>
          <w:rFonts w:ascii="Times New Roman;serif" w:hAnsi="Times New Roman;serif"/>
          <w:b w:val="false"/>
          <w:color w:val="000000"/>
          <w:sz w:val="24"/>
        </w:rPr>
        <w:t>Pursuant to the terms and conditions of the Daktronics, Inc. 2025 Stock Incentive Plan, as amended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Daktronics,</w:t>
      </w:r>
      <w:r>
        <w:rPr>
          <w:color w:val="000000"/>
        </w:rPr>
        <w:t xml:space="preserve"> </w:t>
      </w:r>
      <w:r>
        <w:rPr>
          <w:rFonts w:ascii="Times New Roman;serif" w:hAnsi="Times New Roman;serif"/>
          <w:b w:val="false"/>
          <w:color w:val="000000"/>
          <w:sz w:val="24"/>
        </w:rPr>
        <w:t>Inc., a Delaware corporation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grants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u w:val="single"/>
        </w:rPr>
        <w:t xml:space="preserve"> </w:t>
      </w:r>
      <w:r>
        <w:rPr>
          <w:rFonts w:ascii="Times New Roman;serif" w:hAnsi="Times New Roman;serif"/>
          <w:b w:val="false"/>
          <w:color w:val="000000"/>
          <w:sz w:val="24"/>
        </w:rPr>
        <w:t>individual listed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w:t>
      </w:r>
      <w:r>
        <w:rPr>
          <w:rFonts w:ascii="Times New Roman;serif" w:hAnsi="Times New Roman;serif"/>
          <w:b/>
          <w:i/>
          <w:color w:val="000000"/>
          <w:sz w:val="24"/>
        </w:rPr>
        <w:t>you</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Recipient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target number of performance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PSUs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 xml:space="preserve">(this </w:t>
      </w:r>
      <w:r>
        <w:rPr>
          <w:color w:val="000000"/>
        </w:rPr>
        <w:t>“</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 Stock Unit Agreement attached hereto as</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incorporated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reference.</w:t>
      </w:r>
      <w:r>
        <w:rPr>
          <w:color w:val="000000"/>
        </w:rPr>
        <w:t xml:space="preserve"> </w:t>
      </w:r>
      <w:r>
        <w:rPr>
          <w:rFonts w:ascii="Times New Roman;serif" w:hAnsi="Times New Roman;serif"/>
          <w:b w:val="false"/>
          <w:color w:val="000000"/>
          <w:sz w:val="24"/>
        </w:rPr>
        <w:t>Capitalized</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not specifically</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 xml:space="preserve">applicable. </w:t>
      </w:r>
    </w:p>
    <w:p>
      <w:pPr>
        <w:pStyle w:val="TextBody"/>
        <w:bidi w:val="0"/>
        <w:spacing w:before="69" w:after="283"/>
        <w:ind w:left="0" w:right="0" w:firstLine="72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Recipient:            _________________</w:t>
      </w:r>
    </w:p>
    <w:p>
      <w:pPr>
        <w:pStyle w:val="TextBody"/>
        <w:bidi w:val="0"/>
        <w:spacing w:before="10" w:after="283"/>
        <w:jc w:val="left"/>
        <w:rPr/>
      </w:pPr>
      <w:r>
        <w:rPr/>
      </w:r>
    </w:p>
    <w:p>
      <w:pPr>
        <w:pStyle w:val="TextBody"/>
        <w:bidi w:val="0"/>
        <w:spacing w:lineRule="auto" w:line="288" w:before="69" w:after="283"/>
        <w:jc w:val="left"/>
        <w:rPr/>
      </w:pPr>
      <w:r>
        <w:rPr>
          <w:rFonts w:ascii="Times New Roman;serif" w:hAnsi="Times New Roman;serif"/>
          <w:b/>
          <w:color w:val="000000"/>
          <w:sz w:val="24"/>
        </w:rPr>
        <w:t>Date of Grant:    _________________</w:t>
      </w:r>
      <w:r>
        <w:rPr>
          <w:color w:val="000000"/>
        </w:rPr>
        <w:t>    </w:t>
      </w:r>
      <w:r>
        <w:rPr>
          <w:rFonts w:ascii="Times New Roman;serif" w:hAnsi="Times New Roman;serif"/>
          <w:b w:val="false"/>
          <w:color w:val="000000"/>
          <w:sz w:val="24"/>
        </w:rPr>
        <w:t>(the “</w:t>
      </w:r>
      <w:r>
        <w:rPr>
          <w:rFonts w:ascii="Times New Roman;serif" w:hAnsi="Times New Roman;serif"/>
          <w:b/>
          <w:i/>
          <w:color w:val="000000"/>
          <w:sz w:val="24"/>
        </w:rPr>
        <w:t>Date</w:t>
      </w:r>
      <w:r>
        <w:rPr>
          <w:color w:val="000000"/>
        </w:rPr>
        <w:t xml:space="preserve"> </w:t>
      </w:r>
      <w:r>
        <w:rPr>
          <w:rFonts w:ascii="Times New Roman;serif" w:hAnsi="Times New Roman;serif"/>
          <w:b/>
          <w:i/>
          <w:color w:val="000000"/>
          <w:sz w:val="24"/>
        </w:rPr>
        <w:t>of Grant</w:t>
      </w:r>
      <w:r>
        <w:rPr>
          <w:color w:val="000000"/>
        </w:rPr>
        <w:t>”</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69" w:after="283"/>
        <w:jc w:val="left"/>
        <w:rPr/>
      </w:pPr>
      <w:r>
        <w:rPr>
          <w:rFonts w:ascii="Times New Roman;serif" w:hAnsi="Times New Roman;serif"/>
          <w:b/>
          <w:color w:val="000000"/>
          <w:sz w:val="24"/>
        </w:rPr>
        <w:t>Award</w:t>
      </w:r>
      <w:r>
        <w:rPr>
          <w:color w:val="000000"/>
        </w:rPr>
        <w:t xml:space="preserve"> </w:t>
      </w:r>
      <w:r>
        <w:rPr>
          <w:rFonts w:ascii="Times New Roman;serif" w:hAnsi="Times New Roman;serif"/>
          <w:b/>
          <w:color w:val="000000"/>
          <w:sz w:val="24"/>
        </w:rPr>
        <w:t>Type and</w:t>
      </w:r>
      <w:r>
        <w:rPr>
          <w:color w:val="000000"/>
        </w:rPr>
        <w:t xml:space="preserve"> </w:t>
      </w:r>
      <w:r>
        <w:rPr>
          <w:rFonts w:ascii="Times New Roman;serif" w:hAnsi="Times New Roman;serif"/>
          <w:b/>
          <w:color w:val="000000"/>
          <w:sz w:val="24"/>
        </w:rPr>
        <w:t>Description:</w:t>
      </w:r>
    </w:p>
    <w:p>
      <w:pPr>
        <w:pStyle w:val="TextBody"/>
        <w:bidi w:val="0"/>
        <w:spacing w:before="69" w:after="283"/>
        <w:jc w:val="both"/>
        <w:rPr/>
      </w:pPr>
      <w:r>
        <w:rPr/>
      </w:r>
    </w:p>
    <w:p>
      <w:pPr>
        <w:pStyle w:val="TextBody"/>
        <w:bidi w:val="0"/>
        <w:spacing w:lineRule="auto" w:line="288" w:before="0" w:after="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 represents the right to receive shares of Stock in an amount ranging from 0% to 150% of the Target PSUs (as defined below),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p>
    <w:p>
      <w:pPr>
        <w:pStyle w:val="TextBody"/>
        <w:bidi w:val="0"/>
        <w:spacing w:before="10" w:after="283"/>
        <w:jc w:val="left"/>
        <w:rPr/>
      </w:pPr>
      <w:r>
        <w:rPr/>
      </w:r>
    </w:p>
    <w:p>
      <w:pPr>
        <w:pStyle w:val="TextBody"/>
        <w:bidi w:val="0"/>
        <w:spacing w:lineRule="auto" w:line="288" w:before="69" w:after="283"/>
        <w:jc w:val="both"/>
        <w:rPr/>
      </w:pPr>
      <w:r>
        <w:rPr>
          <w:rFonts w:ascii="Times New Roman;serif" w:hAnsi="Times New Roman;serif"/>
          <w:b w:val="false"/>
          <w:color w:val="000000"/>
          <w:sz w:val="24"/>
        </w:rPr>
        <w:t>You have 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ranging</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0%</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150%</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Target PSUs.</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vest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become earned and nonforfeitable upon (i) your satisfaction of the</w:t>
      </w:r>
      <w:r>
        <w:rPr>
          <w:color w:val="000000"/>
        </w:rPr>
        <w:t xml:space="preserve"> </w:t>
      </w:r>
      <w:r>
        <w:rPr>
          <w:rFonts w:ascii="Times New Roman;serif" w:hAnsi="Times New Roman;serif"/>
          <w:b w:val="false"/>
          <w:color w:val="000000"/>
          <w:sz w:val="24"/>
        </w:rPr>
        <w:t>continued</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described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Committee’s</w:t>
      </w:r>
      <w:r>
        <w:rPr>
          <w:color w:val="000000"/>
        </w:rPr>
        <w:t xml:space="preserve"> </w:t>
      </w:r>
      <w:r>
        <w:rPr>
          <w:rFonts w:ascii="Times New Roman;serif" w:hAnsi="Times New Roman;serif"/>
          <w:b w:val="false"/>
          <w:color w:val="000000"/>
          <w:sz w:val="24"/>
        </w:rPr>
        <w:t>certification of the level of achievement of the Performance Goals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portion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Target</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actually</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upon satisfaction</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requirements is 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herein as the “</w:t>
      </w:r>
      <w:r>
        <w:rPr>
          <w:rFonts w:ascii="Times New Roman;serif" w:hAnsi="Times New Roman;serif"/>
          <w:b/>
          <w:i/>
          <w:color w:val="000000"/>
          <w:sz w:val="24"/>
        </w:rPr>
        <w:t>Earned</w:t>
      </w:r>
      <w:r>
        <w:rPr>
          <w:color w:val="000000"/>
        </w:rPr>
        <w:t xml:space="preserve"> </w:t>
      </w:r>
      <w:r>
        <w:rPr>
          <w:rFonts w:ascii="Times New Roman;serif" w:hAnsi="Times New Roman;serif"/>
          <w:b/>
          <w:i/>
          <w:color w:val="000000"/>
          <w:sz w:val="24"/>
        </w:rPr>
        <w:t>PSUs</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69" w:after="283"/>
        <w:jc w:val="left"/>
        <w:rPr/>
      </w:pPr>
      <w:r>
        <w:rPr>
          <w:rFonts w:ascii="Times New Roman;serif" w:hAnsi="Times New Roman;serif"/>
          <w:b/>
          <w:color w:val="000000"/>
          <w:sz w:val="24"/>
        </w:rPr>
        <w:t>Target</w:t>
      </w:r>
      <w:r>
        <w:rPr>
          <w:color w:val="000000"/>
        </w:rPr>
        <w:t xml:space="preserve"> </w:t>
      </w:r>
      <w:r>
        <w:rPr>
          <w:rFonts w:ascii="Times New Roman;serif" w:hAnsi="Times New Roman;serif"/>
          <w:b/>
          <w:color w:val="000000"/>
          <w:sz w:val="24"/>
        </w:rPr>
        <w:t>Number of</w:t>
      </w:r>
      <w:r>
        <w:rPr>
          <w:color w:val="000000"/>
        </w:rPr>
        <w:t xml:space="preserve"> </w:t>
      </w:r>
      <w:r>
        <w:rPr>
          <w:rFonts w:ascii="Times New Roman;serif" w:hAnsi="Times New Roman;serif"/>
          <w:b/>
          <w:color w:val="000000"/>
          <w:sz w:val="24"/>
        </w:rPr>
        <w:t>PSUs: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________________    (the</w:t>
      </w:r>
      <w:r>
        <w:rPr>
          <w:color w:val="000000"/>
        </w:rPr>
        <w:t xml:space="preserve"> “</w:t>
      </w:r>
      <w:r>
        <w:rPr>
          <w:rFonts w:ascii="Times New Roman;serif" w:hAnsi="Times New Roman;serif"/>
          <w:b/>
          <w:i/>
          <w:color w:val="000000"/>
          <w:sz w:val="24"/>
        </w:rPr>
        <w:t>Target</w:t>
      </w:r>
      <w:r>
        <w:rPr>
          <w:color w:val="000000"/>
        </w:rPr>
        <w:t xml:space="preserve"> </w:t>
      </w:r>
      <w:r>
        <w:rPr>
          <w:rFonts w:ascii="Times New Roman;serif" w:hAnsi="Times New Roman;serif"/>
          <w:b/>
          <w:i/>
          <w:color w:val="000000"/>
          <w:sz w:val="24"/>
        </w:rPr>
        <w:t>PSUs</w:t>
      </w:r>
      <w:r>
        <w:rPr>
          <w:color w:val="000000"/>
        </w:rPr>
        <w:t>”</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69" w:after="283"/>
        <w:jc w:val="left"/>
        <w:rPr/>
      </w:pPr>
      <w:r>
        <w:rPr>
          <w:rFonts w:ascii="Times New Roman;serif" w:hAnsi="Times New Roman;serif"/>
          <w:b/>
          <w:color w:val="000000"/>
          <w:sz w:val="24"/>
        </w:rPr>
        <w:t>Performance</w:t>
      </w:r>
      <w:r>
        <w:rPr>
          <w:color w:val="000000"/>
        </w:rPr>
        <w:t xml:space="preserve"> </w:t>
      </w:r>
      <w:r>
        <w:rPr>
          <w:rFonts w:ascii="Times New Roman;serif" w:hAnsi="Times New Roman;serif"/>
          <w:b/>
          <w:color w:val="000000"/>
          <w:sz w:val="24"/>
        </w:rPr>
        <w:t>Period:</w:t>
      </w:r>
    </w:p>
    <w:p>
      <w:pPr>
        <w:pStyle w:val="TextBody"/>
        <w:bidi w:val="0"/>
        <w:spacing w:before="69" w:after="283"/>
        <w:jc w:val="both"/>
        <w:rPr/>
      </w:pPr>
      <w:r>
        <w:rPr/>
      </w:r>
    </w:p>
    <w:p>
      <w:pPr>
        <w:pStyle w:val="TextBody"/>
        <w:bidi w:val="0"/>
        <w:spacing w:lineRule="auto" w:line="288" w:before="0" w:after="0"/>
        <w:jc w:val="both"/>
        <w:rPr/>
      </w:pP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goals</w:t>
      </w:r>
      <w:r>
        <w:rPr>
          <w:color w:val="000000"/>
        </w:rPr>
        <w:t xml:space="preserve"> </w:t>
      </w:r>
      <w:r>
        <w:rPr>
          <w:rFonts w:ascii="Times New Roman;serif" w:hAnsi="Times New Roman;serif"/>
          <w:b w:val="false"/>
          <w:color w:val="000000"/>
          <w:sz w:val="24"/>
        </w:rPr>
        <w:t>described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w:t>
      </w:r>
      <w:r>
        <w:rPr>
          <w:color w:val="000000"/>
          <w:u w:val="single"/>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attached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jc w:val="both"/>
        <w:rPr/>
      </w:pPr>
      <w:r>
        <w:rPr>
          <w:color w:val="000000"/>
        </w:rPr>
        <w:t>“</w:t>
      </w:r>
      <w:r>
        <w:rPr>
          <w:rFonts w:ascii="Times New Roman;serif" w:hAnsi="Times New Roman;serif"/>
          <w:b/>
          <w:i/>
          <w:color w:val="000000"/>
          <w:sz w:val="24"/>
        </w:rPr>
        <w:t>Performance Goals</w:t>
      </w:r>
      <w:r>
        <w:rPr>
          <w:color w:val="000000"/>
        </w:rPr>
        <w:t>”</w:t>
      </w:r>
      <w:r>
        <w:rPr>
          <w:rFonts w:ascii="Times New Roman;serif" w:hAnsi="Times New Roman;serif"/>
          <w:b w:val="false"/>
          <w:color w:val="000000"/>
          <w:sz w:val="24"/>
        </w:rPr>
        <w:t xml:space="preserve">) during the three-year period consisting of the Company’s fiscal years 2027, 2028, and 2029 (the </w:t>
      </w:r>
      <w:r>
        <w:rPr>
          <w:color w:val="000000"/>
        </w:rPr>
        <w:t>“</w:t>
      </w:r>
      <w:r>
        <w:rPr>
          <w:rFonts w:ascii="Times New Roman;serif" w:hAnsi="Times New Roman;serif"/>
          <w:b/>
          <w:i/>
          <w:color w:val="000000"/>
          <w:sz w:val="24"/>
        </w:rPr>
        <w:t>Performance Period”</w:t>
      </w:r>
      <w:r>
        <w:rPr>
          <w:rFonts w:ascii="Times New Roman;serif" w:hAnsi="Times New Roman;serif"/>
          <w:b w:val="false"/>
          <w:color w:val="000000"/>
          <w:sz w:val="24"/>
        </w:rPr>
        <w:t>).</w:t>
      </w:r>
    </w:p>
    <w:p>
      <w:pPr>
        <w:pStyle w:val="TextBody"/>
        <w:bidi w:val="0"/>
        <w:spacing w:before="39" w:after="283"/>
        <w:jc w:val="left"/>
        <w:rPr/>
      </w:pPr>
      <w:r>
        <w:rPr/>
      </w:r>
    </w:p>
    <w:p>
      <w:pPr>
        <w:pStyle w:val="TextBody"/>
        <w:bidi w:val="0"/>
        <w:spacing w:lineRule="auto" w:line="288" w:before="0" w:after="0"/>
        <w:ind w:left="0" w:right="0" w:hanging="3060"/>
        <w:jc w:val="both"/>
        <w:rPr/>
      </w:pPr>
      <w:r>
        <w:rPr>
          <w:rFonts w:ascii="Times New Roman;serif" w:hAnsi="Times New Roman;serif"/>
          <w:b/>
          <w:color w:val="000000"/>
          <w:sz w:val="24"/>
        </w:rPr>
        <w:t>Service Requirement:</w:t>
      </w:r>
      <w:r>
        <w:rPr>
          <w:color w:val="000000"/>
        </w:rPr>
        <w:t>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you must</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continuously</w:t>
      </w:r>
      <w:r>
        <w:rPr>
          <w:color w:val="000000"/>
        </w:rPr>
        <w:t xml:space="preserve"> </w:t>
      </w:r>
      <w:r>
        <w:rPr>
          <w:rFonts w:ascii="Times New Roman;serif" w:hAnsi="Times New Roman;serif"/>
          <w:b w:val="false"/>
          <w:color w:val="000000"/>
          <w:sz w:val="24"/>
        </w:rPr>
        <w:t>employed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last</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level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achievement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Goals.</w:t>
      </w:r>
    </w:p>
    <w:p>
      <w:pPr>
        <w:pStyle w:val="TextBody"/>
        <w:bidi w:val="0"/>
        <w:spacing w:before="6" w:after="283"/>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bound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this Performance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Unit</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i/>
          <w:color w:val="000000"/>
          <w:sz w:val="24"/>
        </w:rPr>
        <w:t>Grant</w:t>
      </w:r>
      <w:r>
        <w:rPr>
          <w:color w:val="000000"/>
        </w:rPr>
        <w:t xml:space="preserve"> </w:t>
      </w:r>
      <w:r>
        <w:rPr>
          <w:rFonts w:ascii="Times New Roman;serif" w:hAnsi="Times New Roman;serif"/>
          <w:b/>
          <w:i/>
          <w:color w:val="000000"/>
          <w:sz w:val="24"/>
        </w:rPr>
        <w:t>Notice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acknowledge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reviewed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the Agreement, and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entirety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fully</w:t>
      </w:r>
      <w:r>
        <w:rPr>
          <w:color w:val="000000"/>
        </w:rPr>
        <w:t xml:space="preserve"> </w:t>
      </w:r>
      <w:r>
        <w:rPr>
          <w:rFonts w:ascii="Times New Roman;serif" w:hAnsi="Times New Roman;serif"/>
          <w:b w:val="false"/>
          <w:color w:val="000000"/>
          <w:sz w:val="24"/>
        </w:rPr>
        <w:t>understand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conclusive,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final,</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decisions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interpretations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regarding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questions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determinations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arise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counterparts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portable</w:t>
      </w:r>
      <w:r>
        <w:rPr>
          <w:color w:val="000000"/>
        </w:rPr>
        <w:t xml:space="preserve"> </w:t>
      </w:r>
      <w:r>
        <w:rPr>
          <w:rFonts w:ascii="Times New Roman;serif" w:hAnsi="Times New Roman;serif"/>
          <w:b w:val="false"/>
          <w:color w:val="000000"/>
          <w:sz w:val="24"/>
        </w:rPr>
        <w:t>document</w:t>
      </w:r>
      <w:r>
        <w:rPr>
          <w:color w:val="000000"/>
        </w:rPr>
        <w:t xml:space="preserve"> </w:t>
      </w:r>
      <w:r>
        <w:rPr>
          <w:rFonts w:ascii="Times New Roman;serif" w:hAnsi="Times New Roman;serif"/>
          <w:b w:val="false"/>
          <w:color w:val="000000"/>
          <w:sz w:val="24"/>
        </w:rPr>
        <w:t>format</w:t>
      </w:r>
      <w:r>
        <w:rPr>
          <w:color w:val="000000"/>
        </w:rPr>
        <w:t xml:space="preserve"> </w:t>
      </w:r>
      <w:r>
        <w:rPr>
          <w:rFonts w:ascii="Times New Roman;serif" w:hAnsi="Times New Roman;serif"/>
          <w:b w:val="false"/>
          <w:color w:val="000000"/>
          <w:sz w:val="24"/>
        </w:rPr>
        <w:t>(pdf)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counterparts),</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 to be an original,</w:t>
      </w:r>
      <w:r>
        <w:rPr>
          <w:color w:val="000000"/>
        </w:rPr>
        <w:t xml:space="preserve"> </w:t>
      </w:r>
      <w:r>
        <w:rPr>
          <w:rFonts w:ascii="Times New Roman;serif" w:hAnsi="Times New Roman;serif"/>
          <w:b w:val="false"/>
          <w:color w:val="000000"/>
          <w:sz w:val="24"/>
        </w:rPr>
        <w:t>but all of which together shall constitute one and the same agreement.</w:t>
      </w:r>
    </w:p>
    <w:p>
      <w:pPr>
        <w:pStyle w:val="TextBody"/>
        <w:bidi w:val="0"/>
        <w:spacing w:before="10" w:after="283"/>
        <w:jc w:val="left"/>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caused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thereunto</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for all purposes as provided above.</w:t>
      </w:r>
    </w:p>
    <w:p>
      <w:pPr>
        <w:pStyle w:val="TextBody"/>
        <w:bidi w:val="0"/>
        <w:spacing w:before="0" w:after="0"/>
        <w:jc w:val="left"/>
        <w:rPr/>
      </w:pPr>
      <w:r>
        <w:rPr/>
      </w:r>
    </w:p>
    <w:p>
      <w:pPr>
        <w:pStyle w:val="TextBody"/>
        <w:bidi w:val="0"/>
        <w:spacing w:lineRule="auto" w:line="288" w:before="204" w:after="283"/>
        <w:ind w:left="0" w:right="0" w:hanging="360"/>
        <w:jc w:val="left"/>
        <w:rPr>
          <w:rFonts w:ascii="Times New Roman;serif" w:hAnsi="Times New Roman;serif"/>
          <w:b/>
          <w:color w:val="000000"/>
          <w:sz w:val="24"/>
        </w:rPr>
      </w:pPr>
      <w:r>
        <w:rPr>
          <w:rFonts w:ascii="Times New Roman;serif" w:hAnsi="Times New Roman;serif"/>
          <w:b/>
          <w:color w:val="000000"/>
          <w:sz w:val="24"/>
        </w:rPr>
        <w:t>DAKTRONICS,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69" w:after="283"/>
        <w:jc w:val="left"/>
        <w:rPr/>
      </w:pPr>
      <w:r>
        <w:rPr/>
      </w:r>
    </w:p>
    <w:p>
      <w:pPr>
        <w:pStyle w:val="TextBody"/>
        <w:bidi w:val="0"/>
        <w:spacing w:lineRule="auto" w:line="240" w:before="69" w:after="283"/>
        <w:ind w:left="0" w:right="0" w:firstLine="630"/>
        <w:jc w:val="left"/>
        <w:rPr>
          <w:rFonts w:ascii="Times New Roman;serif" w:hAnsi="Times New Roman;serif"/>
          <w:b/>
          <w:color w:val="000000"/>
          <w:sz w:val="24"/>
        </w:rPr>
      </w:pPr>
      <w:r>
        <w:rPr>
          <w:rFonts w:ascii="Times New Roman;serif" w:hAnsi="Times New Roman;serif"/>
          <w:b/>
          <w:color w:val="000000"/>
          <w:sz w:val="24"/>
        </w:rPr>
        <w:t>RECIPIENT</w:t>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10" w:after="283"/>
        <w:jc w:val="left"/>
        <w:rPr/>
      </w:pPr>
      <w:r>
        <w:rPr/>
      </w:r>
    </w:p>
    <w:p>
      <w:pPr>
        <w:pStyle w:val="TextBody"/>
        <w:bidi w:val="0"/>
        <w:spacing w:lineRule="auto" w:line="288" w:before="69" w:after="283"/>
        <w:jc w:val="center"/>
        <w:rPr/>
      </w:pPr>
      <w:r>
        <w:rPr>
          <w:rFonts w:ascii="Times New Roman;serif" w:hAnsi="Times New Roman;serif"/>
          <w:b/>
          <w:color w:val="000000"/>
          <w:sz w:val="24"/>
        </w:rPr>
        <w:t>PERFORMANCE STOCK</w:t>
      </w:r>
      <w:r>
        <w:rPr>
          <w:color w:val="0000FF"/>
        </w:rPr>
        <w:t xml:space="preserve"> </w:t>
      </w:r>
      <w:r>
        <w:rPr>
          <w:rFonts w:ascii="Times New Roman;serif" w:hAnsi="Times New Roman;serif"/>
          <w:b/>
          <w:color w:val="000000"/>
          <w:sz w:val="24"/>
        </w:rPr>
        <w:t>UNIT AGREEMENT</w:t>
      </w:r>
    </w:p>
    <w:p>
      <w:pPr>
        <w:pStyle w:val="TextBody"/>
        <w:bidi w:val="0"/>
        <w:spacing w:before="10" w:after="283"/>
        <w:jc w:val="left"/>
        <w:rPr/>
      </w:pPr>
      <w:r>
        <w:rPr/>
      </w:r>
    </w:p>
    <w:p>
      <w:pPr>
        <w:pStyle w:val="TextBody"/>
        <w:bidi w:val="0"/>
        <w:spacing w:lineRule="auto" w:line="288" w:before="69" w:after="283"/>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Unit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 xml:space="preserve">(this </w:t>
      </w:r>
      <w:r>
        <w:rPr>
          <w:color w:val="000000"/>
        </w:rPr>
        <w:t>“</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Daktronics,</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_____________</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Recipient</w:t>
      </w:r>
      <w:r>
        <w:rPr>
          <w:color w:val="000000"/>
        </w:rPr>
        <w:t>”</w:t>
      </w:r>
      <w:r>
        <w:rPr>
          <w:rFonts w:ascii="Times New Roman;serif" w:hAnsi="Times New Roman;serif"/>
          <w:b w:val="false"/>
          <w:color w:val="000000"/>
          <w:sz w:val="24"/>
        </w:rPr>
        <w:t>). Capitalized terms used but not specifically defined herein shall have the meanings specified in the Plan</w:t>
      </w:r>
      <w:r>
        <w:rPr>
          <w:color w:val="000000"/>
        </w:rPr>
        <w:t xml:space="preserve"> </w:t>
      </w:r>
      <w:r>
        <w:rPr>
          <w:rFonts w:ascii="Times New Roman;serif" w:hAnsi="Times New Roman;serif"/>
          <w:b w:val="false"/>
          <w:color w:val="000000"/>
          <w:sz w:val="24"/>
        </w:rPr>
        <w:t>or the 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as applicable.</w:t>
      </w:r>
    </w:p>
    <w:p>
      <w:pPr>
        <w:pStyle w:val="TextBody"/>
        <w:bidi w:val="0"/>
        <w:spacing w:before="10" w:after="283"/>
        <w:jc w:val="left"/>
        <w:rPr/>
      </w:pPr>
      <w:r>
        <w:rPr/>
      </w:r>
    </w:p>
    <w:p>
      <w:pPr>
        <w:pStyle w:val="TextBody"/>
        <w:bidi w:val="0"/>
        <w:spacing w:lineRule="auto" w:line="288" w:before="69" w:after="283"/>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Award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continued</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valuable</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and sufficiency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acknowledged,</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grants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the Award</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incorporated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reference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inconsistency</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 and this Agreement, the terms of the Plan shall control.</w:t>
      </w:r>
      <w:r>
        <w:rPr>
          <w:color w:val="000000"/>
        </w:rPr>
        <w:t xml:space="preserve"> </w:t>
      </w:r>
      <w:r>
        <w:rPr>
          <w:rFonts w:ascii="Times New Roman;serif" w:hAnsi="Times New Roman;serif"/>
          <w:b w:val="false"/>
          <w:color w:val="000000"/>
          <w:sz w:val="24"/>
        </w:rPr>
        <w:t>To the extent vested, each</w:t>
      </w:r>
      <w:r>
        <w:rPr>
          <w:color w:val="000000"/>
        </w:rPr>
        <w:t xml:space="preserve"> </w:t>
      </w:r>
      <w:r>
        <w:rPr>
          <w:rFonts w:ascii="Times New Roman;serif" w:hAnsi="Times New Roman;serif"/>
          <w:b w:val="false"/>
          <w:color w:val="000000"/>
          <w:sz w:val="24"/>
        </w:rPr>
        <w:t>PSU</w:t>
      </w:r>
      <w:r>
        <w:rPr>
          <w:color w:val="000000"/>
        </w:rPr>
        <w:t xml:space="preserve"> </w:t>
      </w:r>
      <w:r>
        <w:rPr>
          <w:rFonts w:ascii="Times New Roman;serif" w:hAnsi="Times New Roman;serif"/>
          <w:b w:val="false"/>
          <w:color w:val="000000"/>
          <w:sz w:val="24"/>
        </w:rPr>
        <w:t>represents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depending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level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determined by the Committee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attained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Goals,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amount ranging from 0% to 150% of the Target PSUs may be earned hereunder in respect of this Award.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occur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vested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PSUs.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settlement of this Award, the</w:t>
      </w:r>
      <w:r>
        <w:rPr>
          <w:color w:val="000000"/>
        </w:rPr>
        <w:t xml:space="preserve"> </w:t>
      </w:r>
      <w:r>
        <w:rPr>
          <w:rFonts w:ascii="Times New Roman;serif" w:hAnsi="Times New Roman;serif"/>
          <w:b w:val="false"/>
          <w:color w:val="000000"/>
          <w:sz w:val="24"/>
        </w:rPr>
        <w:t>PSUs and this Award represent an unsecured obligation of the</w:t>
      </w:r>
      <w:r>
        <w:rPr>
          <w:color w:val="000000"/>
        </w:rPr>
        <w:t xml:space="preserve"> </w:t>
      </w:r>
      <w:r>
        <w:rPr>
          <w:rFonts w:ascii="Times New Roman;serif" w:hAnsi="Times New Roman;serif"/>
          <w:b w:val="false"/>
          <w:color w:val="000000"/>
          <w:sz w:val="24"/>
        </w:rPr>
        <w:t>Company, payable only from the general assets of the Company.</w:t>
      </w:r>
    </w:p>
    <w:p>
      <w:pPr>
        <w:pStyle w:val="TextBody"/>
        <w:bidi w:val="0"/>
        <w:spacing w:before="10" w:after="283"/>
        <w:jc w:val="left"/>
        <w:rPr/>
      </w:pPr>
      <w:r>
        <w:rPr/>
      </w:r>
    </w:p>
    <w:p>
      <w:pPr>
        <w:pStyle w:val="TextBody"/>
        <w:bidi w:val="0"/>
        <w:spacing w:lineRule="auto" w:line="288" w:before="10" w:after="283"/>
        <w:ind w:left="0" w:right="0" w:hanging="720"/>
        <w:jc w:val="left"/>
        <w:rPr/>
      </w:pPr>
      <w:r>
        <w:rPr>
          <w:rFonts w:ascii="Times New Roman;serif" w:hAnsi="Times New Roman;serif"/>
          <w:b/>
          <w:color w:val="000000"/>
          <w:sz w:val="24"/>
        </w:rPr>
        <w:t>2.</w:t>
      </w:r>
      <w:r>
        <w:rPr>
          <w:rFonts w:ascii="Times New Roman;serif" w:hAnsi="Times New Roman;serif"/>
          <w:b/>
          <w:color w:val="000000"/>
          <w:sz w:val="24"/>
          <w:u w:val="single"/>
        </w:rPr>
        <w:t>Vesting</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Forfeiture</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PSUs</w:t>
      </w:r>
      <w:r>
        <w:rPr>
          <w:rFonts w:ascii="Times New Roman;serif" w:hAnsi="Times New Roman;serif"/>
          <w:b w:val="false"/>
          <w:color w:val="000000"/>
          <w:sz w:val="24"/>
          <w:u w:val="single"/>
        </w:rPr>
        <w:t>.</w:t>
      </w:r>
    </w:p>
    <w:p>
      <w:pPr>
        <w:pStyle w:val="TextBody"/>
        <w:bidi w:val="0"/>
        <w:spacing w:before="10" w:after="283"/>
        <w:jc w:val="left"/>
        <w:rPr/>
      </w:pPr>
      <w:r>
        <w:rPr/>
      </w:r>
    </w:p>
    <w:p>
      <w:pPr>
        <w:pStyle w:val="TextBody"/>
        <w:bidi w:val="0"/>
        <w:spacing w:lineRule="auto" w:line="288" w:before="69" w:after="283"/>
        <w:ind w:left="0" w:right="0" w:firstLine="1440"/>
        <w:jc w:val="both"/>
        <w:rPr/>
      </w:pPr>
      <w:r>
        <w:rPr>
          <w:rFonts w:ascii="Times New Roman;serif" w:hAnsi="Times New Roman;serif"/>
          <w:b w:val="false"/>
          <w:color w:val="000000"/>
          <w:sz w:val="24"/>
        </w:rPr>
        <w:t>(a)Except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vest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satisfaction</w:t>
      </w:r>
      <w:r>
        <w:rPr>
          <w:color w:val="000000"/>
        </w:rPr>
        <w:t xml:space="preserve"> </w:t>
      </w:r>
      <w:r>
        <w:rPr>
          <w:rFonts w:ascii="Times New Roman;serif" w:hAnsi="Times New Roman;serif"/>
          <w:b w:val="false"/>
          <w:color w:val="000000"/>
          <w:sz w:val="24"/>
        </w:rPr>
        <w:t>of (i) the</w:t>
      </w:r>
      <w:r>
        <w:rPr>
          <w:color w:val="000000"/>
        </w:rPr>
        <w:t xml:space="preserve"> </w:t>
      </w:r>
      <w:r>
        <w:rPr>
          <w:rFonts w:ascii="Times New Roman;serif" w:hAnsi="Times New Roman;serif"/>
          <w:b w:val="false"/>
          <w:color w:val="000000"/>
          <w:sz w:val="24"/>
        </w:rPr>
        <w:t>continued employment</w:t>
      </w:r>
      <w:r>
        <w:rPr>
          <w:color w:val="000000"/>
        </w:rPr>
        <w:t xml:space="preserve"> </w:t>
      </w:r>
      <w:r>
        <w:rPr>
          <w:rFonts w:ascii="Times New Roman;serif" w:hAnsi="Times New Roman;serif"/>
          <w:b w:val="false"/>
          <w:color w:val="000000"/>
          <w:sz w:val="24"/>
        </w:rPr>
        <w:t>conditions 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Service</w:t>
      </w:r>
      <w:r>
        <w:rPr>
          <w:color w:val="000000"/>
        </w:rPr>
        <w:t xml:space="preserve"> </w:t>
      </w:r>
      <w:r>
        <w:rPr>
          <w:rFonts w:ascii="Times New Roman;serif" w:hAnsi="Times New Roman;serif"/>
          <w:b/>
          <w:i/>
          <w:color w:val="000000"/>
          <w:sz w:val="24"/>
        </w:rPr>
        <w:t>Requirement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(ii) based on 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satisfied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 xml:space="preserve">Goals described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to the Grant Notice,</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discretion</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do</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automatically</w:t>
      </w:r>
      <w:r>
        <w:rPr>
          <w:color w:val="000000"/>
        </w:rPr>
        <w:t xml:space="preserve"> </w:t>
      </w:r>
      <w:r>
        <w:rPr>
          <w:rFonts w:ascii="Times New Roman;serif" w:hAnsi="Times New Roman;serif"/>
          <w:b w:val="false"/>
          <w:color w:val="000000"/>
          <w:sz w:val="24"/>
        </w:rPr>
        <w:t>forfeited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and at no cost to the Company).</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have vested in accordance 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giving</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 xml:space="preserve">to any accelerated vesting pursuant to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and the Plan), any unvested</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automatically</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forfeited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notice and at no cost to the Company.</w:t>
      </w:r>
    </w:p>
    <w:p>
      <w:pPr>
        <w:pStyle w:val="TextBody"/>
        <w:bidi w:val="0"/>
        <w:spacing w:before="10" w:after="283"/>
        <w:jc w:val="left"/>
        <w:rPr/>
      </w:pPr>
      <w:r>
        <w:rPr/>
      </w:r>
    </w:p>
    <w:p>
      <w:pPr>
        <w:pStyle w:val="TextBody"/>
        <w:bidi w:val="0"/>
        <w:spacing w:lineRule="auto" w:line="288" w:before="39" w:after="283"/>
        <w:ind w:left="0" w:right="0" w:firstLine="1440"/>
        <w:jc w:val="both"/>
        <w:rPr/>
      </w:pPr>
      <w:r>
        <w:rPr>
          <w:rFonts w:ascii="Times New Roman;serif" w:hAnsi="Times New Roman;serif"/>
          <w:b w:val="false"/>
          <w:color w:val="000000"/>
          <w:sz w:val="24"/>
        </w:rPr>
        <w:t>(b)Notwithstanding</w:t>
      </w:r>
      <w:r>
        <w:rPr>
          <w:color w:val="000000"/>
        </w:rPr>
        <w:t xml:space="preserve"> </w:t>
      </w:r>
      <w:r>
        <w:rPr>
          <w:rFonts w:ascii="Times New Roman;serif" w:hAnsi="Times New Roman;serif"/>
          <w:b w:val="false"/>
          <w:color w:val="000000"/>
          <w:sz w:val="24"/>
        </w:rPr>
        <w:t>anything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of this Agreement, the PSUs shall immediately become fully vested upon a Change in Control Termination at the target level of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9" w:after="283"/>
        <w:jc w:val="left"/>
        <w:rPr/>
      </w:pPr>
      <w:r>
        <w:rPr/>
      </w:r>
    </w:p>
    <w:p>
      <w:pPr>
        <w:pStyle w:val="TextBody"/>
        <w:bidi w:val="0"/>
        <w:spacing w:lineRule="auto" w:line="288" w:before="69" w:after="283"/>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Settlement</w:t>
      </w:r>
      <w:r>
        <w:rPr>
          <w:color w:val="000000"/>
          <w:u w:val="single"/>
        </w:rPr>
        <w:t xml:space="preserve"> </w:t>
      </w:r>
      <w:r>
        <w:rPr>
          <w:rFonts w:ascii="Times New Roman;serif" w:hAnsi="Times New Roman;serif"/>
          <w:b/>
          <w:color w:val="000000"/>
          <w:sz w:val="24"/>
          <w:u w:val="single"/>
        </w:rPr>
        <w:t>of PSUs.</w:t>
      </w:r>
      <w:r>
        <w:rPr>
          <w:color w:val="000000"/>
        </w:rPr>
        <w:t xml:space="preserve"> </w:t>
      </w:r>
      <w:r>
        <w:rPr>
          <w:rFonts w:ascii="Times New Roman;serif" w:hAnsi="Times New Roman;serif"/>
          <w:b w:val="false"/>
          <w:color w:val="000000"/>
          <w:sz w:val="24"/>
        </w:rPr>
        <w:t>As</w:t>
      </w:r>
      <w:r>
        <w:rPr>
          <w:color w:val="0000FF"/>
        </w:rPr>
        <w:t xml:space="preserve"> </w:t>
      </w:r>
      <w:r>
        <w:rPr>
          <w:rFonts w:ascii="Times New Roman;serif" w:hAnsi="Times New Roman;serif"/>
          <w:b w:val="false"/>
          <w:color w:val="000000"/>
          <w:sz w:val="24"/>
        </w:rPr>
        <w:t>soon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administratively</w:t>
      </w:r>
      <w:r>
        <w:rPr>
          <w:color w:val="000000"/>
        </w:rPr>
        <w:t xml:space="preserve"> </w:t>
      </w:r>
      <w:r>
        <w:rPr>
          <w:rFonts w:ascii="Times New Roman;serif" w:hAnsi="Times New Roman;serif"/>
          <w:b w:val="false"/>
          <w:color w:val="000000"/>
          <w:sz w:val="24"/>
        </w:rPr>
        <w:t>practicable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Committee’s</w:t>
      </w:r>
      <w:r>
        <w:rPr>
          <w:color w:val="000000"/>
        </w:rPr>
        <w:t xml:space="preserve"> </w:t>
      </w:r>
      <w:r>
        <w:rPr>
          <w:rFonts w:ascii="Times New Roman;serif" w:hAnsi="Times New Roman;serif"/>
          <w:b w:val="false"/>
          <w:color w:val="000000"/>
          <w:sz w:val="24"/>
        </w:rPr>
        <w:t>certification</w:t>
      </w:r>
      <w:r>
        <w:rPr>
          <w:color w:val="000000"/>
        </w:rPr>
        <w:t xml:space="preserve"> </w:t>
      </w:r>
      <w:r>
        <w:rPr>
          <w:rFonts w:ascii="Times New Roman;serif" w:hAnsi="Times New Roman;serif"/>
          <w:b w:val="false"/>
          <w:color w:val="000000"/>
          <w:sz w:val="24"/>
        </w:rPr>
        <w:t>of the level of attainment of the Performance Goals with respect to the Performance Period or the date of the accelerated vesting of any portion of this Award</w:t>
      </w:r>
      <w:r>
        <w:rPr>
          <w:color w:val="000000"/>
        </w:rPr>
        <w:t xml:space="preserve">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of this Agreement, but not later than 60 days after the applicable vesting date, the Company shall deliver to the Recipient (or the Recipient’s</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transferee,</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vested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settled.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fractional</w:t>
      </w:r>
      <w:r>
        <w:rPr>
          <w:color w:val="000000"/>
        </w:rPr>
        <w:t xml:space="preserve"> </w:t>
      </w:r>
      <w:r>
        <w:rPr>
          <w:rFonts w:ascii="Times New Roman;serif" w:hAnsi="Times New Roman;serif"/>
          <w:b w:val="false"/>
          <w:color w:val="000000"/>
          <w:sz w:val="24"/>
        </w:rPr>
        <w:t>PSU</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becomes</w:t>
      </w:r>
      <w:r>
        <w:rPr>
          <w:color w:val="000000"/>
        </w:rPr>
        <w:t xml:space="preserve"> </w:t>
      </w:r>
      <w:r>
        <w:rPr>
          <w:rFonts w:ascii="Times New Roman;serif" w:hAnsi="Times New Roman;serif"/>
          <w:b w:val="false"/>
          <w:color w:val="000000"/>
          <w:sz w:val="24"/>
        </w:rPr>
        <w:t>vested</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rounded</w:t>
      </w:r>
      <w:r>
        <w:rPr>
          <w:color w:val="000000"/>
        </w:rPr>
        <w:t xml:space="preserve"> </w:t>
      </w:r>
      <w:r>
        <w:rPr>
          <w:rFonts w:ascii="Times New Roman;serif" w:hAnsi="Times New Roman;serif"/>
          <w:b w:val="false"/>
          <w:color w:val="000000"/>
          <w:sz w:val="24"/>
        </w:rPr>
        <w:t>down</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PSU.</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fractional</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fractional</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issuable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delivering</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entering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book-entry</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discretion.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bear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owing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passage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3</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create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funded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secured</w:t>
      </w:r>
      <w:r>
        <w:rPr>
          <w:color w:val="000000"/>
        </w:rPr>
        <w:t xml:space="preserve"> </w:t>
      </w:r>
      <w:r>
        <w:rPr>
          <w:rFonts w:ascii="Times New Roman;serif" w:hAnsi="Times New Roman;serif"/>
          <w:b w:val="false"/>
          <w:color w:val="000000"/>
          <w:sz w:val="24"/>
        </w:rPr>
        <w:t>obligation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kind.</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Tax</w:t>
      </w:r>
      <w:r>
        <w:rPr>
          <w:color w:val="000000"/>
          <w:u w:val="single"/>
        </w:rPr>
        <w:t xml:space="preserve"> </w:t>
      </w:r>
      <w:r>
        <w:rPr>
          <w:rFonts w:ascii="Times New Roman;serif" w:hAnsi="Times New Roman;serif"/>
          <w:b/>
          <w:color w:val="000000"/>
          <w:sz w:val="24"/>
          <w:u w:val="single"/>
        </w:rPr>
        <w:t>Withholding</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results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income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wages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local,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foreign</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arrangements</w:t>
      </w:r>
      <w:r>
        <w:rPr>
          <w:color w:val="000000"/>
        </w:rPr>
        <w:t xml:space="preserve"> </w:t>
      </w:r>
      <w:r>
        <w:rPr>
          <w:rFonts w:ascii="Times New Roman;serif" w:hAnsi="Times New Roman;serif"/>
          <w:b w:val="false"/>
          <w:color w:val="000000"/>
          <w:sz w:val="24"/>
        </w:rPr>
        <w:t>satisfactory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satisfaction</w:t>
      </w:r>
      <w:r>
        <w:rPr>
          <w:color w:val="000000"/>
        </w:rPr>
        <w:t xml:space="preserve"> </w:t>
      </w:r>
      <w:r>
        <w:rPr>
          <w:rFonts w:ascii="Times New Roman;serif" w:hAnsi="Times New Roman;serif"/>
          <w:b w:val="false"/>
          <w:color w:val="000000"/>
          <w:sz w:val="24"/>
        </w:rPr>
        <w:t>of obligations for the payment of withholding taxes and other tax obligations 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arrangements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equivalents,</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previously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net</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broker-assisted</w:t>
      </w:r>
      <w:r>
        <w:rPr>
          <w:color w:val="000000"/>
        </w:rPr>
        <w:t xml:space="preserve"> </w:t>
      </w:r>
      <w:r>
        <w:rPr>
          <w:rFonts w:ascii="Times New Roman;serif" w:hAnsi="Times New Roman;serif"/>
          <w:b w:val="false"/>
          <w:color w:val="000000"/>
          <w:sz w:val="24"/>
        </w:rPr>
        <w:t>sale,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cashless</w:t>
      </w:r>
      <w:r>
        <w:rPr>
          <w:color w:val="000000"/>
        </w:rPr>
        <w:t xml:space="preserve"> </w:t>
      </w:r>
      <w:r>
        <w:rPr>
          <w:rFonts w:ascii="Times New Roman;serif" w:hAnsi="Times New Roman;serif"/>
          <w:b w:val="false"/>
          <w:color w:val="000000"/>
          <w:sz w:val="24"/>
        </w:rPr>
        <w:t>withholding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reduction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issuable or delivered pursuant to this Award), other property, or any other legal consideration the Committee</w:t>
      </w:r>
      <w:r>
        <w:rPr>
          <w:color w:val="000000"/>
        </w:rPr>
        <w:t xml:space="preserve"> </w:t>
      </w:r>
      <w:r>
        <w:rPr>
          <w:rFonts w:ascii="Times New Roman;serif" w:hAnsi="Times New Roman;serif"/>
          <w:b w:val="false"/>
          <w:color w:val="000000"/>
          <w:sz w:val="24"/>
        </w:rPr>
        <w:t>deems</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satisfied</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withholding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 of Stock that are otherwise issuable to the Recipient pursuant to this Award (or through the</w:t>
      </w:r>
      <w:r>
        <w:rPr>
          <w:color w:val="000000"/>
        </w:rPr>
        <w:t xml:space="preserve"> </w:t>
      </w:r>
      <w:r>
        <w:rPr>
          <w:rFonts w:ascii="Times New Roman;serif" w:hAnsi="Times New Roman;serif"/>
          <w:b w:val="false"/>
          <w:color w:val="000000"/>
          <w:sz w:val="24"/>
        </w:rPr>
        <w:t>surrender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previously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maximum</w:t>
      </w:r>
      <w:r>
        <w:rPr>
          <w:color w:val="000000"/>
        </w:rPr>
        <w:t xml:space="preserve"> </w:t>
      </w:r>
      <w:r>
        <w:rPr>
          <w:rFonts w:ascii="Times New Roman;serif" w:hAnsi="Times New Roman;serif"/>
          <w:b w:val="false"/>
          <w:color w:val="000000"/>
          <w:sz w:val="24"/>
        </w:rPr>
        <w:t>number of shares of Stock that may be so withheld (or surrendered) shall be the number of shares 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Fair</w:t>
      </w:r>
      <w:r>
        <w:rPr>
          <w:color w:val="000000"/>
        </w:rPr>
        <w:t xml:space="preserve"> </w:t>
      </w:r>
      <w:r>
        <w:rPr>
          <w:rFonts w:ascii="Times New Roman;serif" w:hAnsi="Times New Roman;serif"/>
          <w:b w:val="false"/>
          <w:color w:val="000000"/>
          <w:sz w:val="24"/>
        </w:rPr>
        <w:t>Market</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withholding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surrender</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to the aggregate amount of such tax liabilities, determined based on the greatest withholding rates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local,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foreign</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payroll</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utilized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creating</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accounting</w:t>
      </w:r>
      <w:r>
        <w:rPr>
          <w:color w:val="000000"/>
        </w:rPr>
        <w:t xml:space="preserve"> </w:t>
      </w:r>
      <w:r>
        <w:rPr>
          <w:rFonts w:ascii="Times New Roman;serif" w:hAnsi="Times New Roman;serif"/>
          <w:b w:val="false"/>
          <w:color w:val="000000"/>
          <w:sz w:val="24"/>
        </w:rPr>
        <w:t>treatment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avoidance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doubt,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related</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withheld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consequences</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underlying</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advised,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advised,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consult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advisor.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acknowledges and agrees that none of the Board, the Committee, the Company, or any Subsidiary have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representation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warranty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consequences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forfeiture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PSUs.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represents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relying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managers, directors, officers,</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attorneys,</w:t>
      </w:r>
      <w:r>
        <w:rPr>
          <w:color w:val="000000"/>
        </w:rPr>
        <w:t xml:space="preserve"> </w:t>
      </w:r>
      <w:r>
        <w:rPr>
          <w:rFonts w:ascii="Times New Roman;serif" w:hAnsi="Times New Roman;serif"/>
          <w:b w:val="false"/>
          <w:color w:val="000000"/>
          <w:sz w:val="24"/>
        </w:rPr>
        <w:t>accountants,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jc w:val="left"/>
        <w:rPr/>
      </w:pPr>
      <w:r>
        <w:rPr>
          <w:rFonts w:ascii="Times New Roman;serif" w:hAnsi="Times New Roman;serif"/>
          <w:b w:val="false"/>
          <w:color w:val="000000"/>
          <w:sz w:val="24"/>
        </w:rPr>
        <w:t>consultants,</w:t>
      </w:r>
      <w:r>
        <w:rPr>
          <w:color w:val="000000"/>
        </w:rPr>
        <w:t xml:space="preserve"> </w:t>
      </w:r>
      <w:r>
        <w:rPr>
          <w:rFonts w:ascii="Times New Roman;serif" w:hAnsi="Times New Roman;serif"/>
          <w:b w:val="false"/>
          <w:color w:val="000000"/>
          <w:sz w:val="24"/>
        </w:rPr>
        <w:t>bankers,</w:t>
      </w:r>
      <w:r>
        <w:rPr>
          <w:color w:val="000000"/>
        </w:rPr>
        <w:t xml:space="preserve"> </w:t>
      </w:r>
      <w:r>
        <w:rPr>
          <w:rFonts w:ascii="Times New Roman;serif" w:hAnsi="Times New Roman;serif"/>
          <w:b w:val="false"/>
          <w:color w:val="000000"/>
          <w:sz w:val="24"/>
        </w:rPr>
        <w:t>lenders,</w:t>
      </w:r>
      <w:r>
        <w:rPr>
          <w:color w:val="000000"/>
        </w:rPr>
        <w:t xml:space="preserve"> </w:t>
      </w:r>
      <w:r>
        <w:rPr>
          <w:rFonts w:ascii="Times New Roman;serif" w:hAnsi="Times New Roman;serif"/>
          <w:b w:val="false"/>
          <w:color w:val="000000"/>
          <w:sz w:val="24"/>
        </w:rPr>
        <w:t>prospective</w:t>
      </w:r>
      <w:r>
        <w:rPr>
          <w:color w:val="000000"/>
        </w:rPr>
        <w:t xml:space="preserve"> </w:t>
      </w:r>
      <w:r>
        <w:rPr>
          <w:rFonts w:ascii="Times New Roman;serif" w:hAnsi="Times New Roman;serif"/>
          <w:b w:val="false"/>
          <w:color w:val="000000"/>
          <w:sz w:val="24"/>
        </w:rPr>
        <w:t>lenders,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advice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assessment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consequences.</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Non-Transferability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lifetime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sold,</w:t>
      </w:r>
      <w:r>
        <w:rPr>
          <w:color w:val="000000"/>
        </w:rPr>
        <w:t xml:space="preserve"> </w:t>
      </w:r>
      <w:r>
        <w:rPr>
          <w:rFonts w:ascii="Times New Roman;serif" w:hAnsi="Times New Roman;serif"/>
          <w:b w:val="false"/>
          <w:color w:val="000000"/>
          <w:sz w:val="24"/>
        </w:rPr>
        <w:t>pledged,</w:t>
      </w:r>
      <w:r>
        <w:rPr>
          <w:color w:val="000000"/>
        </w:rPr>
        <w:t xml:space="preserve"> </w:t>
      </w:r>
      <w:r>
        <w:rPr>
          <w:rFonts w:ascii="Times New Roman;serif" w:hAnsi="Times New Roman;serif"/>
          <w:b w:val="false"/>
          <w:color w:val="000000"/>
          <w:sz w:val="24"/>
        </w:rPr>
        <w:t>assigned,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descent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underlying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issued, and all restrictions applicable to such shares have lapsed. Neither the PSUs</w:t>
      </w:r>
      <w:r>
        <w:rPr>
          <w:color w:val="000000"/>
        </w:rPr>
        <w:t xml:space="preserve"> </w:t>
      </w:r>
      <w:r>
        <w:rPr>
          <w:rFonts w:ascii="Times New Roman;serif" w:hAnsi="Times New Roman;serif"/>
          <w:b w:val="false"/>
          <w:color w:val="000000"/>
          <w:sz w:val="24"/>
        </w:rPr>
        <w:t>nor any interest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debts,</w:t>
      </w:r>
      <w:r>
        <w:rPr>
          <w:color w:val="000000"/>
        </w:rPr>
        <w:t xml:space="preserve"> </w:t>
      </w:r>
      <w:r>
        <w:rPr>
          <w:rFonts w:ascii="Times New Roman;serif" w:hAnsi="Times New Roman;serif"/>
          <w:b w:val="false"/>
          <w:color w:val="000000"/>
          <w:sz w:val="24"/>
        </w:rPr>
        <w:t>contracts,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engagements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successors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alienation,</w:t>
      </w:r>
      <w:r>
        <w:rPr>
          <w:color w:val="000000"/>
        </w:rPr>
        <w:t xml:space="preserve"> </w:t>
      </w:r>
      <w:r>
        <w:rPr>
          <w:rFonts w:ascii="Times New Roman;serif" w:hAnsi="Times New Roman;serif"/>
          <w:b w:val="false"/>
          <w:color w:val="000000"/>
          <w:sz w:val="24"/>
        </w:rPr>
        <w:t>anticipation,</w:t>
      </w:r>
      <w:r>
        <w:rPr>
          <w:color w:val="000000"/>
        </w:rPr>
        <w:t xml:space="preserve"> </w:t>
      </w:r>
      <w:r>
        <w:rPr>
          <w:rFonts w:ascii="Times New Roman;serif" w:hAnsi="Times New Roman;serif"/>
          <w:b w:val="false"/>
          <w:color w:val="000000"/>
          <w:sz w:val="24"/>
        </w:rPr>
        <w:t>pledge,</w:t>
      </w:r>
      <w:r>
        <w:rPr>
          <w:color w:val="000000"/>
        </w:rPr>
        <w:t xml:space="preserve"> </w:t>
      </w:r>
      <w:r>
        <w:rPr>
          <w:rFonts w:ascii="Times New Roman;serif" w:hAnsi="Times New Roman;serif"/>
          <w:b w:val="false"/>
          <w:color w:val="000000"/>
          <w:sz w:val="24"/>
        </w:rPr>
        <w:t>encumbrance,</w:t>
      </w:r>
      <w:r>
        <w:rPr>
          <w:color w:val="000000"/>
        </w:rPr>
        <w:t xml:space="preserve"> </w:t>
      </w:r>
      <w:r>
        <w:rPr>
          <w:rFonts w:ascii="Times New Roman;serif" w:hAnsi="Times New Roman;serif"/>
          <w:b w:val="false"/>
          <w:color w:val="000000"/>
          <w:sz w:val="24"/>
        </w:rPr>
        <w:t>assignment,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voluntary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involuntary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operation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judgment,</w:t>
      </w:r>
      <w:r>
        <w:rPr>
          <w:color w:val="000000"/>
        </w:rPr>
        <w:t xml:space="preserve"> </w:t>
      </w:r>
      <w:r>
        <w:rPr>
          <w:rFonts w:ascii="Times New Roman;serif" w:hAnsi="Times New Roman;serif"/>
          <w:b w:val="false"/>
          <w:color w:val="000000"/>
          <w:sz w:val="24"/>
        </w:rPr>
        <w:t>levy,</w:t>
      </w:r>
      <w:r>
        <w:rPr>
          <w:color w:val="000000"/>
        </w:rPr>
        <w:t xml:space="preserve"> </w:t>
      </w:r>
      <w:r>
        <w:rPr>
          <w:rFonts w:ascii="Times New Roman;serif" w:hAnsi="Times New Roman;serif"/>
          <w:b w:val="false"/>
          <w:color w:val="000000"/>
          <w:sz w:val="24"/>
        </w:rPr>
        <w:t>attachment,</w:t>
      </w:r>
      <w:r>
        <w:rPr>
          <w:color w:val="000000"/>
        </w:rPr>
        <w:t xml:space="preserve"> </w:t>
      </w:r>
      <w:r>
        <w:rPr>
          <w:rFonts w:ascii="Times New Roman;serif" w:hAnsi="Times New Roman;serif"/>
          <w:b w:val="false"/>
          <w:color w:val="000000"/>
          <w:sz w:val="24"/>
        </w:rPr>
        <w:t>garnishment,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equitable</w:t>
      </w:r>
      <w:r>
        <w:rPr>
          <w:color w:val="000000"/>
        </w:rPr>
        <w:t xml:space="preserve"> </w:t>
      </w:r>
      <w:r>
        <w:rPr>
          <w:rFonts w:ascii="Times New Roman;serif" w:hAnsi="Times New Roman;serif"/>
          <w:b w:val="false"/>
          <w:color w:val="000000"/>
          <w:sz w:val="24"/>
        </w:rPr>
        <w:t>proceedings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bankruptcy),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attempted</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null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void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preceding sentence.</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Compliance</w:t>
      </w:r>
      <w:r>
        <w:rPr>
          <w:color w:val="000000"/>
          <w:u w:val="single"/>
        </w:rPr>
        <w:t xml:space="preserve"> </w:t>
      </w:r>
      <w:r>
        <w:rPr>
          <w:rFonts w:ascii="Times New Roman;serif" w:hAnsi="Times New Roman;serif"/>
          <w:b/>
          <w:color w:val="000000"/>
          <w:sz w:val="24"/>
          <w:u w:val="single"/>
        </w:rPr>
        <w:t>with</w:t>
      </w:r>
      <w:r>
        <w:rPr>
          <w:color w:val="000000"/>
          <w:u w:val="single"/>
        </w:rPr>
        <w:t xml:space="preserve"> </w:t>
      </w:r>
      <w:r>
        <w:rPr>
          <w:rFonts w:ascii="Times New Roman;serif" w:hAnsi="Times New Roman;serif"/>
          <w:b/>
          <w:color w:val="000000"/>
          <w:sz w:val="24"/>
          <w:u w:val="single"/>
        </w:rPr>
        <w:t>Securities</w:t>
      </w:r>
      <w:r>
        <w:rPr>
          <w:color w:val="000000"/>
          <w:u w:val="single"/>
        </w:rPr>
        <w:t xml:space="preserve"> </w:t>
      </w:r>
      <w:r>
        <w:rPr>
          <w:rFonts w:ascii="Times New Roman;serif" w:hAnsi="Times New Roman;serif"/>
          <w:b/>
          <w:color w:val="000000"/>
          <w:sz w:val="24"/>
          <w:u w:val="single"/>
        </w:rPr>
        <w:t>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Notwithstanding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 the requirements of any stock exchange or market system upon which the Stock may then be</w:t>
      </w:r>
      <w:r>
        <w:rPr>
          <w:color w:val="000000"/>
        </w:rPr>
        <w:t xml:space="preserve"> </w:t>
      </w:r>
      <w:r>
        <w:rPr>
          <w:rFonts w:ascii="Times New Roman;serif" w:hAnsi="Times New Roman;serif"/>
          <w:b w:val="false"/>
          <w:color w:val="000000"/>
          <w:sz w:val="24"/>
        </w:rPr>
        <w:t>listed.</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market</w:t>
      </w:r>
      <w:r>
        <w:rPr>
          <w:color w:val="000000"/>
        </w:rPr>
        <w:t xml:space="preserve"> </w:t>
      </w:r>
      <w:r>
        <w:rPr>
          <w:rFonts w:ascii="Times New Roman;serif" w:hAnsi="Times New Roman;serif"/>
          <w:b w:val="false"/>
          <w:color w:val="000000"/>
          <w:sz w:val="24"/>
        </w:rPr>
        <w:t>system</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listed.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1933,</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Securities</w:t>
      </w:r>
      <w:r>
        <w:rPr>
          <w:color w:val="000000"/>
        </w:rPr>
        <w:t xml:space="preserv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opinion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exemption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inability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to obtain 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 body having</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lawful</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sale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relieve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satisfy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evidence</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representation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warranty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 compliance as may be requested by the Company.</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Legends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bear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legend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legends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deems</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reflect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restrictions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ensure</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rules,</w:t>
      </w:r>
      <w:r>
        <w:rPr>
          <w:color w:val="000000"/>
        </w:rPr>
        <w:t xml:space="preserve"> </w:t>
      </w:r>
      <w:r>
        <w:rPr>
          <w:rFonts w:ascii="Times New Roman;serif" w:hAnsi="Times New Roman;serif"/>
          <w:b w:val="false"/>
          <w:color w:val="000000"/>
          <w:sz w:val="24"/>
        </w:rPr>
        <w:t>regulations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Commission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listed.</w:t>
      </w:r>
      <w:r>
        <w:rPr>
          <w:color w:val="000000"/>
        </w:rPr>
        <w:t xml:space="preserve"> </w:t>
      </w:r>
      <w:r>
        <w:rPr>
          <w:rFonts w:ascii="Times New Roman;serif" w:hAnsi="Times New Roman;serif"/>
          <w:b w:val="false"/>
          <w:color w:val="000000"/>
          <w:sz w:val="24"/>
        </w:rPr>
        <w:t>If the shares of Stock issued hereunder are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book-entry</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entry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reflect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restrictions</w:t>
      </w:r>
      <w:r>
        <w:rPr>
          <w:color w:val="000000"/>
        </w:rPr>
        <w:t xml:space="preserve"> </w:t>
      </w:r>
      <w:r>
        <w:rPr>
          <w:rFonts w:ascii="Times New Roman;serif" w:hAnsi="Times New Roman;serif"/>
          <w:b w:val="false"/>
          <w:color w:val="000000"/>
          <w:sz w:val="24"/>
        </w:rPr>
        <w:t>set forth in this Agreement.</w:t>
      </w:r>
    </w:p>
    <w:p>
      <w:pPr>
        <w:pStyle w:val="TextBody"/>
        <w:bidi w:val="0"/>
        <w:spacing w:before="10" w:after="283"/>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Rights as a Stockholder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Neither the Recipient nor any person claiming under or</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deliverable</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 Stock issuable under the Award has been 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adjustments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distributions,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otherwise specifically provided for in the Plan or this Agreement.</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Execution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Receipts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Releases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heir,</w:t>
      </w:r>
      <w:r>
        <w:rPr>
          <w:color w:val="000000"/>
        </w:rPr>
        <w:t xml:space="preserve"> </w:t>
      </w:r>
      <w:r>
        <w:rPr>
          <w:rFonts w:ascii="Times New Roman;serif" w:hAnsi="Times New Roman;serif"/>
          <w:b w:val="false"/>
          <w:color w:val="000000"/>
          <w:sz w:val="24"/>
        </w:rPr>
        <w:t>legatee,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distributee,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satisfaction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precedent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heir,</w:t>
      </w:r>
      <w:r>
        <w:rPr>
          <w:color w:val="000000"/>
        </w:rPr>
        <w:t xml:space="preserve"> </w:t>
      </w:r>
      <w:r>
        <w:rPr>
          <w:rFonts w:ascii="Times New Roman;serif" w:hAnsi="Times New Roman;serif"/>
          <w:b w:val="false"/>
          <w:color w:val="000000"/>
          <w:sz w:val="24"/>
        </w:rPr>
        <w:t>legatee,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distributee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execute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revoke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do</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release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therefor in such form as it shall determine appropriate; provided, however, that any review period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release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PSUs.</w:t>
      </w:r>
    </w:p>
    <w:p>
      <w:pPr>
        <w:pStyle w:val="TextBody"/>
        <w:bidi w:val="0"/>
        <w:spacing w:before="10" w:after="283"/>
        <w:jc w:val="left"/>
        <w:rPr/>
      </w:pPr>
      <w:r>
        <w:rPr/>
      </w:r>
    </w:p>
    <w:p>
      <w:pPr>
        <w:pStyle w:val="TextBody"/>
        <w:bidi w:val="0"/>
        <w:spacing w:lineRule="auto" w:line="288" w:before="69" w:after="283"/>
        <w:ind w:left="0" w:right="0" w:hanging="720"/>
        <w:jc w:val="left"/>
        <w:rPr/>
      </w:pPr>
      <w:r>
        <w:rPr>
          <w:rFonts w:ascii="Times New Roman;serif" w:hAnsi="Times New Roman;serif"/>
          <w:b w:val="false"/>
          <w:color w:val="000000"/>
          <w:sz w:val="24"/>
        </w:rPr>
        <w:t>10.</w:t>
      </w:r>
      <w:r>
        <w:rPr>
          <w:rFonts w:ascii="Times New Roman;serif" w:hAnsi="Times New Roman;serif"/>
          <w:b/>
          <w:color w:val="000000"/>
          <w:sz w:val="24"/>
          <w:u w:val="single"/>
        </w:rPr>
        <w:t>No Right to Continued Employment or Awards</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69" w:after="283"/>
        <w:ind w:left="0" w:right="0" w:firstLine="1440"/>
        <w:jc w:val="both"/>
        <w:rPr/>
      </w:pPr>
      <w:r>
        <w:rPr>
          <w:rFonts w:ascii="Times New Roman;serif" w:hAnsi="Times New Roman;serif"/>
          <w:b w:val="false"/>
          <w:color w:val="000000"/>
          <w:sz w:val="24"/>
        </w:rPr>
        <w:t>(a)For</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considered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employed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long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remains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corporation or other entity) assuming or substituting a new award for this Award.</w:t>
      </w:r>
      <w:r>
        <w:rPr>
          <w:color w:val="000000"/>
        </w:rPr>
        <w:t xml:space="preserve"> </w:t>
      </w:r>
      <w:r>
        <w:rPr>
          <w:rFonts w:ascii="Times New Roman;serif" w:hAnsi="Times New Roman;serif"/>
          <w:b w:val="false"/>
          <w:color w:val="000000"/>
          <w:sz w:val="24"/>
        </w:rPr>
        <w:t>Nothing in the adoption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confer</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continued</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 any Subsidiary, or any other entity, or affect in any way the right of the Company or 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at-will</w:t>
      </w:r>
      <w:r>
        <w:rPr>
          <w:color w:val="000000"/>
        </w:rPr>
        <w:t xml:space="preserve"> </w:t>
      </w:r>
      <w:r>
        <w:rPr>
          <w:rFonts w:ascii="Times New Roman;serif" w:hAnsi="Times New Roman;serif"/>
          <w:b w:val="false"/>
          <w:color w:val="000000"/>
          <w:sz w:val="24"/>
        </w:rPr>
        <w:t>basis,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relationship</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terminated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reason</w:t>
      </w:r>
      <w:r>
        <w:rPr>
          <w:color w:val="000000"/>
        </w:rPr>
        <w:t xml:space="preserve"> </w:t>
      </w:r>
      <w:r>
        <w:rPr>
          <w:rFonts w:ascii="Times New Roman;serif" w:hAnsi="Times New Roman;serif"/>
          <w:b w:val="false"/>
          <w:color w:val="000000"/>
          <w:sz w:val="24"/>
        </w:rPr>
        <w:t>whatsoever,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question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 employment, and the cause of such termination, shall be determined by the Committee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delegate, and such determination shall be final, conclusive, and binding for all purposes.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(b)This Award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one-time benefit and does not create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contractual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lieu</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future. Any future Awards will be granted at the sole discretion of the Company.</w:t>
      </w:r>
    </w:p>
    <w:p>
      <w:pPr>
        <w:pStyle w:val="TextBody"/>
        <w:bidi w:val="0"/>
        <w:spacing w:before="10" w:after="283"/>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u w:val="single"/>
        </w:rPr>
        <w:t>Legal</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Equitable</w:t>
      </w:r>
      <w:r>
        <w:rPr>
          <w:color w:val="000000"/>
          <w:u w:val="single"/>
        </w:rPr>
        <w:t xml:space="preserve"> </w:t>
      </w:r>
      <w:r>
        <w:rPr>
          <w:rFonts w:ascii="Times New Roman;serif" w:hAnsi="Times New Roman;serif"/>
          <w:b/>
          <w:color w:val="000000"/>
          <w:sz w:val="24"/>
          <w:u w:val="single"/>
        </w:rPr>
        <w:t>Remedies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attempted</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such damage as will be irreparable, the exact amount of which would be difficult to ascertain and 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adequate</w:t>
      </w:r>
      <w:r>
        <w:rPr>
          <w:color w:val="000000"/>
        </w:rPr>
        <w:t xml:space="preserve"> </w:t>
      </w:r>
      <w:r>
        <w:rPr>
          <w:rFonts w:ascii="Times New Roman;serif" w:hAnsi="Times New Roman;serif"/>
          <w:b w:val="false"/>
          <w:color w:val="000000"/>
          <w:sz w:val="24"/>
        </w:rPr>
        <w:t>remedy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accordingly,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matter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injunction</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competent</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restraining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partners,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attempted</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well 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recover</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costs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sustained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obtaining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injunction,</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attorneys’</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injunction. Any</w:t>
      </w:r>
      <w:r>
        <w:rPr>
          <w:color w:val="000000"/>
        </w:rPr>
        <w:t xml:space="preserve"> </w:t>
      </w:r>
      <w:r>
        <w:rPr>
          <w:rFonts w:ascii="Times New Roman;serif" w:hAnsi="Times New Roman;serif"/>
          <w:b w:val="false"/>
          <w:color w:val="000000"/>
          <w:sz w:val="24"/>
        </w:rPr>
        <w:t>exercise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this </w:t>
      </w:r>
    </w:p>
    <w:p>
      <w:pPr>
        <w:pStyle w:val="TextBody"/>
        <w:bidi w:val="0"/>
        <w:spacing w:lineRule="auto" w:line="288" w:before="39" w:after="283"/>
        <w:jc w:val="left"/>
        <w:rPr/>
      </w:pP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11</w:t>
      </w:r>
      <w:r>
        <w:rPr>
          <w:color w:val="000000"/>
          <w:u w:val="single"/>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cumulative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remedies to which such party may be entitled.</w: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12. </w:t>
      </w:r>
      <w:r>
        <w:rPr>
          <w:color w:val="000000"/>
        </w:rPr>
        <w:t>    </w:t>
      </w:r>
      <w:r>
        <w:rPr>
          <w:rFonts w:ascii="Times New Roman;serif" w:hAnsi="Times New Roman;serif"/>
          <w:b/>
          <w:color w:val="000000"/>
          <w:sz w:val="24"/>
          <w:u w:val="single"/>
        </w:rPr>
        <w:t>Notices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communications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addresses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address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 as shall be specified by like notice):</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 the Recipient (or other holder):</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Daktronics, Inc.</w:t>
      </w:r>
    </w:p>
    <w:p>
      <w:pPr>
        <w:pStyle w:val="TextBody"/>
        <w:bidi w:val="0"/>
        <w:spacing w:lineRule="auto" w:line="288" w:before="0" w:after="0"/>
        <w:jc w:val="left"/>
        <w:rPr/>
      </w:pPr>
      <w:r>
        <w:rPr>
          <w:rFonts w:ascii="Times New Roman;serif" w:hAnsi="Times New Roman;serif"/>
          <w:b w:val="false"/>
          <w:color w:val="000000"/>
          <w:sz w:val="24"/>
        </w:rPr>
        <w:t>Attn: Vice President, Human Resources</w:t>
      </w:r>
      <w:r>
        <w:rPr>
          <w:color w:val="000000"/>
        </w:rPr>
        <w:t xml:space="preserve"> </w:t>
      </w:r>
      <w:r>
        <w:rPr>
          <w:rFonts w:ascii="Times New Roman;serif" w:hAnsi="Times New Roman;serif"/>
          <w:b w:val="false"/>
          <w:color w:val="000000"/>
          <w:sz w:val="24"/>
        </w:rPr>
        <w:t>201 Daktronics Drive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Brookings, SD 57006</w:t>
      </w:r>
    </w:p>
    <w:p>
      <w:pPr>
        <w:pStyle w:val="TextBody"/>
        <w:bidi w:val="0"/>
        <w:spacing w:before="11" w:after="283"/>
        <w:jc w:val="left"/>
        <w:rPr/>
      </w:pPr>
      <w:r>
        <w:rPr/>
      </w:r>
    </w:p>
    <w:p>
      <w:pPr>
        <w:pStyle w:val="TextBody"/>
        <w:bidi w:val="0"/>
        <w:spacing w:before="0" w:after="0"/>
        <w:ind w:left="0" w:right="0" w:hanging="1070"/>
        <w:jc w:val="left"/>
        <w:rPr/>
      </w:pPr>
      <w:r>
        <w:rPr/>
      </w:r>
    </w:p>
    <w:p>
      <w:pPr>
        <w:pStyle w:val="TextBody"/>
        <w:bidi w:val="0"/>
        <w:spacing w:lineRule="auto" w:line="288" w:before="69" w:after="283"/>
        <w:jc w:val="left"/>
        <w:rPr/>
      </w:pPr>
      <w:r>
        <w:rPr>
          <w:rFonts w:ascii="Times New Roman;serif" w:hAnsi="Times New Roman;serif"/>
          <w:b w:val="false"/>
          <w:color w:val="000000"/>
          <w:sz w:val="24"/>
        </w:rPr>
        <w:t>If to the Recipient, 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last</w:t>
      </w:r>
      <w:r>
        <w:rPr>
          <w:color w:val="000000"/>
        </w:rPr>
        <w:t xml:space="preserve"> </w:t>
      </w:r>
      <w:r>
        <w:rPr>
          <w:rFonts w:ascii="Times New Roman;serif" w:hAnsi="Times New Roman;serif"/>
          <w:b w:val="false"/>
          <w:color w:val="000000"/>
          <w:sz w:val="24"/>
        </w:rPr>
        <w:t>known</w:t>
      </w:r>
      <w:r>
        <w:rPr>
          <w:color w:val="000000"/>
        </w:rPr>
        <w:t xml:space="preserve"> </w:t>
      </w:r>
      <w:r>
        <w:rPr>
          <w:rFonts w:ascii="Times New Roman;serif" w:hAnsi="Times New Roman;serif"/>
          <w:b w:val="false"/>
          <w:color w:val="000000"/>
          <w:sz w:val="24"/>
        </w:rPr>
        <w:t>address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 Company.</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69" w:after="283"/>
        <w:jc w:val="both"/>
        <w:rPr/>
      </w:pP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personally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overnight</w:t>
      </w:r>
      <w:r>
        <w:rPr>
          <w:color w:val="000000"/>
        </w:rPr>
        <w:t xml:space="preserve"> </w:t>
      </w:r>
      <w:r>
        <w:rPr>
          <w:rFonts w:ascii="Times New Roman;serif" w:hAnsi="Times New Roman;serif"/>
          <w:b w:val="false"/>
          <w:color w:val="000000"/>
          <w:sz w:val="24"/>
        </w:rPr>
        <w:t>courier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telecopier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mailed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 if such notice is not mailed to the Recipient, upon receipt</w:t>
      </w:r>
      <w:r>
        <w:rPr>
          <w:color w:val="000000"/>
        </w:rPr>
        <w:t xml:space="preserve"> </w:t>
      </w:r>
      <w:r>
        <w:rPr>
          <w:rFonts w:ascii="Times New Roman;serif" w:hAnsi="Times New Roman;serif"/>
          <w:b w:val="false"/>
          <w:color w:val="000000"/>
          <w:sz w:val="24"/>
        </w:rPr>
        <w:t>by the Recipient.</w:t>
      </w:r>
      <w:r>
        <w:rPr>
          <w:color w:val="000000"/>
        </w:rPr>
        <w:t xml:space="preserve"> </w:t>
      </w:r>
      <w:r>
        <w:rPr>
          <w:rFonts w:ascii="Times New Roman;serif" w:hAnsi="Times New Roman;serif"/>
          <w:b w:val="false"/>
          <w:color w:val="000000"/>
          <w:sz w:val="24"/>
        </w:rPr>
        <w:t>Any notice that is</w:t>
      </w:r>
      <w:r>
        <w:rPr>
          <w:color w:val="000000"/>
        </w:rPr>
        <w:t xml:space="preserve"> </w:t>
      </w:r>
      <w:r>
        <w:rPr>
          <w:rFonts w:ascii="Times New Roman;serif" w:hAnsi="Times New Roman;serif"/>
          <w:b w:val="false"/>
          <w:color w:val="000000"/>
          <w:sz w:val="24"/>
        </w:rPr>
        <w:t>addressed and mailed in the manner herein provided shall be conclusively presumed to have been given to the party to whom it is addressed at the close of business, local time of such party, on the</w:t>
      </w:r>
      <w:r>
        <w:rPr>
          <w:color w:val="000000"/>
        </w:rPr>
        <w:t xml:space="preserve"> </w:t>
      </w:r>
      <w:r>
        <w:rPr>
          <w:rFonts w:ascii="Times New Roman;serif" w:hAnsi="Times New Roman;serif"/>
          <w:b w:val="false"/>
          <w:color w:val="000000"/>
          <w:sz w:val="24"/>
        </w:rPr>
        <w:t>fourth day after</w:t>
      </w:r>
      <w:r>
        <w:rPr>
          <w:color w:val="000000"/>
        </w:rPr>
        <w:t xml:space="preserve"> </w:t>
      </w:r>
      <w:r>
        <w:rPr>
          <w:rFonts w:ascii="Times New Roman;serif" w:hAnsi="Times New Roman;serif"/>
          <w:b w:val="false"/>
          <w:color w:val="000000"/>
          <w:sz w:val="24"/>
        </w:rPr>
        <w:t>the day it is so placed in the mail.</w: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13. </w:t>
      </w:r>
      <w:r>
        <w:rPr>
          <w:color w:val="000000"/>
        </w:rPr>
        <w:t>    </w:t>
      </w:r>
      <w:r>
        <w:rPr>
          <w:rFonts w:ascii="Times New Roman;serif" w:hAnsi="Times New Roman;serif"/>
          <w:b/>
          <w:color w:val="000000"/>
          <w:sz w:val="24"/>
          <w:u w:val="single"/>
        </w:rPr>
        <w:t>Consent</w:t>
      </w:r>
      <w:r>
        <w:rPr>
          <w:color w:val="000000"/>
          <w:u w:val="single"/>
        </w:rPr>
        <w:t xml:space="preserve"> </w:t>
      </w:r>
      <w:r>
        <w:rPr>
          <w:rFonts w:ascii="Times New Roman;serif" w:hAnsi="Times New Roman;serif"/>
          <w:b/>
          <w:color w:val="000000"/>
          <w:sz w:val="24"/>
          <w:u w:val="single"/>
        </w:rPr>
        <w:t>to</w:t>
      </w:r>
      <w:r>
        <w:rPr>
          <w:color w:val="000000"/>
          <w:u w:val="single"/>
        </w:rPr>
        <w:t xml:space="preserve"> </w:t>
      </w:r>
      <w:r>
        <w:rPr>
          <w:rFonts w:ascii="Times New Roman;serif" w:hAnsi="Times New Roman;serif"/>
          <w:b/>
          <w:color w:val="000000"/>
          <w:sz w:val="24"/>
          <w:u w:val="single"/>
        </w:rPr>
        <w:t>Electronic</w:t>
      </w:r>
      <w:r>
        <w:rPr>
          <w:color w:val="000000"/>
          <w:u w:val="single"/>
        </w:rPr>
        <w:t xml:space="preserve"> </w:t>
      </w:r>
      <w:r>
        <w:rPr>
          <w:rFonts w:ascii="Times New Roman;serif" w:hAnsi="Times New Roman;serif"/>
          <w:b/>
          <w:color w:val="000000"/>
          <w:sz w:val="24"/>
          <w:u w:val="single"/>
        </w:rPr>
        <w:t>Delivery;</w:t>
      </w:r>
      <w:r>
        <w:rPr>
          <w:color w:val="000000"/>
          <w:u w:val="single"/>
        </w:rPr>
        <w:t xml:space="preserve"> </w:t>
      </w:r>
      <w:r>
        <w:rPr>
          <w:rFonts w:ascii="Times New Roman;serif" w:hAnsi="Times New Roman;serif"/>
          <w:b/>
          <w:color w:val="000000"/>
          <w:sz w:val="24"/>
          <w:u w:val="single"/>
        </w:rPr>
        <w:t>Electronic</w:t>
      </w:r>
      <w:r>
        <w:rPr>
          <w:color w:val="000000"/>
          <w:u w:val="single"/>
        </w:rPr>
        <w:t xml:space="preserve"> </w:t>
      </w:r>
      <w:r>
        <w:rPr>
          <w:rFonts w:ascii="Times New Roman;serif" w:hAnsi="Times New Roman;serif"/>
          <w:b/>
          <w:color w:val="000000"/>
          <w:sz w:val="24"/>
          <w:u w:val="single"/>
        </w:rPr>
        <w:t>Signature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lieu</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receiving</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paper</w:t>
      </w:r>
      <w:r>
        <w:rPr>
          <w:color w:val="000000"/>
        </w:rPr>
        <w:t xml:space="preserve"> </w:t>
      </w:r>
      <w:r>
        <w:rPr>
          <w:rFonts w:ascii="Times New Roman;serif" w:hAnsi="Times New Roman;serif"/>
          <w:b w:val="false"/>
          <w:color w:val="000000"/>
          <w:sz w:val="24"/>
        </w:rPr>
        <w:t>format,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fullest</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accept</w:t>
      </w:r>
      <w:r>
        <w:rPr>
          <w:color w:val="000000"/>
        </w:rPr>
        <w:t xml:space="preserve"> </w:t>
      </w:r>
      <w:r>
        <w:rPr>
          <w:rFonts w:ascii="Times New Roman;serif" w:hAnsi="Times New Roman;serif"/>
          <w:b w:val="false"/>
          <w:color w:val="000000"/>
          <w:sz w:val="24"/>
        </w:rPr>
        <w:t>electronic delivery of any documents that the Company may be required to deliver (including, but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prospectuses,</w:t>
      </w:r>
      <w:r>
        <w:rPr>
          <w:color w:val="000000"/>
        </w:rPr>
        <w:t xml:space="preserve"> </w:t>
      </w:r>
      <w:r>
        <w:rPr>
          <w:rFonts w:ascii="Times New Roman;serif" w:hAnsi="Times New Roman;serif"/>
          <w:b w:val="false"/>
          <w:color w:val="000000"/>
          <w:sz w:val="24"/>
        </w:rPr>
        <w:t>prospectus</w:t>
      </w:r>
      <w:r>
        <w:rPr>
          <w:color w:val="000000"/>
        </w:rPr>
        <w:t xml:space="preserve"> </w:t>
      </w:r>
      <w:r>
        <w:rPr>
          <w:rFonts w:ascii="Times New Roman;serif" w:hAnsi="Times New Roman;serif"/>
          <w:b w:val="false"/>
          <w:color w:val="000000"/>
          <w:sz w:val="24"/>
        </w:rPr>
        <w:t>supplements,</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notifications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annual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quarterly</w:t>
      </w:r>
      <w:r>
        <w:rPr>
          <w:color w:val="000000"/>
        </w:rPr>
        <w:t xml:space="preserve"> </w:t>
      </w:r>
      <w:r>
        <w:rPr>
          <w:rFonts w:ascii="Times New Roman;serif" w:hAnsi="Times New Roman;serif"/>
          <w:b w:val="false"/>
          <w:color w:val="000000"/>
          <w:sz w:val="24"/>
        </w:rPr>
        <w:t>reports,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forms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communications)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this Award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offered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via</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mail</w:t>
      </w:r>
      <w:r>
        <w:rPr>
          <w:color w:val="000000"/>
        </w:rPr>
        <w:t xml:space="preserve"> </w:t>
      </w:r>
      <w:r>
        <w:rPr>
          <w:rFonts w:ascii="Times New Roman;serif" w:hAnsi="Times New Roman;serif"/>
          <w:b w:val="false"/>
          <w:color w:val="000000"/>
          <w:sz w:val="24"/>
        </w:rPr>
        <w:t>system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reference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location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intranet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access.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consents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procedures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established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establish</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system</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acceptance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her manual signature.</w: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14. </w:t>
      </w:r>
      <w:r>
        <w:rPr>
          <w:color w:val="000000"/>
        </w:rPr>
        <w:t>    </w:t>
      </w:r>
      <w:r>
        <w:rPr>
          <w:rFonts w:ascii="Times New Roman;serif" w:hAnsi="Times New Roman;serif"/>
          <w:b/>
          <w:color w:val="000000"/>
          <w:sz w:val="24"/>
          <w:u w:val="single"/>
        </w:rPr>
        <w:t>Agreement</w:t>
      </w:r>
      <w:r>
        <w:rPr>
          <w:color w:val="000000"/>
          <w:u w:val="single"/>
        </w:rPr>
        <w:t xml:space="preserve"> </w:t>
      </w:r>
      <w:r>
        <w:rPr>
          <w:rFonts w:ascii="Times New Roman;serif" w:hAnsi="Times New Roman;serif"/>
          <w:b/>
          <w:color w:val="000000"/>
          <w:sz w:val="24"/>
          <w:u w:val="single"/>
        </w:rPr>
        <w:t>to</w:t>
      </w:r>
      <w:r>
        <w:rPr>
          <w:color w:val="000000"/>
          <w:u w:val="single"/>
        </w:rPr>
        <w:t xml:space="preserve"> </w:t>
      </w:r>
      <w:r>
        <w:rPr>
          <w:rFonts w:ascii="Times New Roman;serif" w:hAnsi="Times New Roman;serif"/>
          <w:b/>
          <w:color w:val="000000"/>
          <w:sz w:val="24"/>
          <w:u w:val="single"/>
        </w:rPr>
        <w:t>Furnish</w:t>
      </w:r>
      <w:r>
        <w:rPr>
          <w:color w:val="000000"/>
          <w:u w:val="single"/>
        </w:rPr>
        <w:t xml:space="preserve"> </w:t>
      </w:r>
      <w:r>
        <w:rPr>
          <w:rFonts w:ascii="Times New Roman;serif" w:hAnsi="Times New Roman;serif"/>
          <w:b/>
          <w:color w:val="000000"/>
          <w:sz w:val="24"/>
          <w:u w:val="single"/>
        </w:rPr>
        <w:t>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enable</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reporting</w:t>
      </w:r>
      <w:r>
        <w:rPr>
          <w:color w:val="000000"/>
        </w:rPr>
        <w:t xml:space="preserve"> </w:t>
      </w:r>
      <w:r>
        <w:rPr>
          <w:rFonts w:ascii="Times New Roman;serif" w:hAnsi="Times New Roman;serif"/>
          <w:b w:val="false"/>
          <w:color w:val="000000"/>
          <w:sz w:val="24"/>
        </w:rPr>
        <w:t>or other requirement imposed upon the Company by or under any applicable statute or regulation.</w:t>
      </w:r>
    </w:p>
    <w:p>
      <w:pPr>
        <w:pStyle w:val="TextBody"/>
        <w:bidi w:val="0"/>
        <w:spacing w:before="10" w:after="283"/>
        <w:jc w:val="left"/>
        <w:rPr/>
      </w:pPr>
      <w:r>
        <w:rPr/>
      </w:r>
    </w:p>
    <w:p>
      <w:pPr>
        <w:pStyle w:val="TextBody"/>
        <w:bidi w:val="0"/>
        <w:spacing w:lineRule="auto" w:line="288"/>
        <w:ind w:left="0" w:right="0" w:firstLine="810"/>
        <w:jc w:val="both"/>
        <w:rPr/>
      </w:pPr>
      <w:r>
        <w:rPr>
          <w:rFonts w:ascii="Times New Roman;serif" w:hAnsi="Times New Roman;serif"/>
          <w:b w:val="false"/>
          <w:color w:val="000000"/>
          <w:sz w:val="24"/>
        </w:rPr>
        <w:t xml:space="preserve">15. </w:t>
      </w:r>
      <w:r>
        <w:rPr>
          <w:color w:val="000000"/>
        </w:rPr>
        <w:t>    </w:t>
      </w:r>
      <w:r>
        <w:rPr>
          <w:rFonts w:ascii="Times New Roman;serif" w:hAnsi="Times New Roman;serif"/>
          <w:b/>
          <w:color w:val="000000"/>
          <w:sz w:val="24"/>
          <w:u w:val="single"/>
        </w:rPr>
        <w:t>Entire</w:t>
      </w:r>
      <w:r>
        <w:rPr>
          <w:color w:val="000000"/>
          <w:u w:val="single"/>
        </w:rPr>
        <w:t xml:space="preserve"> </w:t>
      </w:r>
      <w:r>
        <w:rPr>
          <w:rFonts w:ascii="Times New Roman;serif" w:hAnsi="Times New Roman;serif"/>
          <w:b/>
          <w:color w:val="000000"/>
          <w:sz w:val="24"/>
          <w:u w:val="single"/>
        </w:rPr>
        <w:t>Agreement;</w:t>
      </w:r>
      <w:r>
        <w:rPr>
          <w:color w:val="000000"/>
          <w:u w:val="single"/>
        </w:rPr>
        <w:t xml:space="preserve"> </w:t>
      </w:r>
      <w:r>
        <w:rPr>
          <w:rFonts w:ascii="Times New Roman;serif" w:hAnsi="Times New Roman;serif"/>
          <w:b/>
          <w:color w:val="000000"/>
          <w:sz w:val="24"/>
          <w:u w:val="single"/>
        </w:rPr>
        <w:t>Amendment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constitutes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entire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regard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matter</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contains</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covenants,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promises,</w:t>
      </w:r>
      <w:r>
        <w:rPr>
          <w:color w:val="000000"/>
        </w:rPr>
        <w:t xml:space="preserve"> </w:t>
      </w:r>
      <w:r>
        <w:rPr>
          <w:rFonts w:ascii="Times New Roman;serif" w:hAnsi="Times New Roman;serif"/>
          <w:b w:val="false"/>
          <w:color w:val="000000"/>
          <w:sz w:val="24"/>
        </w:rPr>
        <w:t>representations,</w:t>
      </w:r>
      <w:r>
        <w:rPr>
          <w:color w:val="000000"/>
        </w:rPr>
        <w:t xml:space="preserve"> </w:t>
      </w:r>
      <w:r>
        <w:rPr>
          <w:rFonts w:ascii="Times New Roman;serif" w:hAnsi="Times New Roman;serif"/>
          <w:b w:val="false"/>
          <w:color w:val="000000"/>
          <w:sz w:val="24"/>
        </w:rPr>
        <w:t>warranties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PSUs granted hereby; provided, however, that the terms of this Agreement shall not modify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the Recipient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severance or similar</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participates,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determination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Without limiting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scope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sentence,</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understandings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matter hereof are hereby null and void and of no further force and effect.</w:t>
      </w:r>
      <w:r>
        <w:rPr>
          <w:color w:val="000000"/>
        </w:rPr>
        <w:t xml:space="preserve"> </w:t>
      </w:r>
      <w:r>
        <w:rPr>
          <w:rFonts w:ascii="Times New Roman;serif" w:hAnsi="Times New Roman;serif"/>
          <w:b w:val="false"/>
          <w:color w:val="000000"/>
          <w:sz w:val="24"/>
        </w:rPr>
        <w:t>The Committee may, in</w:t>
      </w:r>
      <w:r>
        <w:rPr>
          <w:color w:val="000000"/>
        </w:rPr>
        <w:t xml:space="preserve"> </w:t>
      </w:r>
      <w:r>
        <w:rPr>
          <w:rFonts w:ascii="Times New Roman;serif" w:hAnsi="Times New Roman;serif"/>
          <w:b w:val="false"/>
          <w:color w:val="000000"/>
          <w:sz w:val="24"/>
        </w:rPr>
        <w:t>its sole discretion, amend this Agreement from time to time in any manner that is not inconsistent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any such amendment that materially reduces the rights of the Recipient shall be effective</w:t>
      </w:r>
      <w:r>
        <w:rPr>
          <w:color w:val="000000"/>
        </w:rPr>
        <w:t xml:space="preserve"> </w:t>
      </w:r>
      <w:r>
        <w:rPr>
          <w:rFonts w:ascii="Times New Roman;serif" w:hAnsi="Times New Roman;serif"/>
          <w:b w:val="false"/>
          <w:color w:val="000000"/>
          <w:sz w:val="24"/>
        </w:rPr>
        <w:t>only if it</w:t>
      </w:r>
      <w:r>
        <w:rPr>
          <w:color w:val="000000"/>
        </w:rPr>
        <w:t xml:space="preserve"> </w:t>
      </w:r>
      <w:r>
        <w:rPr>
          <w:rFonts w:ascii="Times New Roman;serif" w:hAnsi="Times New Roman;serif"/>
          <w:b w:val="false"/>
          <w:color w:val="000000"/>
          <w:sz w:val="24"/>
        </w:rPr>
        <w:t>is in writing and signed by both the Recipient and an authorized officer of the Company.</w: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16. </w:t>
      </w:r>
      <w:r>
        <w:rPr>
          <w:color w:val="000000"/>
        </w:rPr>
        <w:t>    </w:t>
      </w:r>
      <w:r>
        <w:rPr>
          <w:rFonts w:ascii="Times New Roman;serif" w:hAnsi="Times New Roman;serif"/>
          <w:b/>
          <w:color w:val="000000"/>
          <w:sz w:val="24"/>
          <w:u w:val="single"/>
        </w:rPr>
        <w:t>Severability and Waiver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competent</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determines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 of this Agreement is invalid or unenforceable, then the invalidity or unenforceability of such</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validity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enforceability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breach of this Agreement or failure to exercise any right hereunder shall not be deemed to be a</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reason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exercise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deprive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 while or after such breach or condition giving rise to such rights continues.</w: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17. </w:t>
      </w:r>
      <w:r>
        <w:rPr>
          <w:color w:val="000000"/>
        </w:rPr>
        <w:t>    </w:t>
      </w:r>
      <w:r>
        <w:rPr>
          <w:rFonts w:ascii="Times New Roman;serif" w:hAnsi="Times New Roman;serif"/>
          <w:b/>
          <w:color w:val="000000"/>
          <w:sz w:val="24"/>
          <w:u w:val="single"/>
        </w:rPr>
        <w:t>Clawback</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Notwithstanding any provision in the Grant Notice, this Agreement, 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Dodd-Frank</w:t>
      </w:r>
      <w:r>
        <w:rPr>
          <w:color w:val="000000"/>
        </w:rPr>
        <w:t xml:space="preserve"> </w:t>
      </w:r>
      <w:r>
        <w:rPr>
          <w:rFonts w:ascii="Times New Roman;serif" w:hAnsi="Times New Roman;serif"/>
          <w:b w:val="false"/>
          <w:color w:val="000000"/>
          <w:sz w:val="24"/>
        </w:rPr>
        <w:t>Wall</w:t>
      </w:r>
      <w:r>
        <w:rPr>
          <w:color w:val="000000"/>
        </w:rPr>
        <w:t xml:space="preserve"> </w:t>
      </w:r>
      <w:r>
        <w:rPr>
          <w:rFonts w:ascii="Times New Roman;serif" w:hAnsi="Times New Roman;serif"/>
          <w:b w:val="false"/>
          <w:color w:val="000000"/>
          <w:sz w:val="24"/>
        </w:rPr>
        <w:t>Street</w:t>
      </w:r>
      <w:r>
        <w:rPr>
          <w:color w:val="000000"/>
        </w:rPr>
        <w:t xml:space="preserve"> </w:t>
      </w:r>
      <w:r>
        <w:rPr>
          <w:rFonts w:ascii="Times New Roman;serif" w:hAnsi="Times New Roman;serif"/>
          <w:b w:val="false"/>
          <w:color w:val="000000"/>
          <w:sz w:val="24"/>
        </w:rPr>
        <w:t>Reform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Consumer</w:t>
      </w:r>
      <w:r>
        <w:rPr>
          <w:color w:val="000000"/>
        </w:rPr>
        <w:t xml:space="preserve"> </w:t>
      </w:r>
      <w:r>
        <w:rPr>
          <w:rFonts w:ascii="Times New Roman;serif" w:hAnsi="Times New Roman;serif"/>
          <w:b w:val="false"/>
          <w:color w:val="000000"/>
          <w:sz w:val="24"/>
        </w:rPr>
        <w:t>Protection</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2010,</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listing</w:t>
      </w:r>
      <w:r>
        <w:rPr>
          <w:color w:val="000000"/>
        </w:rPr>
        <w:t xml:space="preserve"> </w:t>
      </w:r>
      <w:r>
        <w:rPr>
          <w:rFonts w:ascii="Times New Roman;serif" w:hAnsi="Times New Roman;serif"/>
          <w:b w:val="false"/>
          <w:color w:val="000000"/>
          <w:sz w:val="24"/>
        </w:rPr>
        <w:t>standards</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adopted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 including, without limitation, the Company’s Executive Incentive Compensation Clawback Policy,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forfeiture,</w:t>
      </w:r>
      <w:r>
        <w:rPr>
          <w:color w:val="000000"/>
        </w:rPr>
        <w:t xml:space="preserve"> </w:t>
      </w:r>
      <w:r>
        <w:rPr>
          <w:rFonts w:ascii="Times New Roman;serif" w:hAnsi="Times New Roman;serif"/>
          <w:b w:val="false"/>
          <w:color w:val="000000"/>
          <w:sz w:val="24"/>
        </w:rPr>
        <w:t>repurchase,</w:t>
      </w:r>
      <w:r>
        <w:rPr>
          <w:color w:val="000000"/>
        </w:rPr>
        <w:t xml:space="preserve"> </w:t>
      </w:r>
      <w:r>
        <w:rPr>
          <w:rFonts w:ascii="Times New Roman;serif" w:hAnsi="Times New Roman;serif"/>
          <w:b w:val="false"/>
          <w:color w:val="000000"/>
          <w:sz w:val="24"/>
        </w:rPr>
        <w:t>recoupment,</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cancellation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to comply with such law(s) and/or policy.</w: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18. </w:t>
      </w:r>
      <w:r>
        <w:rPr>
          <w:color w:val="000000"/>
        </w:rPr>
        <w:t>    </w:t>
      </w:r>
      <w:r>
        <w:rPr>
          <w:rFonts w:ascii="Times New Roman;serif" w:hAnsi="Times New Roman;serif"/>
          <w:b/>
          <w:color w:val="000000"/>
          <w:sz w:val="24"/>
          <w:u w:val="single"/>
        </w:rPr>
        <w:t>Governing</w:t>
      </w:r>
      <w:r>
        <w:rPr>
          <w:color w:val="000000"/>
          <w:u w:val="single"/>
        </w:rPr>
        <w:t xml:space="preserve"> </w:t>
      </w:r>
      <w:r>
        <w:rPr>
          <w:rFonts w:ascii="Times New Roman;serif" w:hAnsi="Times New Roman;serif"/>
          <w:b/>
          <w:color w:val="000000"/>
          <w:sz w:val="24"/>
          <w:u w:val="single"/>
        </w:rPr>
        <w:t>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REGARD TO THE CHOICE OR CONFLICTS OF LAW PROVISIONS THEREOF.</w: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19. </w:t>
      </w:r>
      <w:r>
        <w:rPr>
          <w:color w:val="000000"/>
        </w:rPr>
        <w:t>    </w:t>
      </w:r>
      <w:r>
        <w:rPr>
          <w:rFonts w:ascii="Times New Roman;serif" w:hAnsi="Times New Roman;serif"/>
          <w:b/>
          <w:color w:val="000000"/>
          <w:sz w:val="24"/>
          <w:u w:val="single"/>
        </w:rPr>
        <w:t>Successors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Assigns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assign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successors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assigns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restrictions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beneficiaries,</w:t>
      </w:r>
      <w:r>
        <w:rPr>
          <w:color w:val="000000"/>
        </w:rPr>
        <w:t xml:space="preserve"> </w:t>
      </w:r>
      <w:r>
        <w:rPr>
          <w:rFonts w:ascii="Times New Roman;serif" w:hAnsi="Times New Roman;serif"/>
          <w:b w:val="false"/>
          <w:color w:val="000000"/>
          <w:sz w:val="24"/>
        </w:rPr>
        <w:t>executors,</w:t>
      </w:r>
      <w:r>
        <w:rPr>
          <w:color w:val="000000"/>
        </w:rPr>
        <w:t xml:space="preserve"> </w:t>
      </w:r>
      <w:r>
        <w:rPr>
          <w:rFonts w:ascii="Times New Roman;serif" w:hAnsi="Times New Roman;serif"/>
          <w:b w:val="false"/>
          <w:color w:val="000000"/>
          <w:sz w:val="24"/>
        </w:rPr>
        <w:t>administrators,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 transferred by will or the laws of descent or distribution.</w:t>
      </w:r>
    </w:p>
    <w:p>
      <w:pPr>
        <w:pStyle w:val="TextBody"/>
        <w:bidi w:val="0"/>
        <w:spacing w:before="10" w:after="283"/>
        <w:jc w:val="left"/>
        <w:rPr/>
      </w:pPr>
      <w:r>
        <w:rPr/>
      </w:r>
    </w:p>
    <w:p>
      <w:pPr>
        <w:pStyle w:val="TextBody"/>
        <w:bidi w:val="0"/>
        <w:spacing w:lineRule="auto" w:line="288"/>
        <w:ind w:left="0" w:right="0" w:firstLine="810"/>
        <w:jc w:val="both"/>
        <w:rPr/>
      </w:pPr>
      <w:r>
        <w:rPr>
          <w:rFonts w:ascii="Times New Roman;serif" w:hAnsi="Times New Roman;serif"/>
          <w:b w:val="false"/>
          <w:color w:val="000000"/>
          <w:sz w:val="24"/>
        </w:rPr>
        <w:t xml:space="preserve">20. </w:t>
      </w:r>
      <w:r>
        <w:rPr>
          <w:color w:val="000000"/>
        </w:rPr>
        <w:t>    </w:t>
      </w:r>
      <w:r>
        <w:rPr>
          <w:rFonts w:ascii="Times New Roman;serif" w:hAnsi="Times New Roman;serif"/>
          <w:b/>
          <w:color w:val="000000"/>
          <w:sz w:val="24"/>
          <w:u w:val="single"/>
        </w:rPr>
        <w:t>Headings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Headings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21. </w:t>
      </w:r>
      <w:r>
        <w:rPr>
          <w:color w:val="000000"/>
        </w:rPr>
        <w:t>    </w:t>
      </w:r>
      <w:r>
        <w:rPr>
          <w:rFonts w:ascii="Times New Roman;serif" w:hAnsi="Times New Roman;serif"/>
          <w:b/>
          <w:color w:val="000000"/>
          <w:sz w:val="24"/>
          <w:u w:val="single"/>
        </w:rPr>
        <w:t>Counterparts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counterparts,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way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digital</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 be deemed an original and all of which together shall constitute one instrument.</w:t>
      </w:r>
      <w:r>
        <w:rPr>
          <w:color w:val="000000"/>
        </w:rPr>
        <w:t xml:space="preserve"> </w:t>
      </w:r>
      <w:r>
        <w:rPr>
          <w:rFonts w:ascii="Times New Roman;serif" w:hAnsi="Times New Roman;serif"/>
          <w:b w:val="false"/>
          <w:color w:val="000000"/>
          <w:sz w:val="24"/>
        </w:rPr>
        <w:t>Delivery 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counterpart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portable</w:t>
      </w:r>
      <w:r>
        <w:rPr>
          <w:color w:val="000000"/>
        </w:rPr>
        <w:t xml:space="preserve"> </w:t>
      </w:r>
      <w:r>
        <w:rPr>
          <w:rFonts w:ascii="Times New Roman;serif" w:hAnsi="Times New Roman;serif"/>
          <w:b w:val="false"/>
          <w:color w:val="000000"/>
          <w:sz w:val="24"/>
        </w:rPr>
        <w:t>document</w:t>
      </w:r>
      <w:r>
        <w:rPr>
          <w:color w:val="000000"/>
        </w:rPr>
        <w:t xml:space="preserve"> </w:t>
      </w:r>
      <w:r>
        <w:rPr>
          <w:rFonts w:ascii="Times New Roman;serif" w:hAnsi="Times New Roman;serif"/>
          <w:b w:val="false"/>
          <w:color w:val="000000"/>
          <w:sz w:val="24"/>
        </w:rPr>
        <w:t>format</w:t>
      </w:r>
      <w:r>
        <w:rPr>
          <w:color w:val="000000"/>
        </w:rPr>
        <w:t xml:space="preserve"> </w:t>
      </w:r>
      <w:r>
        <w:rPr>
          <w:rFonts w:ascii="Times New Roman;serif" w:hAnsi="Times New Roman;serif"/>
          <w:b w:val="false"/>
          <w:color w:val="000000"/>
          <w:sz w:val="24"/>
        </w:rPr>
        <w:t>(.pdf) attachment</w:t>
      </w:r>
      <w:r>
        <w:rPr>
          <w:color w:val="000000"/>
        </w:rPr>
        <w:t xml:space="preserve"> </w:t>
      </w:r>
      <w:r>
        <w:rPr>
          <w:rFonts w:ascii="Times New Roman;serif" w:hAnsi="Times New Roman;serif"/>
          <w:b w:val="false"/>
          <w:color w:val="000000"/>
          <w:sz w:val="24"/>
        </w:rPr>
        <w:t>to electronic</w:t>
      </w:r>
      <w:r>
        <w:rPr>
          <w:color w:val="000000"/>
        </w:rPr>
        <w:t xml:space="preserve"> </w:t>
      </w:r>
      <w:r>
        <w:rPr>
          <w:rFonts w:ascii="Times New Roman;serif" w:hAnsi="Times New Roman;serif"/>
          <w:b w:val="false"/>
          <w:color w:val="000000"/>
          <w:sz w:val="24"/>
        </w:rPr>
        <w:t>mail</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manually</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counterpart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Grant Notice.</w:t>
      </w:r>
    </w:p>
    <w:p>
      <w:pPr>
        <w:pStyle w:val="TextBody"/>
        <w:bidi w:val="0"/>
        <w:spacing w:before="10" w:after="283"/>
        <w:jc w:val="left"/>
        <w:rPr/>
      </w:pPr>
      <w:r>
        <w:rPr/>
      </w:r>
    </w:p>
    <w:p>
      <w:pPr>
        <w:pStyle w:val="TextBody"/>
        <w:bidi w:val="0"/>
        <w:spacing w:lineRule="auto" w:line="288" w:before="0" w:after="0"/>
        <w:ind w:left="0" w:right="0" w:firstLine="810"/>
        <w:jc w:val="both"/>
        <w:rPr/>
      </w:pPr>
      <w:r>
        <w:rPr>
          <w:rFonts w:ascii="Times New Roman;serif" w:hAnsi="Times New Roman;serif"/>
          <w:b w:val="false"/>
          <w:color w:val="000000"/>
          <w:sz w:val="24"/>
        </w:rPr>
        <w:t xml:space="preserve">22. </w:t>
      </w:r>
      <w:r>
        <w:rPr>
          <w:color w:val="000000"/>
        </w:rPr>
        <w:t>    </w:t>
      </w:r>
      <w:r>
        <w:rPr>
          <w:rFonts w:ascii="Times New Roman;serif" w:hAnsi="Times New Roman;serif"/>
          <w:b/>
          <w:color w:val="000000"/>
          <w:sz w:val="24"/>
          <w:u w:val="single"/>
        </w:rPr>
        <w:t>Section</w:t>
      </w:r>
      <w:r>
        <w:rPr>
          <w:color w:val="000000"/>
          <w:u w:val="single"/>
        </w:rPr>
        <w:t xml:space="preserve"> </w:t>
      </w:r>
      <w:r>
        <w:rPr>
          <w:rFonts w:ascii="Times New Roman;serif" w:hAnsi="Times New Roman;serif"/>
          <w:b/>
          <w:color w:val="000000"/>
          <w:sz w:val="24"/>
          <w:u w:val="single"/>
        </w:rPr>
        <w:t>409A</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Notwithstanding</w:t>
      </w:r>
      <w:r>
        <w:rPr>
          <w:color w:val="000000"/>
        </w:rPr>
        <w:t xml:space="preserve"> </w:t>
      </w:r>
      <w:r>
        <w:rPr>
          <w:rFonts w:ascii="Times New Roman;serif" w:hAnsi="Times New Roman;serif"/>
          <w:b w:val="false"/>
          <w:color w:val="000000"/>
          <w:sz w:val="24"/>
        </w:rPr>
        <w:t>anything</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the</w:t>
      </w:r>
      <w:r>
        <w:rPr>
          <w:color w:val="FF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intended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exempt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guidance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regulations</w:t>
      </w:r>
      <w:r>
        <w:rPr>
          <w:color w:val="000000"/>
        </w:rPr>
        <w:t xml:space="preserve"> </w:t>
      </w:r>
      <w:r>
        <w:rPr>
          <w:rFonts w:ascii="Times New Roman;serif" w:hAnsi="Times New Roman;serif"/>
          <w:b w:val="false"/>
          <w:color w:val="000000"/>
          <w:sz w:val="24"/>
        </w:rPr>
        <w:t>promulgated</w:t>
      </w:r>
      <w:r>
        <w:rPr>
          <w:color w:val="000000"/>
        </w:rPr>
        <w:t xml:space="preserve"> </w:t>
      </w:r>
      <w:r>
        <w:rPr>
          <w:rFonts w:ascii="Times New Roman;serif" w:hAnsi="Times New Roman;serif"/>
          <w:b w:val="false"/>
          <w:color w:val="000000"/>
          <w:sz w:val="24"/>
        </w:rPr>
        <w:t>thereunder</w:t>
      </w:r>
      <w:r>
        <w:rPr>
          <w:color w:val="000000"/>
        </w:rPr>
        <w:t xml:space="preserve"> </w:t>
      </w:r>
      <w:r>
        <w:rPr>
          <w:rFonts w:ascii="Times New Roman;serif" w:hAnsi="Times New Roman;serif"/>
          <w:b w:val="false"/>
          <w:color w:val="000000"/>
          <w:sz w:val="24"/>
        </w:rPr>
        <w:t>(“</w:t>
      </w:r>
      <w:r>
        <w:rPr>
          <w:rFonts w:ascii="Times New Roman;serif" w:hAnsi="Times New Roman;serif"/>
          <w:b/>
          <w:i/>
          <w:color w:val="000000"/>
          <w:sz w:val="24"/>
        </w:rPr>
        <w:t>Section</w:t>
      </w:r>
      <w:r>
        <w:rPr>
          <w:color w:val="000000"/>
        </w:rPr>
        <w:t xml:space="preserve"> </w:t>
      </w:r>
      <w:r>
        <w:rPr>
          <w:rFonts w:ascii="Times New Roman;serif" w:hAnsi="Times New Roman;serif"/>
          <w:b/>
          <w:i/>
          <w:color w:val="000000"/>
          <w:sz w:val="24"/>
        </w:rPr>
        <w:t>409A</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interpreted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intent.</w:t>
      </w:r>
      <w:r>
        <w:rPr>
          <w:color w:val="000000"/>
        </w:rPr>
        <w:t xml:space="preserve"> </w:t>
      </w:r>
      <w:r>
        <w:rPr>
          <w:rFonts w:ascii="Times New Roman;serif" w:hAnsi="Times New Roman;serif"/>
          <w:b w:val="false"/>
          <w:color w:val="000000"/>
          <w:sz w:val="24"/>
        </w:rPr>
        <w:t>Nevertheless,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determines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exempt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becomes</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separation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prevent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accelerated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additional</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settlement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delayed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earlier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six</w:t>
      </w:r>
      <w:r>
        <w:rPr>
          <w:color w:val="000000"/>
        </w:rPr>
        <w:t xml:space="preserve"> </w:t>
      </w:r>
      <w:r>
        <w:rPr>
          <w:rFonts w:ascii="Times New Roman;serif" w:hAnsi="Times New Roman;serif"/>
          <w:b w:val="false"/>
          <w:color w:val="000000"/>
          <w:sz w:val="24"/>
        </w:rPr>
        <w:t>months</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separation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Recipient’s</w:t>
      </w:r>
      <w:r>
        <w:rPr>
          <w:color w:val="000000"/>
        </w:rPr>
        <w:t xml:space="preserve"> </w:t>
      </w:r>
      <w:r>
        <w:rPr>
          <w:rFonts w:ascii="Times New Roman;serif" w:hAnsi="Times New Roman;serif"/>
          <w:b w:val="false"/>
          <w:color w:val="000000"/>
          <w:sz w:val="24"/>
        </w:rPr>
        <w:t>death.</w:t>
      </w:r>
      <w:r>
        <w:rPr>
          <w:color w:val="000000"/>
        </w:rPr>
        <w:t xml:space="preserve"> </w:t>
      </w:r>
      <w:r>
        <w:rPr>
          <w:rFonts w:ascii="Times New Roman;serif" w:hAnsi="Times New Roman;serif"/>
          <w:b w:val="false"/>
          <w:color w:val="000000"/>
          <w:sz w:val="24"/>
        </w:rPr>
        <w:t>Notwithstanding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representations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 PSUs</w:t>
      </w:r>
      <w:r>
        <w:rPr>
          <w:color w:val="000000"/>
        </w:rPr>
        <w:t xml:space="preserve"> </w:t>
      </w:r>
      <w:r>
        <w:rPr>
          <w:rFonts w:ascii="Times New Roman;serif" w:hAnsi="Times New Roman;serif"/>
          <w:b w:val="false"/>
          <w:color w:val="000000"/>
          <w:sz w:val="24"/>
        </w:rPr>
        <w:t>provided under this Agreement are exempt from or compliant with</w:t>
      </w:r>
      <w:r>
        <w:rPr>
          <w:color w:val="000000"/>
        </w:rPr>
        <w:t xml:space="preserve"> </w:t>
      </w:r>
      <w:r>
        <w:rPr>
          <w:rFonts w:ascii="Times New Roman;serif" w:hAnsi="Times New Roman;serif"/>
          <w:b w:val="false"/>
          <w:color w:val="000000"/>
          <w:sz w:val="24"/>
        </w:rPr>
        <w:t>Section 409A</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portion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penalties,</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non-compliance with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10" w:after="283"/>
        <w:jc w:val="center"/>
        <w:rPr/>
      </w:pPr>
      <w:r>
        <w:rPr/>
      </w:r>
    </w:p>
    <w:p>
      <w:pPr>
        <w:pStyle w:val="TextBody"/>
        <w:bidi w:val="0"/>
        <w:spacing w:lineRule="auto" w:line="288" w:before="69" w:after="283"/>
        <w:jc w:val="center"/>
        <w:rPr>
          <w:rFonts w:ascii="Times New Roman;serif" w:hAnsi="Times New Roman;serif"/>
          <w:b/>
          <w:color w:val="000000"/>
          <w:sz w:val="24"/>
        </w:rPr>
      </w:pPr>
      <w:r>
        <w:rPr>
          <w:rFonts w:ascii="Times New Roman;serif" w:hAnsi="Times New Roman;serif"/>
          <w:b/>
          <w:color w:val="000000"/>
          <w:sz w:val="24"/>
        </w:rPr>
        <w:t>PERFORMANCE GOALS FOR PERFORMANCE STOCK UNITS</w:t>
      </w:r>
    </w:p>
    <w:p>
      <w:pPr>
        <w:pStyle w:val="TextBody"/>
        <w:bidi w:val="0"/>
        <w:spacing w:before="10" w:after="283"/>
        <w:jc w:val="left"/>
        <w:rPr/>
      </w:pPr>
      <w:r>
        <w:rPr/>
      </w:r>
    </w:p>
    <w:p>
      <w:pPr>
        <w:pStyle w:val="TextBody"/>
        <w:bidi w:val="0"/>
        <w:spacing w:lineRule="auto" w:line="288" w:before="69" w:after="283"/>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vested</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based on two separate Performance</w:t>
      </w:r>
      <w:r>
        <w:rPr>
          <w:color w:val="000000"/>
        </w:rPr>
        <w:t xml:space="preserve"> </w:t>
      </w:r>
      <w:r>
        <w:rPr>
          <w:rFonts w:ascii="Times New Roman;serif" w:hAnsi="Times New Roman;serif"/>
          <w:b w:val="false"/>
          <w:color w:val="000000"/>
          <w:sz w:val="24"/>
        </w:rPr>
        <w:t>Goals measured over the Performance Period: (i)</w:t>
      </w:r>
      <w:r>
        <w:rPr>
          <w:color w:val="000000"/>
        </w:rPr>
        <w:t xml:space="preserve"> </w:t>
      </w:r>
      <w:r>
        <w:rPr>
          <w:rFonts w:ascii="Times New Roman;serif" w:hAnsi="Times New Roman;serif"/>
          <w:b w:val="false"/>
          <w:color w:val="000000"/>
          <w:sz w:val="24"/>
        </w:rPr>
        <w:t>60% of the Target PSUs (as modified based on performance set forth in the table below) will vest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PSUs</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Cumulative Operating Income (as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40%</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Target PSUs (as modified based on performance set forth in the table below) will vest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PSUs based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 Cumulative Revenue (as defined below).</w:t>
      </w:r>
    </w:p>
    <w:p>
      <w:pPr>
        <w:pStyle w:val="TextBody"/>
        <w:bidi w:val="0"/>
        <w:spacing w:before="6" w:after="283"/>
        <w:jc w:val="left"/>
        <w:rPr/>
      </w:pPr>
      <w:r>
        <w:rPr/>
      </w:r>
    </w:p>
    <w:p>
      <w:pPr>
        <w:pStyle w:val="TextBody"/>
        <w:bidi w:val="0"/>
        <w:spacing w:lineRule="auto" w:line="288" w:before="0" w:after="0"/>
        <w:ind w:left="0" w:right="0" w:firstLine="180"/>
        <w:jc w:val="left"/>
        <w:rPr/>
      </w:pPr>
      <w:r>
        <w:rPr>
          <w:rFonts w:ascii="Times New Roman;serif" w:hAnsi="Times New Roman;serif"/>
          <w:b w:val="false"/>
          <w:color w:val="000000"/>
          <w:sz w:val="24"/>
          <w:u w:val="single"/>
        </w:rPr>
        <w:t>For</w:t>
      </w:r>
      <w:r>
        <w:rPr>
          <w:color w:val="000000"/>
          <w:u w:val="single"/>
        </w:rPr>
        <w:t xml:space="preserve"> </w:t>
      </w:r>
      <w:r>
        <w:rPr>
          <w:rFonts w:ascii="Times New Roman;serif" w:hAnsi="Times New Roman;serif"/>
          <w:b w:val="false"/>
          <w:color w:val="000000"/>
          <w:sz w:val="24"/>
          <w:u w:val="single"/>
        </w:rPr>
        <w:t>purposes</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this</w:t>
      </w:r>
      <w:r>
        <w:rPr>
          <w:color w:val="000000"/>
          <w:u w:val="single"/>
        </w:rPr>
        <w:t xml:space="preserve"> </w:t>
      </w:r>
      <w:r>
        <w:rPr>
          <w:rFonts w:ascii="Times New Roman;serif" w:hAnsi="Times New Roman;serif"/>
          <w:b w:val="false"/>
          <w:color w:val="000000"/>
          <w:sz w:val="24"/>
          <w:u w:val="single"/>
        </w:rPr>
        <w:t>Agreement</w:t>
      </w:r>
      <w:r>
        <w:rPr>
          <w:rFonts w:ascii="Times New Roman;serif" w:hAnsi="Times New Roman;serif"/>
          <w:b w:val="false"/>
          <w:color w:val="000000"/>
          <w:sz w:val="24"/>
        </w:rPr>
        <w:t>:</w:t>
      </w:r>
    </w:p>
    <w:p>
      <w:pPr>
        <w:pStyle w:val="TextBody"/>
        <w:bidi w:val="0"/>
        <w:spacing w:before="0" w:after="0"/>
        <w:ind w:left="0" w:right="0" w:firstLine="18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Cumulative</w:t>
      </w:r>
      <w:r>
        <w:rPr>
          <w:color w:val="000000"/>
        </w:rPr>
        <w:t xml:space="preserve"> </w:t>
      </w:r>
      <w:r>
        <w:rPr>
          <w:rFonts w:ascii="Times New Roman;serif" w:hAnsi="Times New Roman;serif"/>
          <w:b/>
          <w:i/>
          <w:color w:val="000000"/>
          <w:sz w:val="24"/>
        </w:rPr>
        <w:t>Operating Income</w:t>
      </w:r>
      <w:r>
        <w:rPr>
          <w:color w:val="000000"/>
        </w:rPr>
        <w:t xml:space="preserve">” </w:t>
      </w:r>
      <w:r>
        <w:rPr>
          <w:rFonts w:ascii="Times New Roman;serif" w:hAnsi="Times New Roman;serif"/>
          <w:b w:val="false"/>
          <w:color w:val="000000"/>
          <w:sz w:val="24"/>
        </w:rPr>
        <w:t>means the Company’s cumulative operating income (</w:t>
      </w:r>
      <w:r>
        <w:rPr>
          <w:color w:val="000000"/>
        </w:rPr>
        <w:t>“</w:t>
      </w:r>
      <w:r>
        <w:rPr>
          <w:rFonts w:ascii="Times New Roman;serif" w:hAnsi="Times New Roman;serif"/>
          <w:b/>
          <w:i/>
          <w:color w:val="000000"/>
          <w:sz w:val="24"/>
        </w:rPr>
        <w:t>OI”</w:t>
      </w:r>
      <w:r>
        <w:rPr>
          <w:rFonts w:ascii="Times New Roman;serif" w:hAnsi="Times New Roman;serif"/>
          <w:b w:val="false"/>
          <w:color w:val="000000"/>
          <w:sz w:val="24"/>
        </w:rPr>
        <w:t xml:space="preserve">) over the Performance Period </w:t>
      </w:r>
      <w:r>
        <w:rPr>
          <w:rFonts w:ascii="Times New Roman;serif" w:hAnsi="Times New Roman;serif"/>
          <w:b w:val="false"/>
          <w:i/>
          <w:color w:val="000000"/>
          <w:sz w:val="20"/>
        </w:rPr>
        <w:t xml:space="preserve">(FY27 OI; </w:t>
      </w:r>
      <w:r>
        <w:rPr>
          <w:rFonts w:ascii="Times New Roman;serif" w:hAnsi="Times New Roman;serif"/>
          <w:b w:val="false"/>
          <w:i/>
          <w:color w:val="000000"/>
          <w:sz w:val="20"/>
          <w:u w:val="single"/>
        </w:rPr>
        <w:t>plus</w:t>
      </w:r>
      <w:r>
        <w:rPr>
          <w:color w:val="000000"/>
        </w:rPr>
        <w:t xml:space="preserve"> </w:t>
      </w:r>
      <w:r>
        <w:rPr>
          <w:rFonts w:ascii="Times New Roman;serif" w:hAnsi="Times New Roman;serif"/>
          <w:b w:val="false"/>
          <w:i/>
          <w:color w:val="000000"/>
          <w:sz w:val="20"/>
        </w:rPr>
        <w:t xml:space="preserve">FY28 OI; </w:t>
      </w:r>
      <w:r>
        <w:rPr>
          <w:rFonts w:ascii="Times New Roman;serif" w:hAnsi="Times New Roman;serif"/>
          <w:b w:val="false"/>
          <w:i/>
          <w:color w:val="000000"/>
          <w:sz w:val="20"/>
          <w:u w:val="single"/>
        </w:rPr>
        <w:t>plus</w:t>
      </w:r>
      <w:r>
        <w:rPr>
          <w:color w:val="000000"/>
        </w:rPr>
        <w:t xml:space="preserve"> </w:t>
      </w:r>
      <w:r>
        <w:rPr>
          <w:rFonts w:ascii="Times New Roman;serif" w:hAnsi="Times New Roman;serif"/>
          <w:b w:val="false"/>
          <w:i/>
          <w:color w:val="000000"/>
          <w:sz w:val="20"/>
        </w:rPr>
        <w:t>FY29 OI)</w:t>
      </w:r>
      <w:r>
        <w:rPr>
          <w:rFonts w:ascii="Times New Roman;serif" w:hAnsi="Times New Roman;serif"/>
          <w:b w:val="false"/>
          <w:color w:val="000000"/>
          <w:sz w:val="24"/>
        </w:rPr>
        <w:t xml:space="preserve">. </w:t>
      </w:r>
    </w:p>
    <w:p>
      <w:pPr>
        <w:pStyle w:val="TextBody"/>
        <w:bidi w:val="0"/>
        <w:spacing w:lineRule="auto" w:line="288" w:before="0" w:after="0"/>
        <w:jc w:val="left"/>
        <w:rPr/>
      </w:pPr>
      <w:r>
        <w:rPr>
          <w:color w:val="000000"/>
        </w:rPr>
        <w:t>“</w:t>
      </w:r>
      <w:r>
        <w:rPr>
          <w:rFonts w:ascii="Times New Roman;serif" w:hAnsi="Times New Roman;serif"/>
          <w:b/>
          <w:i/>
          <w:color w:val="000000"/>
          <w:sz w:val="24"/>
        </w:rPr>
        <w:t>Cumulative</w:t>
      </w:r>
      <w:r>
        <w:rPr>
          <w:color w:val="000000"/>
        </w:rPr>
        <w:t xml:space="preserve"> </w:t>
      </w:r>
      <w:r>
        <w:rPr>
          <w:rFonts w:ascii="Times New Roman;serif" w:hAnsi="Times New Roman;serif"/>
          <w:b/>
          <w:i/>
          <w:color w:val="000000"/>
          <w:sz w:val="24"/>
        </w:rPr>
        <w:t>Revenue</w:t>
      </w:r>
      <w:r>
        <w:rPr>
          <w:color w:val="000000"/>
        </w:rPr>
        <w:t xml:space="preserve">” </w:t>
      </w:r>
      <w:r>
        <w:rPr>
          <w:rFonts w:ascii="Times New Roman;serif" w:hAnsi="Times New Roman;serif"/>
          <w:b w:val="false"/>
          <w:color w:val="000000"/>
          <w:sz w:val="24"/>
        </w:rPr>
        <w:t xml:space="preserve">means the Company’s cumulative revenue (sales total) over the Performance Period </w:t>
      </w:r>
      <w:r>
        <w:rPr>
          <w:rFonts w:ascii="Times New Roman;serif" w:hAnsi="Times New Roman;serif"/>
          <w:b w:val="false"/>
          <w:i/>
          <w:color w:val="000000"/>
          <w:sz w:val="20"/>
        </w:rPr>
        <w:t xml:space="preserve">(FY27 revenue; </w:t>
      </w:r>
      <w:r>
        <w:rPr>
          <w:rFonts w:ascii="Times New Roman;serif" w:hAnsi="Times New Roman;serif"/>
          <w:b w:val="false"/>
          <w:i/>
          <w:color w:val="000000"/>
          <w:sz w:val="20"/>
          <w:u w:val="single"/>
        </w:rPr>
        <w:t>plus</w:t>
      </w:r>
      <w:r>
        <w:rPr>
          <w:color w:val="000000"/>
        </w:rPr>
        <w:t xml:space="preserve"> </w:t>
      </w:r>
      <w:r>
        <w:rPr>
          <w:rFonts w:ascii="Times New Roman;serif" w:hAnsi="Times New Roman;serif"/>
          <w:b w:val="false"/>
          <w:i/>
          <w:color w:val="000000"/>
          <w:sz w:val="20"/>
        </w:rPr>
        <w:t xml:space="preserve">FY28 revenue; </w:t>
      </w:r>
      <w:r>
        <w:rPr>
          <w:rFonts w:ascii="Times New Roman;serif" w:hAnsi="Times New Roman;serif"/>
          <w:b w:val="false"/>
          <w:i/>
          <w:color w:val="000000"/>
          <w:sz w:val="20"/>
          <w:u w:val="single"/>
        </w:rPr>
        <w:t>plus</w:t>
      </w:r>
      <w:r>
        <w:rPr>
          <w:color w:val="000000"/>
        </w:rPr>
        <w:t xml:space="preserve"> </w:t>
      </w:r>
      <w:r>
        <w:rPr>
          <w:rFonts w:ascii="Times New Roman;serif" w:hAnsi="Times New Roman;serif"/>
          <w:b w:val="false"/>
          <w:i/>
          <w:color w:val="000000"/>
          <w:sz w:val="20"/>
        </w:rPr>
        <w:t>FY29 revenue)</w:t>
      </w:r>
      <w:r>
        <w:rPr>
          <w:rFonts w:ascii="Times New Roman;serif" w:hAnsi="Times New Roman;serif"/>
          <w:b w:val="false"/>
          <w:color w:val="000000"/>
          <w:sz w:val="24"/>
        </w:rPr>
        <w:t xml:space="preserve">. </w:t>
      </w:r>
    </w:p>
    <w:p>
      <w:pPr>
        <w:pStyle w:val="TextBody"/>
        <w:bidi w:val="0"/>
        <w:spacing w:lineRule="auto" w:line="288" w:before="0" w:after="0"/>
        <w:jc w:val="left"/>
        <w:rPr/>
      </w:pPr>
      <w:r>
        <w:rPr>
          <w:color w:val="000000"/>
        </w:rPr>
        <w:t>“</w:t>
      </w:r>
      <w:r>
        <w:rPr>
          <w:rFonts w:ascii="Times New Roman;serif" w:hAnsi="Times New Roman;serif"/>
          <w:b/>
          <w:i/>
          <w:color w:val="000000"/>
          <w:sz w:val="24"/>
        </w:rPr>
        <w:t xml:space="preserve">Target Level of Performance” </w:t>
      </w:r>
      <w:r>
        <w:rPr>
          <w:rFonts w:ascii="Times New Roman;serif" w:hAnsi="Times New Roman;serif"/>
          <w:b w:val="false"/>
          <w:color w:val="000000"/>
          <w:sz w:val="24"/>
        </w:rPr>
        <w:t>means achievement of 100% of the Cumulative Operating Income and Cumulative Revenue targets approved in the Company’s approved 3-year Financial Plan (FY2027-2029), respectively:</w:t>
      </w:r>
    </w:p>
    <w:p>
      <w:pPr>
        <w:pStyle w:val="TextBody"/>
        <w:bidi w:val="0"/>
        <w:spacing w:lineRule="auto" w:line="288" w:before="0" w:after="0"/>
        <w:jc w:val="left"/>
        <w:rPr/>
      </w:pPr>
      <w:r>
        <w:rPr>
          <w:color w:val="000000"/>
        </w:rPr>
        <w:t>“</w:t>
      </w:r>
      <w:r>
        <w:rPr>
          <w:rFonts w:ascii="Times New Roman;serif" w:hAnsi="Times New Roman;serif"/>
          <w:b/>
          <w:i/>
          <w:color w:val="000000"/>
          <w:sz w:val="24"/>
        </w:rPr>
        <w:t xml:space="preserve">Threshold Level of Performance” </w:t>
      </w:r>
      <w:r>
        <w:rPr>
          <w:rFonts w:ascii="Times New Roman;serif" w:hAnsi="Times New Roman;serif"/>
          <w:b w:val="false"/>
          <w:color w:val="000000"/>
          <w:sz w:val="24"/>
        </w:rPr>
        <w:t xml:space="preserve">means achievement of 80% of the Cumulative Operating Income and Cumulative Revenue targets approved in the Company’s approved 3-year Financial Plan (FY2027-2029), respectively;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 xml:space="preserve">Maximum Level of Performance” </w:t>
      </w:r>
      <w:r>
        <w:rPr>
          <w:rFonts w:ascii="Times New Roman;serif" w:hAnsi="Times New Roman;serif"/>
          <w:b w:val="false"/>
          <w:color w:val="000000"/>
          <w:sz w:val="24"/>
        </w:rPr>
        <w:t>means achievement of 120% of the Cumulative Operating Income and Cumulative Revenue targets approved in the Company’s approved 3-year Financial Plan (FY2027-2029), respectively;</w:t>
      </w:r>
    </w:p>
    <w:p>
      <w:pPr>
        <w:pStyle w:val="TextBody"/>
        <w:bidi w:val="0"/>
        <w:spacing w:before="20" w:after="283"/>
        <w:jc w:val="left"/>
        <w:rPr/>
      </w:pPr>
      <w:r>
        <w:rPr/>
      </w:r>
    </w:p>
    <w:p>
      <w:pPr>
        <w:pStyle w:val="TextBody"/>
        <w:bidi w:val="0"/>
        <w:spacing w:lineRule="auto" w:line="288" w:before="20" w:after="283"/>
        <w:ind w:left="0" w:right="0" w:hanging="30"/>
        <w:jc w:val="left"/>
        <w:rPr/>
      </w:pPr>
      <w:r>
        <w:rPr>
          <w:rFonts w:ascii="Times New Roman;serif" w:hAnsi="Times New Roman;serif"/>
          <w:b w:val="false"/>
          <w:color w:val="000000"/>
          <w:sz w:val="24"/>
        </w:rPr>
        <w:t>Earned PSUs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schedule:</w:t>
      </w:r>
    </w:p>
    <w:tbl>
      <w:tblPr>
        <w:tblW w:w="8339" w:type="dxa"/>
        <w:jc w:val="left"/>
        <w:tblInd w:w="0" w:type="dxa"/>
        <w:tblLayout w:type="fixed"/>
        <w:tblCellMar>
          <w:top w:w="28" w:type="dxa"/>
          <w:left w:w="28" w:type="dxa"/>
          <w:bottom w:w="28" w:type="dxa"/>
          <w:right w:w="28" w:type="dxa"/>
        </w:tblCellMar>
      </w:tblPr>
      <w:tblGrid>
        <w:gridCol w:w="733"/>
        <w:gridCol w:w="644"/>
        <w:gridCol w:w="648"/>
        <w:gridCol w:w="624"/>
        <w:gridCol w:w="624"/>
        <w:gridCol w:w="626"/>
        <w:gridCol w:w="699"/>
        <w:gridCol w:w="699"/>
        <w:gridCol w:w="702"/>
        <w:gridCol w:w="684"/>
        <w:gridCol w:w="684"/>
        <w:gridCol w:w="972"/>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88" w:before="0" w:after="0"/>
              <w:ind w:left="0" w:right="0" w:hanging="140"/>
              <w:jc w:val="center"/>
              <w:rPr/>
            </w:pPr>
            <w:r>
              <w:rPr>
                <w:rFonts w:ascii="Times New Roman;serif" w:hAnsi="Times New Roman;serif"/>
                <w:b/>
                <w:color w:val="000000"/>
                <w:sz w:val="20"/>
              </w:rPr>
              <w:t>Level of Performance</w:t>
            </w:r>
            <w:r>
              <w:rPr>
                <w:color w:val="000000"/>
              </w:rPr>
              <w:t xml:space="preserve"> </w:t>
            </w:r>
          </w:p>
        </w:tc>
        <w:tc>
          <w:tcPr>
            <w:tcW w:w="1874"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Profit</w:t>
            </w:r>
            <w:r>
              <w:rPr>
                <w:color w:val="000000"/>
              </w:rPr>
              <w:t xml:space="preserve"> </w:t>
            </w:r>
            <w:r>
              <w:rPr>
                <w:rFonts w:ascii="Times New Roman;serif" w:hAnsi="Times New Roman;serif"/>
                <w:b/>
                <w:color w:val="000000"/>
                <w:sz w:val="20"/>
              </w:rPr>
              <w:t>Growth (60%)</w:t>
            </w:r>
          </w:p>
        </w:tc>
        <w:tc>
          <w:tcPr>
            <w:tcW w:w="2100"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Revenue</w:t>
            </w:r>
            <w:r>
              <w:rPr>
                <w:color w:val="000000"/>
              </w:rPr>
              <w:t xml:space="preserve"> </w:t>
            </w:r>
            <w:r>
              <w:rPr>
                <w:rFonts w:ascii="Times New Roman;serif" w:hAnsi="Times New Roman;serif"/>
                <w:b/>
                <w:color w:val="000000"/>
                <w:sz w:val="20"/>
              </w:rPr>
              <w:t>Growth (40%)</w:t>
            </w:r>
          </w:p>
        </w:tc>
        <w:tc>
          <w:tcPr>
            <w:tcW w:w="2340" w:type="dxa"/>
            <w:gridSpan w:val="3"/>
            <w:tcBorders>
              <w:top w:val="single" w:sz="8" w:space="0" w:color="000000"/>
              <w:left w:val="single" w:sz="8" w:space="0" w:color="000000"/>
              <w:right w:val="single" w:sz="8" w:space="0" w:color="000000"/>
            </w:tcBorders>
            <w:shd w:fill="DBE5F1" w:val="clear"/>
            <w:tcMar>
              <w:top w:w="30" w:type="dxa"/>
              <w:bottom w:w="0" w:type="dxa"/>
            </w:tcMar>
            <w:vAlign w:val="center"/>
          </w:tcPr>
          <w:p>
            <w:pPr>
              <w:pStyle w:val="TableContents"/>
              <w:bidi w:val="0"/>
              <w:spacing w:lineRule="auto" w:line="288" w:before="0" w:after="0"/>
              <w:ind w:left="0" w:right="0" w:hanging="12"/>
              <w:jc w:val="center"/>
              <w:rPr/>
            </w:pPr>
            <w:r>
              <w:rPr>
                <w:rFonts w:ascii="Times New Roman;serif" w:hAnsi="Times New Roman;serif"/>
                <w:b/>
                <w:color w:val="000000"/>
                <w:sz w:val="20"/>
              </w:rPr>
              <w:t>Earned PSU Percentage</w:t>
            </w:r>
            <w:r>
              <w:rPr>
                <w:rFonts w:ascii="Times New Roman;serif" w:hAnsi="Times New Roman;serif"/>
                <w:b/>
                <w:color w:val="000000"/>
                <w:sz w:val="13"/>
              </w:rPr>
              <w:t>(1)</w:t>
            </w:r>
          </w:p>
        </w:tc>
      </w:tr>
      <w:tr>
        <w:trPr/>
        <w:tc>
          <w:tcPr>
            <w:tcW w:w="2025" w:type="dxa"/>
            <w:gridSpan w:val="3"/>
            <w:tcBorders>
              <w:top w:val="single" w:sz="8" w:space="0" w:color="000000"/>
              <w:left w:val="single" w:sz="6" w:space="0" w:color="000000"/>
            </w:tcBorders>
            <w:tcMar>
              <w:top w:w="30" w:type="dxa"/>
              <w:bottom w:w="0" w:type="dxa"/>
              <w:right w:w="0" w:type="dxa"/>
            </w:tcMar>
            <w:vAlign w:val="center"/>
          </w:tcPr>
          <w:p>
            <w:pPr>
              <w:pStyle w:val="TableContents"/>
              <w:bidi w:val="0"/>
              <w:spacing w:lineRule="atLeast" w:line="274" w:before="0" w:after="0"/>
              <w:jc w:val="center"/>
              <w:rPr>
                <w:rFonts w:ascii="Times New Roman;serif" w:hAnsi="Times New Roman;serif"/>
                <w:b w:val="false"/>
                <w:color w:val="000000"/>
                <w:sz w:val="20"/>
              </w:rPr>
            </w:pPr>
            <w:r>
              <w:rPr>
                <w:rFonts w:ascii="Times New Roman;serif" w:hAnsi="Times New Roman;serif"/>
                <w:b w:val="false"/>
                <w:color w:val="000000"/>
                <w:sz w:val="20"/>
              </w:rPr>
              <w:t>Threshold</w:t>
            </w:r>
          </w:p>
        </w:tc>
        <w:tc>
          <w:tcPr>
            <w:tcW w:w="1874" w:type="dxa"/>
            <w:gridSpan w:val="3"/>
            <w:tcBorders>
              <w:top w:val="single" w:sz="8" w:space="0" w:color="000000"/>
              <w:left w:val="single" w:sz="6" w:space="0" w:color="000000"/>
            </w:tcBorders>
            <w:tcMar>
              <w:top w:w="30" w:type="dxa"/>
              <w:bottom w:w="0" w:type="dxa"/>
              <w:right w:w="0" w:type="dxa"/>
            </w:tcMar>
            <w:vAlign w:val="center"/>
          </w:tcPr>
          <w:p>
            <w:pPr>
              <w:pStyle w:val="TableContents"/>
              <w:bidi w:val="0"/>
              <w:spacing w:lineRule="atLeast" w:line="274"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2100" w:type="dxa"/>
            <w:gridSpan w:val="3"/>
            <w:tcBorders>
              <w:top w:val="single" w:sz="8" w:space="0" w:color="000000"/>
              <w:left w:val="single" w:sz="6" w:space="0" w:color="000000"/>
            </w:tcBorders>
            <w:tcMar>
              <w:top w:w="30" w:type="dxa"/>
              <w:bottom w:w="0" w:type="dxa"/>
              <w:right w:w="0" w:type="dxa"/>
            </w:tcMar>
            <w:vAlign w:val="center"/>
          </w:tcPr>
          <w:p>
            <w:pPr>
              <w:pStyle w:val="TableContents"/>
              <w:bidi w:val="0"/>
              <w:spacing w:lineRule="atLeast" w:line="274"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2340" w:type="dxa"/>
            <w:gridSpan w:val="3"/>
            <w:tcBorders>
              <w:top w:val="single" w:sz="8" w:space="0" w:color="000000"/>
              <w:left w:val="single" w:sz="6" w:space="0" w:color="000000"/>
              <w:right w:val="single" w:sz="6" w:space="0" w:color="000000"/>
            </w:tcBorders>
            <w:tcMar>
              <w:top w:w="30" w:type="dxa"/>
              <w:bottom w:w="0" w:type="dxa"/>
            </w:tcMar>
            <w:vAlign w:val="center"/>
          </w:tcPr>
          <w:p>
            <w:pPr>
              <w:pStyle w:val="TableContents"/>
              <w:bidi w:val="0"/>
              <w:spacing w:lineRule="atLeast" w:line="274"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025" w:type="dxa"/>
            <w:gridSpan w:val="3"/>
            <w:tcBorders>
              <w:top w:val="single" w:sz="6" w:space="0" w:color="000000"/>
              <w:left w:val="single" w:sz="6" w:space="0" w:color="000000"/>
            </w:tcBorders>
            <w:shd w:fill="DBE5F1" w:val="clear"/>
            <w:tcMar>
              <w:top w:w="30" w:type="dxa"/>
              <w:bottom w:w="0" w:type="dxa"/>
              <w:right w:w="0" w:type="dxa"/>
            </w:tcMar>
            <w:vAlign w:val="center"/>
          </w:tcPr>
          <w:p>
            <w:pPr>
              <w:pStyle w:val="TableContents"/>
              <w:bidi w:val="0"/>
              <w:spacing w:lineRule="atLeast" w:line="274" w:before="0" w:after="0"/>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1874" w:type="dxa"/>
            <w:gridSpan w:val="3"/>
            <w:tcBorders>
              <w:top w:val="single" w:sz="6" w:space="0" w:color="000000"/>
              <w:left w:val="single" w:sz="6" w:space="0" w:color="000000"/>
            </w:tcBorders>
            <w:shd w:fill="DBE5F1" w:val="clear"/>
            <w:tcMar>
              <w:top w:w="30" w:type="dxa"/>
              <w:bottom w:w="0" w:type="dxa"/>
              <w:right w:w="0" w:type="dxa"/>
            </w:tcMar>
            <w:vAlign w:val="center"/>
          </w:tcPr>
          <w:p>
            <w:pPr>
              <w:pStyle w:val="TableContents"/>
              <w:bidi w:val="0"/>
              <w:spacing w:lineRule="atLeast" w:line="274"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100" w:type="dxa"/>
            <w:gridSpan w:val="3"/>
            <w:tcBorders>
              <w:top w:val="single" w:sz="6" w:space="0" w:color="000000"/>
              <w:left w:val="single" w:sz="6" w:space="0" w:color="000000"/>
            </w:tcBorders>
            <w:shd w:fill="DBE5F1" w:val="clear"/>
            <w:tcMar>
              <w:top w:w="30" w:type="dxa"/>
              <w:bottom w:w="0" w:type="dxa"/>
              <w:right w:w="0" w:type="dxa"/>
            </w:tcMar>
            <w:vAlign w:val="center"/>
          </w:tcPr>
          <w:p>
            <w:pPr>
              <w:pStyle w:val="TableContents"/>
              <w:bidi w:val="0"/>
              <w:spacing w:lineRule="atLeast" w:line="274"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340" w:type="dxa"/>
            <w:gridSpan w:val="3"/>
            <w:tcBorders>
              <w:top w:val="single" w:sz="6" w:space="0" w:color="000000"/>
              <w:left w:val="single" w:sz="6" w:space="0" w:color="000000"/>
              <w:right w:val="single" w:sz="6" w:space="0" w:color="000000"/>
            </w:tcBorders>
            <w:shd w:fill="DBE5F1" w:val="clear"/>
            <w:tcMar>
              <w:top w:w="30" w:type="dxa"/>
              <w:bottom w:w="0" w:type="dxa"/>
            </w:tcMar>
            <w:vAlign w:val="center"/>
          </w:tcPr>
          <w:p>
            <w:pPr>
              <w:pStyle w:val="TableContents"/>
              <w:bidi w:val="0"/>
              <w:spacing w:lineRule="atLeast" w:line="274"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2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w:t>
            </w:r>
          </w:p>
        </w:tc>
        <w:tc>
          <w:tcPr>
            <w:tcW w:w="187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210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234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c>
      </w:tr>
    </w:tbl>
    <w:p>
      <w:pPr>
        <w:pStyle w:val="TextBody"/>
        <w:bidi w:val="0"/>
        <w:spacing w:lineRule="auto" w:line="288" w:before="0" w:after="0"/>
        <w:ind w:left="0" w:right="0" w:hanging="360"/>
        <w:jc w:val="both"/>
        <w:rPr/>
      </w:pPr>
      <w:r>
        <w:rPr>
          <w:rFonts w:ascii="Times New Roman;serif" w:hAnsi="Times New Roman;serif"/>
          <w:b w:val="false"/>
          <w:color w:val="000000"/>
          <w:sz w:val="20"/>
        </w:rPr>
        <w:t>(1)Earned</w:t>
      </w:r>
      <w:r>
        <w:rPr>
          <w:color w:val="000000"/>
        </w:rPr>
        <w:t xml:space="preserve"> </w:t>
      </w:r>
      <w:r>
        <w:rPr>
          <w:rFonts w:ascii="Times New Roman;serif" w:hAnsi="Times New Roman;serif"/>
          <w:b w:val="false"/>
          <w:color w:val="000000"/>
          <w:sz w:val="20"/>
        </w:rPr>
        <w:t>PSUs</w:t>
      </w:r>
      <w:r>
        <w:rPr>
          <w:color w:val="000000"/>
        </w:rPr>
        <w:t xml:space="preserve"> </w:t>
      </w:r>
      <w:r>
        <w:rPr>
          <w:rFonts w:ascii="Times New Roman;serif" w:hAnsi="Times New Roman;serif"/>
          <w:b w:val="false"/>
          <w:color w:val="000000"/>
          <w:sz w:val="20"/>
        </w:rPr>
        <w:t>represent</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percentage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Target</w:t>
      </w:r>
      <w:r>
        <w:rPr>
          <w:color w:val="000000"/>
        </w:rPr>
        <w:t xml:space="preserve"> </w:t>
      </w:r>
      <w:r>
        <w:rPr>
          <w:rFonts w:ascii="Times New Roman;serif" w:hAnsi="Times New Roman;serif"/>
          <w:b w:val="false"/>
          <w:color w:val="000000"/>
          <w:sz w:val="20"/>
        </w:rPr>
        <w:t>PSUs</w:t>
      </w:r>
      <w:r>
        <w:rPr>
          <w:color w:val="000000"/>
        </w:rPr>
        <w:t xml:space="preserve"> </w:t>
      </w:r>
      <w:r>
        <w:rPr>
          <w:rFonts w:ascii="Times New Roman;serif" w:hAnsi="Times New Roman;serif"/>
          <w:b w:val="false"/>
          <w:color w:val="000000"/>
          <w:sz w:val="20"/>
        </w:rPr>
        <w:t>earned</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performance. For performance between threshold and target and between target and maximum, the amount of Earned PSUs will be determined by linear interpolation.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sans-serif" w:hAnsi="sans-serif"/>
          <w:b/>
          <w:i/>
          <w:color w:val="000000"/>
          <w:sz w:val="22"/>
        </w:rPr>
      </w:pPr>
      <w:r>
        <w:rPr>
          <w:rFonts w:ascii="sans-serif" w:hAnsi="sans-serif"/>
          <w:b/>
          <w:i/>
          <w:color w:val="000000"/>
          <w:sz w:val="22"/>
        </w:rPr>
        <w:t>*The Board reserves the right to make equitable adjustments to the performance targets for any given fiscal year based on Company-wide one-time occurrences, including, without limitation, one-time adjustments associated with business combination transactions.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19" w:after="283"/>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 REQUIRED BY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 RULE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Ramesh Jayaraman, certify that:</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fiscal quarter ended August 1, 2026 of Daktronics, Inc.;</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1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023" w:type="dxa"/>
        <w:jc w:val="left"/>
        <w:tblInd w:w="0" w:type="dxa"/>
        <w:tblLayout w:type="fixed"/>
        <w:tblCellMar>
          <w:top w:w="28" w:type="dxa"/>
          <w:left w:w="28" w:type="dxa"/>
          <w:bottom w:w="28" w:type="dxa"/>
          <w:right w:w="28" w:type="dxa"/>
        </w:tblCellMar>
      </w:tblPr>
      <w:tblGrid>
        <w:gridCol w:w="124"/>
        <w:gridCol w:w="109"/>
        <w:gridCol w:w="109"/>
        <w:gridCol w:w="769"/>
        <w:gridCol w:w="769"/>
        <w:gridCol w:w="7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Ramesh Jayaraman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REQUIRED BY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 RULE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Howard I. Atkins, certify that:</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fiscal quarter ended August 1, 2026 of Daktronics, Inc.;</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1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964" w:type="dxa"/>
        <w:jc w:val="left"/>
        <w:tblInd w:w="0" w:type="dxa"/>
        <w:tblLayout w:type="fixed"/>
        <w:tblCellMar>
          <w:top w:w="28" w:type="dxa"/>
          <w:left w:w="28" w:type="dxa"/>
          <w:bottom w:w="28" w:type="dxa"/>
          <w:right w:w="28" w:type="dxa"/>
        </w:tblCellMar>
      </w:tblPr>
      <w:tblGrid>
        <w:gridCol w:w="124"/>
        <w:gridCol w:w="109"/>
        <w:gridCol w:w="109"/>
        <w:gridCol w:w="749"/>
        <w:gridCol w:w="749"/>
        <w:gridCol w:w="7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Howard I. Atkins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Daktronics, Inc. (the “Company”) for the fiscal quarter ended August 1, 2026 as filed with the Securities and Exchange Commission on the date hereof (the “Report”), I, Ramesh Jayaraman, Chief Executive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2738" w:type="dxa"/>
        <w:jc w:val="left"/>
        <w:tblInd w:w="0" w:type="dxa"/>
        <w:tblLayout w:type="fixed"/>
        <w:tblCellMar>
          <w:top w:w="28" w:type="dxa"/>
          <w:left w:w="28" w:type="dxa"/>
          <w:bottom w:w="28" w:type="dxa"/>
          <w:right w:w="28" w:type="dxa"/>
        </w:tblCellMar>
      </w:tblPr>
      <w:tblGrid>
        <w:gridCol w:w="124"/>
        <w:gridCol w:w="109"/>
        <w:gridCol w:w="109"/>
        <w:gridCol w:w="674"/>
        <w:gridCol w:w="674"/>
        <w:gridCol w:w="6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Ramesh Jayaraman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Daktronics, Inc. (the “Company”) for the fiscal quarter ended August 1, 2026 as filed with the Securities and Exchange Commission on the date hereof (the “Report”), I, Howard I. Atkins, Acting Chief Financial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3278" w:type="dxa"/>
        <w:jc w:val="left"/>
        <w:tblInd w:w="0" w:type="dxa"/>
        <w:tblLayout w:type="fixed"/>
        <w:tblCellMar>
          <w:top w:w="28" w:type="dxa"/>
          <w:left w:w="28" w:type="dxa"/>
          <w:bottom w:w="28" w:type="dxa"/>
          <w:right w:w="28" w:type="dxa"/>
        </w:tblCellMar>
      </w:tblPr>
      <w:tblGrid>
        <w:gridCol w:w="124"/>
        <w:gridCol w:w="109"/>
        <w:gridCol w:w="109"/>
        <w:gridCol w:w="853"/>
        <w:gridCol w:w="853"/>
        <w:gridCol w:w="8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Howard I. Atkins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5779/000119312525084867/d894627dex32.htm" TargetMode="External"/><Relationship Id="rId4" Type="http://schemas.openxmlformats.org/officeDocument/2006/relationships/hyperlink" Target="https://www.sec.gov/Archives/edgar/data/915779/000119312525084867/d894627dex32.htm" TargetMode="External"/><Relationship Id="rId5" Type="http://schemas.openxmlformats.org/officeDocument/2006/relationships/hyperlink" Target="https://www.sec.gov/Archives/edgar/data/915779/000119312525084867/d894627dex33.htm" TargetMode="External"/><Relationship Id="rId6" Type="http://schemas.openxmlformats.org/officeDocument/2006/relationships/hyperlink" Target="https://www.sec.gov/Archives/edgar/data/915779/000119312525084867/d894627dex3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25269</Words>
  <Characters>137424</Characters>
  <CharactersWithSpaces>161479</CharactersWithSpaces>
  <Paragraphs>2430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