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2090.xml.htm"/>
      <w:bookmarkStart w:id="1" w:name="kswkform4_179002209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Friel John Patrick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DAKTRONICS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BROOKINGS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57006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DAKTRONICS INC /SD/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DAKT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84,223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annual equity compensation in the form of a grant of restricted stock made under the Daktronics, Inc. 2025 Stock Incentive Plan. The award vests on August 23, 2027 and is subject to certain forfeiture provisions.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P. Friel, by Leah Kassalen, attorney-in-fact, pursuant to a POA filed herewith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section16poa-johnfriel.htm"/>
      <w:bookmarkStart w:id="3" w:name="kssection16poajohnfriel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7357" TargetMode="External"/><Relationship Id="rId5" Type="http://schemas.openxmlformats.org/officeDocument/2006/relationships/hyperlink" Target="http://www.sec.gov/cgi-bin/browse-edgar?action=getcompany&amp;CIK=00009157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607</Words>
  <Characters>3293</Characters>
  <CharactersWithSpaces>3837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section16poa-johnfriel</dc:title>
</cp:coreProperties>
</file>